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8.xml" ContentType="application/vnd.openxmlformats-officedocument.wordprocessingml.header+xml"/>
  <Override PartName="/word/footer3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46B4" w:rsidRPr="00DE475B" w:rsidRDefault="00D346B4">
      <w:pPr>
        <w:rPr>
          <w:rFonts w:ascii="Arial" w:hAnsi="Arial" w:cs="Arial"/>
          <w:b/>
          <w:bCs/>
          <w:color w:val="F04023"/>
          <w:sz w:val="16"/>
          <w:szCs w:val="16"/>
        </w:rPr>
      </w:pPr>
      <w:r w:rsidRPr="00DE475B">
        <w:rPr>
          <w:rFonts w:ascii="Arial" w:hAnsi="Arial" w:cs="Arial"/>
          <w:b/>
          <w:bCs/>
        </w:rPr>
        <w:t>Contents</w:t>
      </w:r>
    </w:p>
    <w:p w:rsidR="00D346B4" w:rsidRPr="00DE475B" w:rsidRDefault="00D346B4">
      <w:pPr>
        <w:rPr>
          <w:rFonts w:ascii="Arial" w:hAnsi="Arial" w:cs="Arial"/>
          <w:b/>
          <w:bCs/>
          <w:color w:val="F04023"/>
          <w:sz w:val="16"/>
          <w:szCs w:val="16"/>
        </w:rPr>
      </w:pPr>
    </w:p>
    <w:p w:rsidR="00D346B4" w:rsidRPr="00DE475B" w:rsidRDefault="00D346B4">
      <w:pPr>
        <w:spacing w:after="40"/>
        <w:rPr>
          <w:rFonts w:ascii="Arial" w:hAnsi="Arial" w:cs="Arial"/>
          <w:sz w:val="20"/>
          <w:szCs w:val="20"/>
        </w:rPr>
      </w:pPr>
      <w:r w:rsidRPr="00DE475B">
        <w:rPr>
          <w:rFonts w:ascii="Arial" w:hAnsi="Arial" w:cs="Arial"/>
          <w:b/>
          <w:bCs/>
          <w:sz w:val="20"/>
          <w:szCs w:val="20"/>
        </w:rPr>
        <w:t>Part 1: Introduction</w:t>
      </w:r>
    </w:p>
    <w:p w:rsidR="00D346B4" w:rsidRPr="00DE475B" w:rsidRDefault="00D346B4">
      <w:pPr>
        <w:spacing w:after="40"/>
        <w:ind w:right="213"/>
        <w:rPr>
          <w:rFonts w:ascii="Arial" w:hAnsi="Arial" w:cs="Arial"/>
          <w:sz w:val="20"/>
          <w:szCs w:val="20"/>
        </w:rPr>
      </w:pPr>
      <w:r w:rsidRPr="00DE475B">
        <w:rPr>
          <w:rFonts w:ascii="Arial" w:hAnsi="Arial" w:cs="Arial"/>
          <w:sz w:val="20"/>
          <w:szCs w:val="20"/>
        </w:rPr>
        <w:t xml:space="preserve">State Library of Queensland </w:t>
      </w:r>
      <w:r w:rsidRPr="00DE475B">
        <w:rPr>
          <w:rFonts w:ascii="Arial" w:hAnsi="Arial" w:cs="Arial"/>
          <w:spacing w:val="20"/>
          <w:sz w:val="16"/>
          <w:szCs w:val="16"/>
        </w:rPr>
        <w:t xml:space="preserve">. . . . . . . . . . . . . . . . . . . . . . . . . . . . . . . . . . . . . . . . . </w:t>
      </w:r>
      <w:r w:rsidRPr="00DE475B">
        <w:rPr>
          <w:rFonts w:ascii="Arial" w:hAnsi="Arial" w:cs="Arial"/>
          <w:spacing w:val="20"/>
          <w:sz w:val="16"/>
          <w:szCs w:val="16"/>
        </w:rPr>
        <w:tab/>
      </w:r>
      <w:r w:rsidR="000B4A17">
        <w:rPr>
          <w:rFonts w:ascii="Arial" w:hAnsi="Arial" w:cs="Arial"/>
          <w:sz w:val="20"/>
          <w:szCs w:val="20"/>
        </w:rPr>
        <w:t>4</w:t>
      </w:r>
    </w:p>
    <w:p w:rsidR="00BC08ED" w:rsidRPr="00DE475B" w:rsidRDefault="00BC08ED" w:rsidP="00BC08ED">
      <w:pPr>
        <w:spacing w:after="40"/>
        <w:rPr>
          <w:rFonts w:ascii="Arial" w:hAnsi="Arial" w:cs="Arial"/>
          <w:sz w:val="20"/>
          <w:szCs w:val="20"/>
        </w:rPr>
      </w:pPr>
      <w:r w:rsidRPr="00DE475B">
        <w:rPr>
          <w:rFonts w:ascii="Arial" w:hAnsi="Arial" w:cs="Arial"/>
          <w:sz w:val="20"/>
          <w:szCs w:val="20"/>
        </w:rPr>
        <w:t xml:space="preserve">Chairperson’s overview </w:t>
      </w:r>
      <w:r w:rsidR="00077B23" w:rsidRPr="00DE475B">
        <w:rPr>
          <w:rFonts w:ascii="Arial" w:hAnsi="Arial" w:cs="Arial"/>
          <w:sz w:val="20"/>
          <w:szCs w:val="20"/>
        </w:rPr>
        <w:t>201</w:t>
      </w:r>
      <w:r w:rsidR="008877D9" w:rsidRPr="00DE475B">
        <w:rPr>
          <w:rFonts w:ascii="Arial" w:hAnsi="Arial" w:cs="Arial"/>
          <w:sz w:val="20"/>
          <w:szCs w:val="20"/>
        </w:rPr>
        <w:t>6</w:t>
      </w:r>
      <w:r w:rsidR="00564CA8" w:rsidRPr="00DE475B">
        <w:rPr>
          <w:rFonts w:ascii="Arial" w:hAnsi="Arial" w:cs="Arial"/>
          <w:sz w:val="20"/>
          <w:szCs w:val="20"/>
        </w:rPr>
        <w:t>–1</w:t>
      </w:r>
      <w:r w:rsidR="008877D9" w:rsidRPr="00DE475B">
        <w:rPr>
          <w:rFonts w:ascii="Arial" w:hAnsi="Arial" w:cs="Arial"/>
          <w:sz w:val="20"/>
          <w:szCs w:val="20"/>
        </w:rPr>
        <w:t>7</w:t>
      </w:r>
      <w:r w:rsidR="00564CA8" w:rsidRPr="00DE475B">
        <w:rPr>
          <w:rFonts w:ascii="Arial" w:hAnsi="Arial" w:cs="Arial"/>
          <w:sz w:val="20"/>
          <w:szCs w:val="20"/>
        </w:rPr>
        <w:t xml:space="preserve"> </w:t>
      </w:r>
      <w:r w:rsidRPr="00DE475B">
        <w:rPr>
          <w:rFonts w:ascii="Arial" w:hAnsi="Arial" w:cs="Arial"/>
          <w:spacing w:val="20"/>
          <w:sz w:val="16"/>
          <w:szCs w:val="16"/>
        </w:rPr>
        <w:t xml:space="preserve"> </w:t>
      </w:r>
      <w:r w:rsidR="00564CA8" w:rsidRPr="00DE475B">
        <w:rPr>
          <w:rFonts w:ascii="Arial" w:hAnsi="Arial" w:cs="Arial"/>
          <w:spacing w:val="20"/>
          <w:sz w:val="16"/>
          <w:szCs w:val="16"/>
        </w:rPr>
        <w:t>. . . .</w:t>
      </w:r>
      <w:r w:rsidRPr="00DE475B">
        <w:rPr>
          <w:rFonts w:ascii="Arial" w:hAnsi="Arial" w:cs="Arial"/>
          <w:spacing w:val="20"/>
          <w:sz w:val="16"/>
          <w:szCs w:val="16"/>
        </w:rPr>
        <w:t xml:space="preserve"> . . . . . . . . . . . . . . . . . . . . . . . . . . . . . .</w:t>
      </w:r>
      <w:r w:rsidR="00564CA8" w:rsidRPr="00DE475B">
        <w:rPr>
          <w:rFonts w:ascii="Arial" w:hAnsi="Arial" w:cs="Arial"/>
          <w:spacing w:val="20"/>
          <w:sz w:val="16"/>
          <w:szCs w:val="16"/>
        </w:rPr>
        <w:t xml:space="preserve"> . . . </w:t>
      </w:r>
      <w:r w:rsidRPr="00DE475B">
        <w:rPr>
          <w:rFonts w:ascii="Arial" w:hAnsi="Arial" w:cs="Arial"/>
          <w:sz w:val="16"/>
          <w:szCs w:val="16"/>
        </w:rPr>
        <w:tab/>
      </w:r>
      <w:r w:rsidR="000B4A17">
        <w:rPr>
          <w:rFonts w:ascii="Arial" w:hAnsi="Arial" w:cs="Arial"/>
          <w:sz w:val="20"/>
          <w:szCs w:val="20"/>
        </w:rPr>
        <w:t>6</w:t>
      </w:r>
    </w:p>
    <w:p w:rsidR="00D346B4" w:rsidRPr="00DE475B" w:rsidRDefault="00D346B4">
      <w:pPr>
        <w:spacing w:after="40"/>
        <w:rPr>
          <w:rFonts w:ascii="Arial" w:hAnsi="Arial" w:cs="Arial"/>
          <w:b/>
          <w:bCs/>
          <w:sz w:val="20"/>
          <w:szCs w:val="20"/>
        </w:rPr>
      </w:pPr>
      <w:r w:rsidRPr="00DE475B">
        <w:rPr>
          <w:rFonts w:ascii="Arial" w:hAnsi="Arial" w:cs="Arial"/>
          <w:sz w:val="20"/>
          <w:szCs w:val="20"/>
        </w:rPr>
        <w:t>S</w:t>
      </w:r>
      <w:r w:rsidR="00564CA8" w:rsidRPr="00DE475B">
        <w:rPr>
          <w:rFonts w:ascii="Arial" w:hAnsi="Arial" w:cs="Arial"/>
          <w:sz w:val="20"/>
          <w:szCs w:val="20"/>
        </w:rPr>
        <w:t>tate Librarian’s year in review 201</w:t>
      </w:r>
      <w:r w:rsidR="008877D9" w:rsidRPr="00DE475B">
        <w:rPr>
          <w:rFonts w:ascii="Arial" w:hAnsi="Arial" w:cs="Arial"/>
          <w:sz w:val="20"/>
          <w:szCs w:val="20"/>
        </w:rPr>
        <w:t>6</w:t>
      </w:r>
      <w:r w:rsidR="00564CA8" w:rsidRPr="00DE475B">
        <w:rPr>
          <w:rFonts w:ascii="Arial" w:hAnsi="Arial" w:cs="Arial"/>
          <w:sz w:val="20"/>
          <w:szCs w:val="20"/>
        </w:rPr>
        <w:t>–1</w:t>
      </w:r>
      <w:r w:rsidR="008877D9" w:rsidRPr="00DE475B">
        <w:rPr>
          <w:rFonts w:ascii="Arial" w:hAnsi="Arial" w:cs="Arial"/>
          <w:sz w:val="20"/>
          <w:szCs w:val="20"/>
        </w:rPr>
        <w:t>7</w:t>
      </w:r>
      <w:r w:rsidR="00564CA8" w:rsidRPr="00DE475B">
        <w:rPr>
          <w:rFonts w:ascii="Arial" w:hAnsi="Arial" w:cs="Arial"/>
          <w:sz w:val="20"/>
          <w:szCs w:val="20"/>
        </w:rPr>
        <w:t xml:space="preserve"> </w:t>
      </w:r>
      <w:r w:rsidRPr="00DE475B">
        <w:rPr>
          <w:rFonts w:ascii="Arial" w:hAnsi="Arial" w:cs="Arial"/>
          <w:spacing w:val="20"/>
          <w:sz w:val="16"/>
          <w:szCs w:val="16"/>
        </w:rPr>
        <w:t xml:space="preserve"> . . . . . . . . . . . . . . . . . . . . . . . . . . . . . . . . </w:t>
      </w:r>
      <w:r w:rsidRPr="00DE475B">
        <w:rPr>
          <w:rFonts w:ascii="Arial" w:hAnsi="Arial" w:cs="Arial"/>
          <w:spacing w:val="20"/>
          <w:sz w:val="20"/>
          <w:szCs w:val="20"/>
        </w:rPr>
        <w:tab/>
      </w:r>
      <w:r w:rsidR="000B4A17">
        <w:rPr>
          <w:rFonts w:ascii="Arial" w:hAnsi="Arial" w:cs="Arial"/>
          <w:sz w:val="20"/>
          <w:szCs w:val="20"/>
        </w:rPr>
        <w:t>7</w:t>
      </w:r>
    </w:p>
    <w:p w:rsidR="00D346B4" w:rsidRPr="00DE475B" w:rsidRDefault="00D346B4">
      <w:pPr>
        <w:spacing w:after="40"/>
        <w:rPr>
          <w:rFonts w:ascii="Arial" w:hAnsi="Arial" w:cs="Arial"/>
          <w:b/>
          <w:bCs/>
          <w:sz w:val="20"/>
          <w:szCs w:val="20"/>
        </w:rPr>
      </w:pPr>
    </w:p>
    <w:p w:rsidR="00D346B4" w:rsidRPr="00DE475B" w:rsidRDefault="00D346B4">
      <w:pPr>
        <w:spacing w:after="40"/>
        <w:rPr>
          <w:rFonts w:ascii="Arial" w:hAnsi="Arial" w:cs="Arial"/>
          <w:sz w:val="20"/>
          <w:szCs w:val="20"/>
        </w:rPr>
      </w:pPr>
      <w:r w:rsidRPr="00DE475B">
        <w:rPr>
          <w:rFonts w:ascii="Arial" w:hAnsi="Arial" w:cs="Arial"/>
          <w:b/>
          <w:bCs/>
          <w:sz w:val="20"/>
          <w:szCs w:val="20"/>
        </w:rPr>
        <w:t>Part 2: Corporate</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Library Board of Queensland </w:t>
      </w:r>
      <w:r w:rsidRPr="00DE475B">
        <w:rPr>
          <w:rFonts w:ascii="Arial" w:hAnsi="Arial" w:cs="Arial"/>
          <w:spacing w:val="20"/>
          <w:sz w:val="16"/>
          <w:szCs w:val="16"/>
        </w:rPr>
        <w:t>. . . . . . . . . . . . . . . . . . . . . . . . . . . . . . . . . . . . . . . . .</w:t>
      </w:r>
      <w:r w:rsidRPr="00DE475B">
        <w:rPr>
          <w:rFonts w:ascii="Arial" w:hAnsi="Arial" w:cs="Arial"/>
          <w:spacing w:val="20"/>
          <w:sz w:val="20"/>
          <w:szCs w:val="20"/>
        </w:rPr>
        <w:t xml:space="preserve"> </w:t>
      </w:r>
      <w:r w:rsidRPr="00DE475B">
        <w:rPr>
          <w:rFonts w:ascii="Arial" w:hAnsi="Arial" w:cs="Arial"/>
          <w:spacing w:val="20"/>
          <w:sz w:val="20"/>
          <w:szCs w:val="20"/>
        </w:rPr>
        <w:tab/>
      </w:r>
      <w:r w:rsidR="000B4A17">
        <w:rPr>
          <w:rFonts w:ascii="Arial" w:hAnsi="Arial" w:cs="Arial"/>
          <w:sz w:val="20"/>
          <w:szCs w:val="20"/>
        </w:rPr>
        <w:t>10</w:t>
      </w:r>
    </w:p>
    <w:p w:rsidR="00D346B4" w:rsidRPr="00DE475B" w:rsidRDefault="00D346B4">
      <w:pPr>
        <w:spacing w:after="40"/>
        <w:rPr>
          <w:rFonts w:ascii="Arial" w:hAnsi="Arial" w:cs="Arial"/>
          <w:spacing w:val="20"/>
          <w:sz w:val="16"/>
          <w:szCs w:val="16"/>
        </w:rPr>
      </w:pPr>
      <w:r w:rsidRPr="00DE475B">
        <w:rPr>
          <w:rFonts w:ascii="Arial" w:hAnsi="Arial" w:cs="Arial"/>
          <w:sz w:val="20"/>
          <w:szCs w:val="20"/>
        </w:rPr>
        <w:t xml:space="preserve">Queensland Library Foundation </w:t>
      </w:r>
      <w:r w:rsidRPr="00DE475B">
        <w:rPr>
          <w:rFonts w:ascii="Arial" w:hAnsi="Arial" w:cs="Arial"/>
          <w:spacing w:val="20"/>
          <w:sz w:val="16"/>
          <w:szCs w:val="16"/>
        </w:rPr>
        <w:t>. . . . . . . . . . . . . . . . . . . . . . . . . . . . . . . . . . . . . .</w:t>
      </w:r>
      <w:r w:rsidRPr="00DE475B">
        <w:rPr>
          <w:rFonts w:ascii="Arial" w:hAnsi="Arial" w:cs="Arial"/>
          <w:spacing w:val="20"/>
          <w:sz w:val="20"/>
          <w:szCs w:val="20"/>
        </w:rPr>
        <w:t xml:space="preserve"> </w:t>
      </w:r>
      <w:r w:rsidRPr="00DE475B">
        <w:rPr>
          <w:rFonts w:ascii="Arial" w:hAnsi="Arial" w:cs="Arial"/>
          <w:spacing w:val="20"/>
          <w:sz w:val="16"/>
          <w:szCs w:val="16"/>
        </w:rPr>
        <w:t>.</w:t>
      </w:r>
      <w:r w:rsidR="000B4A17">
        <w:rPr>
          <w:rFonts w:ascii="Arial" w:hAnsi="Arial" w:cs="Arial"/>
          <w:sz w:val="20"/>
          <w:szCs w:val="20"/>
        </w:rPr>
        <w:t xml:space="preserve"> </w:t>
      </w:r>
      <w:r w:rsidR="000B4A17">
        <w:rPr>
          <w:rFonts w:ascii="Arial" w:hAnsi="Arial" w:cs="Arial"/>
          <w:sz w:val="20"/>
          <w:szCs w:val="20"/>
        </w:rPr>
        <w:tab/>
        <w:t>12</w:t>
      </w:r>
    </w:p>
    <w:p w:rsidR="00D346B4" w:rsidRPr="00DE475B" w:rsidRDefault="00D346B4">
      <w:pPr>
        <w:spacing w:after="40"/>
        <w:rPr>
          <w:rFonts w:ascii="Arial" w:hAnsi="Arial" w:cs="Arial"/>
          <w:b/>
          <w:bCs/>
          <w:sz w:val="20"/>
          <w:szCs w:val="20"/>
        </w:rPr>
      </w:pPr>
      <w:r w:rsidRPr="00DE475B">
        <w:rPr>
          <w:rFonts w:ascii="Arial" w:hAnsi="Arial" w:cs="Arial"/>
          <w:sz w:val="20"/>
          <w:szCs w:val="20"/>
        </w:rPr>
        <w:t>Organisational structure</w:t>
      </w:r>
      <w:r w:rsidRPr="00DE475B">
        <w:rPr>
          <w:rFonts w:ascii="Arial" w:hAnsi="Arial" w:cs="Arial"/>
          <w:spacing w:val="20"/>
          <w:sz w:val="16"/>
          <w:szCs w:val="16"/>
        </w:rPr>
        <w:t xml:space="preserve"> . . . . . . . . . . . . . . . . . . . . . . . . . . . . . . . . . . . . . . . . . . . .</w:t>
      </w:r>
      <w:r w:rsidRPr="00DE475B">
        <w:rPr>
          <w:rFonts w:ascii="Arial" w:hAnsi="Arial" w:cs="Arial"/>
          <w:spacing w:val="20"/>
          <w:sz w:val="16"/>
          <w:szCs w:val="16"/>
        </w:rPr>
        <w:tab/>
      </w:r>
      <w:r w:rsidR="000B4A17">
        <w:rPr>
          <w:rFonts w:ascii="Arial" w:hAnsi="Arial" w:cs="Arial"/>
          <w:sz w:val="20"/>
          <w:szCs w:val="20"/>
        </w:rPr>
        <w:t>13</w:t>
      </w:r>
    </w:p>
    <w:p w:rsidR="00D346B4" w:rsidRPr="00DE475B" w:rsidRDefault="00D346B4">
      <w:pPr>
        <w:spacing w:after="40"/>
        <w:rPr>
          <w:rFonts w:ascii="Arial" w:hAnsi="Arial" w:cs="Arial"/>
          <w:b/>
          <w:bCs/>
          <w:sz w:val="20"/>
          <w:szCs w:val="20"/>
        </w:rPr>
      </w:pPr>
    </w:p>
    <w:p w:rsidR="00D346B4" w:rsidRPr="00DE475B" w:rsidRDefault="00D346B4">
      <w:pPr>
        <w:spacing w:after="40"/>
        <w:rPr>
          <w:rFonts w:ascii="Arial" w:hAnsi="Arial" w:cs="Arial"/>
          <w:sz w:val="20"/>
          <w:szCs w:val="20"/>
        </w:rPr>
      </w:pPr>
      <w:r w:rsidRPr="00DE475B">
        <w:rPr>
          <w:rFonts w:ascii="Arial" w:hAnsi="Arial" w:cs="Arial"/>
          <w:b/>
          <w:bCs/>
          <w:sz w:val="20"/>
          <w:szCs w:val="20"/>
        </w:rPr>
        <w:t>Part 3: Outcomes in 201</w:t>
      </w:r>
      <w:r w:rsidR="008877D9" w:rsidRPr="00DE475B">
        <w:rPr>
          <w:rFonts w:ascii="Arial" w:hAnsi="Arial" w:cs="Arial"/>
          <w:b/>
          <w:bCs/>
          <w:sz w:val="20"/>
          <w:szCs w:val="20"/>
        </w:rPr>
        <w:t>6</w:t>
      </w:r>
      <w:r w:rsidR="000B7556" w:rsidRPr="00DE475B">
        <w:rPr>
          <w:rFonts w:ascii="Arial" w:hAnsi="Arial" w:cs="Arial"/>
          <w:b/>
          <w:bCs/>
          <w:sz w:val="20"/>
          <w:szCs w:val="20"/>
        </w:rPr>
        <w:t>–1</w:t>
      </w:r>
      <w:r w:rsidR="008877D9" w:rsidRPr="00DE475B">
        <w:rPr>
          <w:rFonts w:ascii="Arial" w:hAnsi="Arial" w:cs="Arial"/>
          <w:b/>
          <w:bCs/>
          <w:sz w:val="20"/>
          <w:szCs w:val="20"/>
        </w:rPr>
        <w:t>7</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Strategic and Operational Plans </w:t>
      </w:r>
      <w:r w:rsidRPr="00DE475B">
        <w:rPr>
          <w:rFonts w:ascii="Arial" w:hAnsi="Arial" w:cs="Arial"/>
          <w:spacing w:val="20"/>
          <w:sz w:val="16"/>
          <w:szCs w:val="16"/>
        </w:rPr>
        <w:t>. . . . . . . . . . . . . . . . . . . . . . . . . . . . . . . . . . . . . . .</w:t>
      </w:r>
      <w:r w:rsidRPr="00DE475B">
        <w:rPr>
          <w:rFonts w:ascii="Arial" w:hAnsi="Arial" w:cs="Arial"/>
          <w:spacing w:val="20"/>
          <w:sz w:val="16"/>
          <w:szCs w:val="16"/>
        </w:rPr>
        <w:tab/>
      </w:r>
      <w:r w:rsidR="007162C9" w:rsidRPr="00DE475B">
        <w:rPr>
          <w:rFonts w:ascii="Arial" w:hAnsi="Arial" w:cs="Arial"/>
          <w:sz w:val="20"/>
          <w:szCs w:val="20"/>
        </w:rPr>
        <w:t>1</w:t>
      </w:r>
      <w:r w:rsidR="000B4A17">
        <w:rPr>
          <w:rFonts w:ascii="Arial" w:hAnsi="Arial" w:cs="Arial"/>
          <w:sz w:val="20"/>
          <w:szCs w:val="20"/>
        </w:rPr>
        <w:t>6</w:t>
      </w:r>
    </w:p>
    <w:p w:rsidR="00D346B4" w:rsidRPr="00DE475B" w:rsidRDefault="00326061">
      <w:pPr>
        <w:spacing w:after="40"/>
        <w:rPr>
          <w:rFonts w:ascii="Arial" w:hAnsi="Arial" w:cs="Arial"/>
          <w:sz w:val="20"/>
          <w:szCs w:val="20"/>
        </w:rPr>
      </w:pPr>
      <w:r w:rsidRPr="00DE475B">
        <w:rPr>
          <w:rFonts w:ascii="Arial" w:hAnsi="Arial" w:cs="Arial"/>
          <w:sz w:val="20"/>
          <w:szCs w:val="20"/>
        </w:rPr>
        <w:t xml:space="preserve">Report on performance </w:t>
      </w:r>
      <w:r w:rsidR="00E16EF8" w:rsidRPr="00DE475B">
        <w:rPr>
          <w:rFonts w:ascii="Arial" w:hAnsi="Arial" w:cs="Arial"/>
          <w:spacing w:val="20"/>
          <w:sz w:val="16"/>
          <w:szCs w:val="16"/>
        </w:rPr>
        <w:t xml:space="preserve">. . . . . . . . . </w:t>
      </w:r>
      <w:r w:rsidR="00D346B4" w:rsidRPr="00DE475B">
        <w:rPr>
          <w:rFonts w:ascii="Arial" w:hAnsi="Arial" w:cs="Arial"/>
          <w:spacing w:val="20"/>
          <w:sz w:val="16"/>
          <w:szCs w:val="16"/>
        </w:rPr>
        <w:t>. . . . . . . . . . . . . . . . . . . . . . . . . . . . . . .</w:t>
      </w:r>
      <w:r w:rsidR="00E16EF8" w:rsidRPr="00DE475B">
        <w:rPr>
          <w:rFonts w:ascii="Arial" w:hAnsi="Arial" w:cs="Arial"/>
          <w:spacing w:val="20"/>
          <w:sz w:val="16"/>
          <w:szCs w:val="16"/>
        </w:rPr>
        <w:t xml:space="preserve"> . . . . .</w:t>
      </w:r>
      <w:r w:rsidR="00D346B4" w:rsidRPr="00DE475B">
        <w:rPr>
          <w:rFonts w:ascii="Arial" w:hAnsi="Arial" w:cs="Arial"/>
          <w:spacing w:val="20"/>
          <w:sz w:val="16"/>
          <w:szCs w:val="16"/>
        </w:rPr>
        <w:tab/>
      </w:r>
      <w:r w:rsidR="00D346B4" w:rsidRPr="00DE475B">
        <w:rPr>
          <w:rFonts w:ascii="Arial" w:hAnsi="Arial" w:cs="Arial"/>
          <w:sz w:val="20"/>
          <w:szCs w:val="20"/>
        </w:rPr>
        <w:t>1</w:t>
      </w:r>
      <w:r w:rsidR="000B4A17">
        <w:rPr>
          <w:rFonts w:ascii="Arial" w:hAnsi="Arial" w:cs="Arial"/>
          <w:sz w:val="20"/>
          <w:szCs w:val="20"/>
        </w:rPr>
        <w:t>9</w:t>
      </w:r>
    </w:p>
    <w:p w:rsidR="00D346B4" w:rsidRPr="00DE475B" w:rsidRDefault="00181A99">
      <w:pPr>
        <w:spacing w:after="40"/>
        <w:rPr>
          <w:rFonts w:ascii="Arial" w:hAnsi="Arial" w:cs="Arial"/>
          <w:sz w:val="20"/>
          <w:szCs w:val="20"/>
        </w:rPr>
      </w:pPr>
      <w:r w:rsidRPr="00DE475B">
        <w:rPr>
          <w:rFonts w:ascii="Arial" w:hAnsi="Arial" w:cs="Arial"/>
          <w:sz w:val="20"/>
          <w:szCs w:val="20"/>
        </w:rPr>
        <w:t>Enable</w:t>
      </w:r>
      <w:r w:rsidR="00D346B4" w:rsidRPr="00DE475B">
        <w:rPr>
          <w:rFonts w:ascii="Arial" w:hAnsi="Arial" w:cs="Arial"/>
          <w:sz w:val="20"/>
          <w:szCs w:val="20"/>
        </w:rPr>
        <w:t xml:space="preserve"> access</w:t>
      </w:r>
      <w:r w:rsidR="00D346B4" w:rsidRPr="00DE475B">
        <w:rPr>
          <w:rFonts w:ascii="Arial" w:hAnsi="Arial" w:cs="Arial"/>
          <w:spacing w:val="20"/>
          <w:sz w:val="16"/>
          <w:szCs w:val="16"/>
        </w:rPr>
        <w:t xml:space="preserve"> </w:t>
      </w:r>
      <w:r w:rsidRPr="00DE475B">
        <w:rPr>
          <w:rFonts w:ascii="Arial" w:hAnsi="Arial" w:cs="Arial"/>
          <w:spacing w:val="20"/>
          <w:sz w:val="16"/>
          <w:szCs w:val="16"/>
        </w:rPr>
        <w:t xml:space="preserve"> . . . . . . . . . . . . .</w:t>
      </w:r>
      <w:r w:rsidR="00D346B4" w:rsidRPr="00DE475B">
        <w:rPr>
          <w:rFonts w:ascii="Arial" w:hAnsi="Arial" w:cs="Arial"/>
          <w:spacing w:val="20"/>
          <w:sz w:val="16"/>
          <w:szCs w:val="16"/>
        </w:rPr>
        <w:t xml:space="preserve"> . . . . . . . . . . . . . . . . . . . . . . . . . . . . . . . . . . . . . </w:t>
      </w:r>
      <w:r w:rsidR="00D346B4" w:rsidRPr="00DE475B">
        <w:rPr>
          <w:rFonts w:ascii="Arial" w:hAnsi="Arial" w:cs="Arial"/>
          <w:spacing w:val="20"/>
          <w:sz w:val="16"/>
          <w:szCs w:val="16"/>
        </w:rPr>
        <w:tab/>
      </w:r>
      <w:r w:rsidR="000B4A17">
        <w:rPr>
          <w:rFonts w:ascii="Arial" w:hAnsi="Arial" w:cs="Arial"/>
          <w:sz w:val="20"/>
          <w:szCs w:val="20"/>
        </w:rPr>
        <w:t>20</w:t>
      </w:r>
    </w:p>
    <w:p w:rsidR="00D346B4" w:rsidRPr="00DE475B" w:rsidRDefault="00812628" w:rsidP="00075085">
      <w:pPr>
        <w:tabs>
          <w:tab w:val="left" w:pos="7938"/>
        </w:tabs>
        <w:spacing w:after="40"/>
        <w:rPr>
          <w:rFonts w:ascii="Arial" w:hAnsi="Arial" w:cs="Arial"/>
          <w:sz w:val="20"/>
          <w:szCs w:val="20"/>
        </w:rPr>
      </w:pPr>
      <w:r w:rsidRPr="00DE475B">
        <w:rPr>
          <w:rFonts w:ascii="Arial" w:hAnsi="Arial" w:cs="Arial"/>
          <w:sz w:val="20"/>
          <w:szCs w:val="20"/>
        </w:rPr>
        <w:t>Engage c</w:t>
      </w:r>
      <w:r w:rsidR="00287CD2" w:rsidRPr="00DE475B">
        <w:rPr>
          <w:rFonts w:ascii="Arial" w:hAnsi="Arial" w:cs="Arial"/>
          <w:sz w:val="20"/>
          <w:szCs w:val="20"/>
        </w:rPr>
        <w:t>ommunity</w:t>
      </w:r>
      <w:r w:rsidR="007D2253" w:rsidRPr="00DE475B">
        <w:rPr>
          <w:rFonts w:ascii="Arial" w:hAnsi="Arial" w:cs="Arial"/>
          <w:sz w:val="20"/>
          <w:szCs w:val="20"/>
        </w:rPr>
        <w:t xml:space="preserve"> </w:t>
      </w:r>
      <w:r w:rsidR="00287CD2" w:rsidRPr="00DE475B">
        <w:rPr>
          <w:rFonts w:ascii="Arial" w:hAnsi="Arial" w:cs="Arial"/>
          <w:sz w:val="20"/>
          <w:szCs w:val="20"/>
        </w:rPr>
        <w:t xml:space="preserve"> .</w:t>
      </w:r>
      <w:r w:rsidR="00287CD2" w:rsidRPr="00DE475B">
        <w:rPr>
          <w:rFonts w:ascii="Arial" w:hAnsi="Arial" w:cs="Arial"/>
          <w:spacing w:val="20"/>
          <w:sz w:val="16"/>
          <w:szCs w:val="16"/>
        </w:rPr>
        <w:t xml:space="preserve"> . . . . . . . . . . . . . .</w:t>
      </w:r>
      <w:r w:rsidR="00D346B4" w:rsidRPr="00DE475B">
        <w:rPr>
          <w:rFonts w:ascii="Arial" w:hAnsi="Arial" w:cs="Arial"/>
          <w:spacing w:val="20"/>
          <w:sz w:val="16"/>
          <w:szCs w:val="16"/>
        </w:rPr>
        <w:t xml:space="preserve"> . . . . . . . . . . . . . . . . . . . . . . . . . . . . . . . . </w:t>
      </w:r>
      <w:r w:rsidR="00D346B4" w:rsidRPr="00DE475B">
        <w:rPr>
          <w:rFonts w:ascii="Arial" w:hAnsi="Arial" w:cs="Arial"/>
          <w:spacing w:val="20"/>
          <w:sz w:val="16"/>
          <w:szCs w:val="16"/>
        </w:rPr>
        <w:tab/>
      </w:r>
      <w:r w:rsidR="000B4A17">
        <w:rPr>
          <w:rFonts w:ascii="Arial" w:hAnsi="Arial" w:cs="Arial"/>
          <w:sz w:val="20"/>
          <w:szCs w:val="20"/>
        </w:rPr>
        <w:t>2</w:t>
      </w:r>
      <w:r w:rsidR="0053156C">
        <w:rPr>
          <w:rFonts w:ascii="Arial" w:hAnsi="Arial" w:cs="Arial"/>
          <w:sz w:val="20"/>
          <w:szCs w:val="20"/>
        </w:rPr>
        <w:t>5</w:t>
      </w:r>
    </w:p>
    <w:p w:rsidR="00D346B4" w:rsidRPr="00DE475B" w:rsidRDefault="00287CD2">
      <w:pPr>
        <w:spacing w:after="40"/>
        <w:ind w:right="33"/>
        <w:rPr>
          <w:rFonts w:ascii="Arial" w:hAnsi="Arial" w:cs="Arial"/>
          <w:sz w:val="20"/>
          <w:szCs w:val="20"/>
        </w:rPr>
      </w:pPr>
      <w:r w:rsidRPr="00DE475B">
        <w:rPr>
          <w:rFonts w:ascii="Arial" w:hAnsi="Arial" w:cs="Arial"/>
          <w:sz w:val="20"/>
          <w:szCs w:val="20"/>
        </w:rPr>
        <w:t>Build</w:t>
      </w:r>
      <w:r w:rsidR="00D346B4" w:rsidRPr="00DE475B">
        <w:rPr>
          <w:rFonts w:ascii="Arial" w:hAnsi="Arial" w:cs="Arial"/>
          <w:sz w:val="20"/>
          <w:szCs w:val="20"/>
        </w:rPr>
        <w:t xml:space="preserve"> capability </w:t>
      </w:r>
      <w:r w:rsidRPr="00DE475B">
        <w:rPr>
          <w:rFonts w:ascii="Arial" w:hAnsi="Arial" w:cs="Arial"/>
          <w:spacing w:val="20"/>
          <w:sz w:val="16"/>
          <w:szCs w:val="16"/>
        </w:rPr>
        <w:t xml:space="preserve">  . . . . . . . . . . . . </w:t>
      </w:r>
      <w:r w:rsidR="00D346B4" w:rsidRPr="00DE475B">
        <w:rPr>
          <w:rFonts w:ascii="Arial" w:hAnsi="Arial" w:cs="Arial"/>
          <w:spacing w:val="20"/>
          <w:sz w:val="16"/>
          <w:szCs w:val="16"/>
        </w:rPr>
        <w:t>. . . . . . . . . . . . . . . . . . . . . . . . . . .. . . . . . . . . . .</w:t>
      </w:r>
      <w:r w:rsidR="00D346B4" w:rsidRPr="00DE475B">
        <w:rPr>
          <w:rFonts w:ascii="Arial" w:hAnsi="Arial" w:cs="Arial"/>
          <w:spacing w:val="20"/>
          <w:sz w:val="16"/>
          <w:szCs w:val="16"/>
        </w:rPr>
        <w:tab/>
      </w:r>
      <w:r w:rsidR="007D2253" w:rsidRPr="00DE475B">
        <w:rPr>
          <w:rFonts w:ascii="Arial" w:hAnsi="Arial" w:cs="Arial"/>
          <w:sz w:val="20"/>
          <w:szCs w:val="20"/>
        </w:rPr>
        <w:t>2</w:t>
      </w:r>
      <w:r w:rsidR="0053156C">
        <w:rPr>
          <w:rFonts w:ascii="Arial" w:hAnsi="Arial" w:cs="Arial"/>
          <w:sz w:val="20"/>
          <w:szCs w:val="20"/>
        </w:rPr>
        <w:t>9</w:t>
      </w:r>
    </w:p>
    <w:p w:rsidR="00D346B4" w:rsidRPr="00DE475B" w:rsidRDefault="00D346B4">
      <w:pPr>
        <w:spacing w:after="40"/>
        <w:rPr>
          <w:rFonts w:ascii="Arial" w:hAnsi="Arial" w:cs="Arial"/>
          <w:b/>
          <w:bCs/>
          <w:sz w:val="20"/>
          <w:szCs w:val="20"/>
        </w:rPr>
      </w:pPr>
      <w:r w:rsidRPr="00DE475B">
        <w:rPr>
          <w:rFonts w:ascii="Arial" w:hAnsi="Arial" w:cs="Arial"/>
          <w:sz w:val="20"/>
          <w:szCs w:val="20"/>
        </w:rPr>
        <w:t xml:space="preserve">Governance </w:t>
      </w:r>
      <w:r w:rsidRPr="00DE475B">
        <w:rPr>
          <w:rFonts w:ascii="Arial" w:hAnsi="Arial" w:cs="Arial"/>
          <w:spacing w:val="20"/>
          <w:sz w:val="16"/>
          <w:szCs w:val="16"/>
        </w:rPr>
        <w:t xml:space="preserve">. . . . . . . . . . . . . . . . . . . . . . . . . . . . . . . . . . . . . . . . . . . . . . . . . . . . </w:t>
      </w:r>
      <w:r w:rsidRPr="00DE475B">
        <w:rPr>
          <w:rFonts w:ascii="Arial" w:hAnsi="Arial" w:cs="Arial"/>
          <w:sz w:val="20"/>
          <w:szCs w:val="20"/>
        </w:rPr>
        <w:tab/>
      </w:r>
      <w:r w:rsidR="007D2253" w:rsidRPr="00DE475B">
        <w:rPr>
          <w:rFonts w:ascii="Arial" w:hAnsi="Arial" w:cs="Arial"/>
          <w:sz w:val="20"/>
          <w:szCs w:val="20"/>
        </w:rPr>
        <w:t>3</w:t>
      </w:r>
      <w:r w:rsidR="0053156C">
        <w:rPr>
          <w:rFonts w:ascii="Arial" w:hAnsi="Arial" w:cs="Arial"/>
          <w:sz w:val="20"/>
          <w:szCs w:val="20"/>
        </w:rPr>
        <w:t>3</w:t>
      </w:r>
    </w:p>
    <w:p w:rsidR="00D346B4" w:rsidRPr="00DE475B" w:rsidRDefault="00D346B4">
      <w:pPr>
        <w:spacing w:after="40"/>
        <w:rPr>
          <w:rFonts w:ascii="Arial" w:hAnsi="Arial" w:cs="Arial"/>
          <w:b/>
          <w:bCs/>
          <w:sz w:val="20"/>
          <w:szCs w:val="20"/>
        </w:rPr>
      </w:pPr>
    </w:p>
    <w:p w:rsidR="00D346B4" w:rsidRPr="00DE475B" w:rsidRDefault="00D346B4">
      <w:pPr>
        <w:spacing w:after="40"/>
        <w:rPr>
          <w:rFonts w:ascii="Arial" w:hAnsi="Arial" w:cs="Arial"/>
          <w:sz w:val="20"/>
          <w:szCs w:val="20"/>
        </w:rPr>
      </w:pPr>
      <w:r w:rsidRPr="00DE475B">
        <w:rPr>
          <w:rFonts w:ascii="Arial" w:hAnsi="Arial" w:cs="Arial"/>
          <w:b/>
          <w:bCs/>
          <w:sz w:val="20"/>
          <w:szCs w:val="20"/>
        </w:rPr>
        <w:t xml:space="preserve">Part 4: </w:t>
      </w:r>
      <w:r w:rsidR="006702AB" w:rsidRPr="00DE475B">
        <w:rPr>
          <w:rFonts w:ascii="Arial" w:hAnsi="Arial" w:cs="Arial"/>
          <w:b/>
          <w:bCs/>
          <w:sz w:val="20"/>
          <w:szCs w:val="20"/>
        </w:rPr>
        <w:t>Strategic Plan 201</w:t>
      </w:r>
      <w:r w:rsidR="00E603C5" w:rsidRPr="00DE475B">
        <w:rPr>
          <w:rFonts w:ascii="Arial" w:hAnsi="Arial" w:cs="Arial"/>
          <w:b/>
          <w:bCs/>
          <w:sz w:val="20"/>
          <w:szCs w:val="20"/>
        </w:rPr>
        <w:t>7</w:t>
      </w:r>
      <w:r w:rsidR="006702AB" w:rsidRPr="00DE475B">
        <w:rPr>
          <w:rFonts w:ascii="Arial" w:hAnsi="Arial" w:cs="Arial"/>
          <w:b/>
          <w:bCs/>
          <w:sz w:val="20"/>
          <w:szCs w:val="20"/>
        </w:rPr>
        <w:t>–</w:t>
      </w:r>
      <w:r w:rsidR="00E603C5" w:rsidRPr="00DE475B">
        <w:rPr>
          <w:rFonts w:ascii="Arial" w:hAnsi="Arial" w:cs="Arial"/>
          <w:b/>
          <w:bCs/>
          <w:sz w:val="20"/>
          <w:szCs w:val="20"/>
        </w:rPr>
        <w:t>21</w:t>
      </w:r>
      <w:r w:rsidR="006702AB" w:rsidRPr="00DE475B">
        <w:rPr>
          <w:rFonts w:ascii="Arial" w:hAnsi="Arial" w:cs="Arial"/>
          <w:spacing w:val="20"/>
          <w:sz w:val="16"/>
          <w:szCs w:val="16"/>
        </w:rPr>
        <w:t xml:space="preserve"> </w:t>
      </w:r>
      <w:r w:rsidR="00077B23" w:rsidRPr="00DE475B">
        <w:rPr>
          <w:rFonts w:ascii="Arial" w:hAnsi="Arial" w:cs="Arial"/>
          <w:spacing w:val="20"/>
          <w:sz w:val="16"/>
          <w:szCs w:val="16"/>
        </w:rPr>
        <w:t xml:space="preserve">. </w:t>
      </w:r>
      <w:r w:rsidRPr="00DE475B">
        <w:rPr>
          <w:rFonts w:ascii="Arial" w:hAnsi="Arial" w:cs="Arial"/>
          <w:spacing w:val="20"/>
          <w:sz w:val="16"/>
          <w:szCs w:val="16"/>
        </w:rPr>
        <w:t>. . . . . . . . . . . . . . . . . . . . . . . . . . . . . . . . . . . . . .</w:t>
      </w:r>
      <w:r w:rsidRPr="00DE475B">
        <w:rPr>
          <w:rFonts w:ascii="Arial" w:hAnsi="Arial" w:cs="Arial"/>
          <w:spacing w:val="20"/>
          <w:sz w:val="16"/>
          <w:szCs w:val="16"/>
        </w:rPr>
        <w:tab/>
      </w:r>
      <w:r w:rsidR="000B4A17">
        <w:rPr>
          <w:rFonts w:ascii="Arial" w:hAnsi="Arial" w:cs="Arial"/>
          <w:sz w:val="20"/>
          <w:szCs w:val="20"/>
        </w:rPr>
        <w:t>3</w:t>
      </w:r>
      <w:r w:rsidR="0053156C">
        <w:rPr>
          <w:rFonts w:ascii="Arial" w:hAnsi="Arial" w:cs="Arial"/>
          <w:sz w:val="20"/>
          <w:szCs w:val="20"/>
        </w:rPr>
        <w:t>8</w:t>
      </w:r>
    </w:p>
    <w:p w:rsidR="00D346B4" w:rsidRPr="00DE475B" w:rsidRDefault="00D346B4">
      <w:pPr>
        <w:tabs>
          <w:tab w:val="left" w:pos="5001"/>
        </w:tabs>
        <w:spacing w:after="40"/>
        <w:rPr>
          <w:rFonts w:ascii="Arial" w:hAnsi="Arial" w:cs="Arial"/>
          <w:b/>
          <w:bCs/>
          <w:sz w:val="20"/>
          <w:szCs w:val="20"/>
        </w:rPr>
      </w:pPr>
      <w:r w:rsidRPr="00DE475B">
        <w:rPr>
          <w:rFonts w:ascii="Arial" w:hAnsi="Arial" w:cs="Arial"/>
          <w:b/>
          <w:bCs/>
          <w:sz w:val="20"/>
          <w:szCs w:val="20"/>
        </w:rPr>
        <w:tab/>
      </w:r>
    </w:p>
    <w:p w:rsidR="00D346B4" w:rsidRPr="00DE475B" w:rsidRDefault="00077B23">
      <w:pPr>
        <w:spacing w:after="40"/>
        <w:rPr>
          <w:rFonts w:ascii="Arial" w:hAnsi="Arial" w:cs="Arial"/>
          <w:b/>
          <w:bCs/>
          <w:sz w:val="20"/>
          <w:szCs w:val="20"/>
        </w:rPr>
      </w:pPr>
      <w:r w:rsidRPr="00DE475B">
        <w:rPr>
          <w:rFonts w:ascii="Arial" w:hAnsi="Arial" w:cs="Arial"/>
          <w:b/>
          <w:bCs/>
          <w:sz w:val="20"/>
          <w:szCs w:val="20"/>
        </w:rPr>
        <w:t>Part 5</w:t>
      </w:r>
      <w:r w:rsidR="00D346B4" w:rsidRPr="00DE475B">
        <w:rPr>
          <w:rFonts w:ascii="Arial" w:hAnsi="Arial" w:cs="Arial"/>
          <w:b/>
          <w:bCs/>
          <w:sz w:val="20"/>
          <w:szCs w:val="20"/>
        </w:rPr>
        <w:t>: Financial report</w:t>
      </w:r>
      <w:r w:rsidR="00D346B4" w:rsidRPr="00DE475B">
        <w:rPr>
          <w:rFonts w:ascii="Arial" w:hAnsi="Arial" w:cs="Arial"/>
          <w:b/>
          <w:bCs/>
          <w:color w:val="F04023"/>
          <w:sz w:val="20"/>
          <w:szCs w:val="20"/>
        </w:rPr>
        <w:t xml:space="preserve"> </w:t>
      </w:r>
      <w:r w:rsidR="00D346B4" w:rsidRPr="00DE475B">
        <w:rPr>
          <w:rFonts w:ascii="Arial" w:hAnsi="Arial" w:cs="Arial"/>
          <w:spacing w:val="20"/>
          <w:sz w:val="16"/>
          <w:szCs w:val="16"/>
        </w:rPr>
        <w:t>. . . . . . . . . . . . . . . . . . . . . . . . . . . . . . . . . . . . . . . . . . . .</w:t>
      </w:r>
      <w:r w:rsidR="00D346B4" w:rsidRPr="00DE475B">
        <w:rPr>
          <w:rFonts w:ascii="Arial" w:hAnsi="Arial" w:cs="Arial"/>
          <w:b/>
          <w:bCs/>
          <w:color w:val="F04023"/>
          <w:sz w:val="20"/>
          <w:szCs w:val="20"/>
        </w:rPr>
        <w:tab/>
      </w:r>
      <w:r w:rsidR="0053156C">
        <w:rPr>
          <w:rFonts w:ascii="Arial" w:hAnsi="Arial" w:cs="Arial"/>
          <w:sz w:val="20"/>
          <w:szCs w:val="20"/>
        </w:rPr>
        <w:t>40</w:t>
      </w:r>
    </w:p>
    <w:p w:rsidR="00D346B4" w:rsidRPr="00DE475B" w:rsidRDefault="00D346B4">
      <w:pPr>
        <w:spacing w:after="40"/>
        <w:rPr>
          <w:rFonts w:ascii="Arial" w:hAnsi="Arial" w:cs="Arial"/>
          <w:b/>
          <w:bCs/>
          <w:sz w:val="20"/>
          <w:szCs w:val="20"/>
        </w:rPr>
      </w:pPr>
    </w:p>
    <w:p w:rsidR="00D346B4" w:rsidRPr="00DE475B" w:rsidRDefault="00077B23">
      <w:pPr>
        <w:spacing w:after="40"/>
        <w:rPr>
          <w:rFonts w:ascii="Arial" w:hAnsi="Arial" w:cs="Arial"/>
          <w:sz w:val="20"/>
          <w:szCs w:val="20"/>
        </w:rPr>
      </w:pPr>
      <w:r w:rsidRPr="00DE475B">
        <w:rPr>
          <w:rFonts w:ascii="Arial" w:hAnsi="Arial" w:cs="Arial"/>
          <w:b/>
          <w:bCs/>
          <w:sz w:val="20"/>
          <w:szCs w:val="20"/>
        </w:rPr>
        <w:t>Part 6</w:t>
      </w:r>
      <w:r w:rsidR="00D346B4" w:rsidRPr="00DE475B">
        <w:rPr>
          <w:rFonts w:ascii="Arial" w:hAnsi="Arial" w:cs="Arial"/>
          <w:b/>
          <w:bCs/>
          <w:sz w:val="20"/>
          <w:szCs w:val="20"/>
        </w:rPr>
        <w:t>: Appendices</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Appendix A: Functions of the Library Board </w:t>
      </w:r>
      <w:r w:rsidRPr="00DE475B">
        <w:rPr>
          <w:rFonts w:ascii="Arial" w:hAnsi="Arial" w:cs="Arial"/>
          <w:spacing w:val="20"/>
          <w:sz w:val="16"/>
          <w:szCs w:val="16"/>
        </w:rPr>
        <w:t xml:space="preserve">. . . . . . . . . . . . . . . . . . . . . . . . . . . . . . . </w:t>
      </w:r>
      <w:r w:rsidR="00E6669F" w:rsidRPr="00DE475B">
        <w:rPr>
          <w:rFonts w:ascii="Arial" w:hAnsi="Arial" w:cs="Arial"/>
          <w:sz w:val="20"/>
          <w:szCs w:val="20"/>
        </w:rPr>
        <w:tab/>
      </w:r>
      <w:r w:rsidR="000B4A17">
        <w:rPr>
          <w:rFonts w:ascii="Arial" w:hAnsi="Arial" w:cs="Arial"/>
          <w:sz w:val="20"/>
          <w:szCs w:val="20"/>
        </w:rPr>
        <w:t>8</w:t>
      </w:r>
      <w:r w:rsidR="006F6DEB">
        <w:rPr>
          <w:rFonts w:ascii="Arial" w:hAnsi="Arial" w:cs="Arial"/>
          <w:sz w:val="20"/>
          <w:szCs w:val="20"/>
        </w:rPr>
        <w:t>6</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Appendix B: Library Board member biographies </w:t>
      </w:r>
      <w:r w:rsidRPr="00DE475B">
        <w:rPr>
          <w:rFonts w:ascii="Arial" w:hAnsi="Arial" w:cs="Arial"/>
          <w:spacing w:val="20"/>
          <w:sz w:val="16"/>
          <w:szCs w:val="16"/>
        </w:rPr>
        <w:t>. . . . . . . . . . . . . . . . . . . . . . . . . . . .</w:t>
      </w:r>
      <w:r w:rsidRPr="00DE475B">
        <w:rPr>
          <w:rFonts w:ascii="Arial" w:hAnsi="Arial" w:cs="Arial"/>
          <w:sz w:val="20"/>
          <w:szCs w:val="20"/>
        </w:rPr>
        <w:tab/>
      </w:r>
      <w:r w:rsidR="000B4A17">
        <w:rPr>
          <w:rFonts w:ascii="Arial" w:hAnsi="Arial" w:cs="Arial"/>
          <w:sz w:val="20"/>
          <w:szCs w:val="20"/>
        </w:rPr>
        <w:t>8</w:t>
      </w:r>
      <w:r w:rsidR="006F6DEB">
        <w:rPr>
          <w:rFonts w:ascii="Arial" w:hAnsi="Arial" w:cs="Arial"/>
          <w:sz w:val="20"/>
          <w:szCs w:val="20"/>
        </w:rPr>
        <w:t>7</w:t>
      </w:r>
    </w:p>
    <w:p w:rsidR="00D346B4" w:rsidRPr="00DE475B" w:rsidRDefault="00D346B4" w:rsidP="00D02FE7">
      <w:pPr>
        <w:spacing w:after="40"/>
        <w:rPr>
          <w:rFonts w:ascii="Arial" w:hAnsi="Arial" w:cs="Arial"/>
          <w:sz w:val="20"/>
          <w:szCs w:val="20"/>
        </w:rPr>
      </w:pPr>
      <w:r w:rsidRPr="00DE475B">
        <w:rPr>
          <w:rFonts w:ascii="Arial" w:hAnsi="Arial" w:cs="Arial"/>
          <w:sz w:val="20"/>
          <w:szCs w:val="20"/>
        </w:rPr>
        <w:t xml:space="preserve">Appendix </w:t>
      </w:r>
      <w:r w:rsidR="004028CF" w:rsidRPr="00DE475B">
        <w:rPr>
          <w:rFonts w:ascii="Arial" w:hAnsi="Arial" w:cs="Arial"/>
          <w:sz w:val="20"/>
          <w:szCs w:val="20"/>
        </w:rPr>
        <w:t>C: Library Board committee and advisory g</w:t>
      </w:r>
      <w:r w:rsidRPr="00DE475B">
        <w:rPr>
          <w:rFonts w:ascii="Arial" w:hAnsi="Arial" w:cs="Arial"/>
          <w:sz w:val="20"/>
          <w:szCs w:val="20"/>
        </w:rPr>
        <w:t>roups</w:t>
      </w:r>
      <w:r w:rsidR="005B0D8F" w:rsidRPr="00DE475B">
        <w:rPr>
          <w:rFonts w:ascii="Arial" w:hAnsi="Arial" w:cs="Arial"/>
          <w:sz w:val="20"/>
          <w:szCs w:val="20"/>
        </w:rPr>
        <w:t xml:space="preserve"> .</w:t>
      </w:r>
      <w:r w:rsidRPr="00DE475B">
        <w:rPr>
          <w:rFonts w:ascii="Arial" w:hAnsi="Arial" w:cs="Arial"/>
          <w:sz w:val="20"/>
          <w:szCs w:val="20"/>
        </w:rPr>
        <w:t xml:space="preserve"> </w:t>
      </w:r>
      <w:r w:rsidR="004028CF" w:rsidRPr="00DE475B">
        <w:rPr>
          <w:rFonts w:ascii="Arial" w:hAnsi="Arial" w:cs="Arial"/>
          <w:spacing w:val="20"/>
          <w:sz w:val="16"/>
          <w:szCs w:val="16"/>
        </w:rPr>
        <w:t xml:space="preserve">. </w:t>
      </w:r>
      <w:r w:rsidRPr="00DE475B">
        <w:rPr>
          <w:rFonts w:ascii="Arial" w:hAnsi="Arial" w:cs="Arial"/>
          <w:spacing w:val="20"/>
          <w:sz w:val="16"/>
          <w:szCs w:val="16"/>
        </w:rPr>
        <w:t xml:space="preserve">. . . . . . . . . . . . . . . . . . . </w:t>
      </w:r>
      <w:r w:rsidR="0053156C">
        <w:rPr>
          <w:rFonts w:ascii="Arial" w:hAnsi="Arial" w:cs="Arial"/>
          <w:sz w:val="20"/>
          <w:szCs w:val="20"/>
        </w:rPr>
        <w:t>8</w:t>
      </w:r>
      <w:r w:rsidR="006F6DEB">
        <w:rPr>
          <w:rFonts w:ascii="Arial" w:hAnsi="Arial" w:cs="Arial"/>
          <w:sz w:val="20"/>
          <w:szCs w:val="20"/>
        </w:rPr>
        <w:t>9</w:t>
      </w:r>
    </w:p>
    <w:p w:rsidR="00D346B4" w:rsidRPr="00DE475B" w:rsidRDefault="00D346B4">
      <w:pPr>
        <w:spacing w:after="40"/>
        <w:rPr>
          <w:rFonts w:ascii="Arial" w:hAnsi="Arial" w:cs="Arial"/>
          <w:b/>
          <w:bCs/>
          <w:sz w:val="20"/>
          <w:szCs w:val="20"/>
        </w:rPr>
      </w:pPr>
    </w:p>
    <w:p w:rsidR="00D346B4" w:rsidRPr="00DE475B" w:rsidRDefault="00D346B4">
      <w:pPr>
        <w:spacing w:after="40"/>
      </w:pPr>
      <w:r w:rsidRPr="00DE475B">
        <w:rPr>
          <w:rFonts w:ascii="Arial" w:hAnsi="Arial" w:cs="Arial"/>
          <w:b/>
          <w:bCs/>
          <w:sz w:val="20"/>
          <w:szCs w:val="20"/>
        </w:rPr>
        <w:t xml:space="preserve">Glossary </w:t>
      </w:r>
      <w:r w:rsidRPr="00DE475B">
        <w:rPr>
          <w:rFonts w:ascii="Arial" w:hAnsi="Arial" w:cs="Arial"/>
          <w:spacing w:val="20"/>
          <w:sz w:val="16"/>
          <w:szCs w:val="16"/>
        </w:rPr>
        <w:t xml:space="preserve">. . . . . . . . . . . . . . . . . . . . . . . . . . . . . . . . . . . . . . . . . . . . . . . . . . . . . . </w:t>
      </w:r>
      <w:r w:rsidRPr="00DE475B">
        <w:rPr>
          <w:rFonts w:ascii="Arial" w:hAnsi="Arial" w:cs="Arial"/>
          <w:b/>
          <w:bCs/>
          <w:color w:val="F04023"/>
          <w:sz w:val="20"/>
          <w:szCs w:val="20"/>
        </w:rPr>
        <w:tab/>
      </w:r>
      <w:r w:rsidR="0053156C">
        <w:rPr>
          <w:rFonts w:ascii="Arial" w:hAnsi="Arial" w:cs="Arial"/>
          <w:sz w:val="20"/>
          <w:szCs w:val="20"/>
        </w:rPr>
        <w:t>9</w:t>
      </w:r>
      <w:r w:rsidR="006F6DEB">
        <w:rPr>
          <w:rFonts w:ascii="Arial" w:hAnsi="Arial" w:cs="Arial"/>
          <w:sz w:val="20"/>
          <w:szCs w:val="20"/>
        </w:rPr>
        <w:t>1</w:t>
      </w:r>
    </w:p>
    <w:p w:rsidR="00D346B4" w:rsidRPr="00DE475B" w:rsidRDefault="00D346B4"/>
    <w:p w:rsidR="00D346B4" w:rsidRPr="00DE475B" w:rsidRDefault="00D346B4" w:rsidP="00075085">
      <w:pPr>
        <w:tabs>
          <w:tab w:val="left" w:pos="7938"/>
        </w:tabs>
      </w:pPr>
    </w:p>
    <w:p w:rsidR="00D346B4" w:rsidRPr="00DE475B" w:rsidRDefault="00D346B4"/>
    <w:p w:rsidR="00D346B4" w:rsidRPr="00DE475B" w:rsidRDefault="00D346B4"/>
    <w:p w:rsidR="00D346B4" w:rsidRPr="00DE475B" w:rsidRDefault="00D346B4"/>
    <w:p w:rsidR="00D346B4" w:rsidRPr="00DE475B" w:rsidRDefault="00D346B4"/>
    <w:p w:rsidR="00D346B4" w:rsidRDefault="00D346B4">
      <w:pPr>
        <w:rPr>
          <w:rFonts w:ascii="Arial" w:hAnsi="Arial" w:cs="Arial"/>
          <w:sz w:val="22"/>
          <w:szCs w:val="22"/>
        </w:rPr>
      </w:pPr>
    </w:p>
    <w:p w:rsidR="008F682C" w:rsidRDefault="008F682C">
      <w:pPr>
        <w:rPr>
          <w:rFonts w:ascii="Arial" w:hAnsi="Arial" w:cs="Arial"/>
          <w:sz w:val="22"/>
          <w:szCs w:val="22"/>
        </w:rPr>
      </w:pPr>
    </w:p>
    <w:p w:rsidR="008F682C" w:rsidRDefault="008F682C">
      <w:pPr>
        <w:rPr>
          <w:rFonts w:ascii="Arial" w:hAnsi="Arial" w:cs="Arial"/>
          <w:sz w:val="22"/>
          <w:szCs w:val="22"/>
        </w:rPr>
      </w:pPr>
    </w:p>
    <w:p w:rsidR="008F682C" w:rsidRDefault="008F682C">
      <w:pPr>
        <w:rPr>
          <w:rFonts w:ascii="Arial" w:hAnsi="Arial" w:cs="Arial"/>
          <w:sz w:val="22"/>
          <w:szCs w:val="22"/>
        </w:rPr>
      </w:pPr>
    </w:p>
    <w:p w:rsidR="008F682C" w:rsidRDefault="008F682C">
      <w:pPr>
        <w:rPr>
          <w:rFonts w:ascii="Arial" w:hAnsi="Arial" w:cs="Arial"/>
          <w:sz w:val="22"/>
          <w:szCs w:val="22"/>
        </w:rPr>
      </w:pPr>
    </w:p>
    <w:p w:rsidR="008F682C" w:rsidRDefault="008F682C">
      <w:pPr>
        <w:rPr>
          <w:rFonts w:ascii="Arial" w:hAnsi="Arial" w:cs="Arial"/>
          <w:sz w:val="22"/>
          <w:szCs w:val="22"/>
        </w:rPr>
      </w:pPr>
    </w:p>
    <w:p w:rsidR="008F682C" w:rsidRDefault="008F682C">
      <w:pPr>
        <w:rPr>
          <w:rFonts w:ascii="Arial" w:hAnsi="Arial" w:cs="Arial"/>
          <w:sz w:val="22"/>
          <w:szCs w:val="22"/>
        </w:rPr>
      </w:pPr>
    </w:p>
    <w:p w:rsidR="008F682C" w:rsidRDefault="008F682C">
      <w:pPr>
        <w:rPr>
          <w:rFonts w:ascii="Arial" w:hAnsi="Arial" w:cs="Arial"/>
          <w:sz w:val="22"/>
          <w:szCs w:val="22"/>
        </w:rPr>
      </w:pPr>
    </w:p>
    <w:p w:rsidR="008F682C" w:rsidRDefault="008F682C">
      <w:pPr>
        <w:rPr>
          <w:rFonts w:ascii="Arial" w:hAnsi="Arial" w:cs="Arial"/>
          <w:sz w:val="22"/>
          <w:szCs w:val="22"/>
        </w:rPr>
      </w:pPr>
    </w:p>
    <w:p w:rsidR="008F682C" w:rsidRDefault="008F682C">
      <w:pPr>
        <w:rPr>
          <w:rFonts w:ascii="Arial" w:hAnsi="Arial" w:cs="Arial"/>
          <w:sz w:val="22"/>
          <w:szCs w:val="22"/>
        </w:rPr>
      </w:pPr>
    </w:p>
    <w:p w:rsidR="008F682C" w:rsidRDefault="008F682C">
      <w:pPr>
        <w:rPr>
          <w:rFonts w:ascii="Arial" w:hAnsi="Arial" w:cs="Arial"/>
          <w:sz w:val="22"/>
          <w:szCs w:val="22"/>
        </w:rPr>
      </w:pPr>
    </w:p>
    <w:p w:rsidR="001E372E" w:rsidRDefault="001E372E">
      <w:pPr>
        <w:rPr>
          <w:rFonts w:ascii="Arial" w:hAnsi="Arial" w:cs="Arial"/>
          <w:sz w:val="22"/>
          <w:szCs w:val="22"/>
        </w:rPr>
      </w:pPr>
    </w:p>
    <w:p w:rsidR="008F682C" w:rsidRDefault="008F682C">
      <w:pPr>
        <w:rPr>
          <w:rFonts w:ascii="Arial" w:hAnsi="Arial" w:cs="Arial"/>
          <w:sz w:val="22"/>
          <w:szCs w:val="22"/>
        </w:rPr>
      </w:pPr>
    </w:p>
    <w:p w:rsidR="008F682C" w:rsidRDefault="008F682C">
      <w:pPr>
        <w:rPr>
          <w:rFonts w:ascii="Arial" w:hAnsi="Arial" w:cs="Arial"/>
          <w:sz w:val="22"/>
          <w:szCs w:val="22"/>
        </w:rPr>
      </w:pPr>
    </w:p>
    <w:p w:rsidR="008F682C" w:rsidRPr="003369C1" w:rsidRDefault="008F682C">
      <w:pPr>
        <w:rPr>
          <w:rFonts w:ascii="Arial" w:hAnsi="Arial" w:cs="Arial"/>
          <w:i/>
          <w:sz w:val="20"/>
          <w:szCs w:val="20"/>
        </w:rPr>
      </w:pPr>
      <w:r w:rsidRPr="003369C1">
        <w:rPr>
          <w:rFonts w:ascii="Arial" w:hAnsi="Arial" w:cs="Arial"/>
          <w:i/>
          <w:sz w:val="20"/>
          <w:szCs w:val="20"/>
        </w:rPr>
        <w:t>Please be aware that this document may contain images or names of people who have passed away.</w:t>
      </w:r>
    </w:p>
    <w:p w:rsidR="00D346B4" w:rsidRPr="00DE475B" w:rsidRDefault="00151F4E">
      <w:pPr>
        <w:pageBreakBefore/>
        <w:rPr>
          <w:rFonts w:ascii="Arial" w:hAnsi="Arial" w:cs="Arial"/>
          <w:sz w:val="22"/>
          <w:szCs w:val="22"/>
        </w:rPr>
      </w:pPr>
      <w:r w:rsidRPr="007041BE">
        <w:rPr>
          <w:rFonts w:ascii="Arial" w:hAnsi="Arial" w:cs="Arial"/>
          <w:sz w:val="22"/>
          <w:szCs w:val="22"/>
        </w:rPr>
        <w:lastRenderedPageBreak/>
        <w:t>29</w:t>
      </w:r>
      <w:r w:rsidR="005F37A1" w:rsidRPr="007041BE">
        <w:rPr>
          <w:rFonts w:ascii="Arial" w:hAnsi="Arial" w:cs="Arial"/>
          <w:sz w:val="22"/>
          <w:szCs w:val="22"/>
        </w:rPr>
        <w:t xml:space="preserve"> </w:t>
      </w:r>
      <w:r w:rsidRPr="007041BE">
        <w:rPr>
          <w:rFonts w:ascii="Arial" w:hAnsi="Arial" w:cs="Arial"/>
          <w:sz w:val="22"/>
          <w:szCs w:val="22"/>
        </w:rPr>
        <w:t xml:space="preserve">August </w:t>
      </w:r>
      <w:r w:rsidR="005F37A1" w:rsidRPr="007041BE">
        <w:rPr>
          <w:rFonts w:ascii="Arial" w:hAnsi="Arial" w:cs="Arial"/>
          <w:sz w:val="22"/>
          <w:szCs w:val="22"/>
        </w:rPr>
        <w:t>201</w:t>
      </w:r>
      <w:r w:rsidR="008877D9" w:rsidRPr="007041BE">
        <w:rPr>
          <w:rFonts w:ascii="Arial" w:hAnsi="Arial" w:cs="Arial"/>
          <w:sz w:val="22"/>
          <w:szCs w:val="22"/>
        </w:rPr>
        <w:t>7</w:t>
      </w:r>
    </w:p>
    <w:p w:rsidR="00D346B4" w:rsidRPr="00DE475B" w:rsidRDefault="00D346B4">
      <w:pPr>
        <w:rPr>
          <w:rFonts w:ascii="Arial" w:hAnsi="Arial" w:cs="Arial"/>
          <w:sz w:val="22"/>
          <w:szCs w:val="22"/>
        </w:rPr>
      </w:pPr>
    </w:p>
    <w:p w:rsidR="00D346B4" w:rsidRPr="00DE475B" w:rsidRDefault="00D346B4">
      <w:pPr>
        <w:rPr>
          <w:rFonts w:ascii="Arial" w:hAnsi="Arial" w:cs="Arial"/>
          <w:sz w:val="22"/>
          <w:szCs w:val="22"/>
        </w:rPr>
      </w:pPr>
    </w:p>
    <w:p w:rsidR="00D346B4" w:rsidRPr="00DE475B" w:rsidRDefault="00D346B4">
      <w:pPr>
        <w:rPr>
          <w:rFonts w:ascii="Arial" w:hAnsi="Arial" w:cs="Arial"/>
          <w:sz w:val="22"/>
          <w:szCs w:val="22"/>
        </w:rPr>
      </w:pPr>
    </w:p>
    <w:p w:rsidR="00D346B4" w:rsidRPr="00DE475B" w:rsidRDefault="00D346B4">
      <w:pPr>
        <w:rPr>
          <w:rFonts w:ascii="Arial" w:hAnsi="Arial" w:cs="Arial"/>
          <w:sz w:val="22"/>
          <w:szCs w:val="22"/>
        </w:rPr>
      </w:pPr>
      <w:r w:rsidRPr="00DE475B">
        <w:rPr>
          <w:rFonts w:ascii="Arial" w:hAnsi="Arial" w:cs="Arial"/>
          <w:sz w:val="22"/>
          <w:szCs w:val="22"/>
        </w:rPr>
        <w:t xml:space="preserve">The Honourable </w:t>
      </w:r>
      <w:proofErr w:type="spellStart"/>
      <w:r w:rsidR="005F37A1" w:rsidRPr="00DE475B">
        <w:rPr>
          <w:rFonts w:ascii="Arial" w:hAnsi="Arial" w:cs="Arial"/>
          <w:sz w:val="22"/>
          <w:szCs w:val="22"/>
        </w:rPr>
        <w:t>Leeanne</w:t>
      </w:r>
      <w:proofErr w:type="spellEnd"/>
      <w:r w:rsidR="005F37A1" w:rsidRPr="00DE475B">
        <w:rPr>
          <w:rFonts w:ascii="Arial" w:hAnsi="Arial" w:cs="Arial"/>
          <w:sz w:val="22"/>
          <w:szCs w:val="22"/>
        </w:rPr>
        <w:t xml:space="preserve"> Enoch</w:t>
      </w:r>
      <w:r w:rsidRPr="00DE475B">
        <w:rPr>
          <w:rFonts w:ascii="Arial" w:hAnsi="Arial" w:cs="Arial"/>
          <w:sz w:val="22"/>
          <w:szCs w:val="22"/>
        </w:rPr>
        <w:t xml:space="preserve"> MP</w:t>
      </w:r>
    </w:p>
    <w:p w:rsidR="003B60D4" w:rsidRPr="00DE475B" w:rsidRDefault="003B60D4">
      <w:pPr>
        <w:rPr>
          <w:rFonts w:ascii="Arial" w:hAnsi="Arial" w:cs="Arial"/>
          <w:sz w:val="22"/>
          <w:szCs w:val="22"/>
        </w:rPr>
      </w:pPr>
      <w:r w:rsidRPr="00DE475B">
        <w:rPr>
          <w:rFonts w:ascii="Arial" w:hAnsi="Arial" w:cs="Arial"/>
          <w:sz w:val="22"/>
          <w:szCs w:val="22"/>
        </w:rPr>
        <w:t>Minister for Innovation, Science and the Digital Economy and Minister for Small Business</w:t>
      </w:r>
    </w:p>
    <w:p w:rsidR="00D346B4" w:rsidRPr="00DE475B" w:rsidRDefault="00876E1E">
      <w:pPr>
        <w:rPr>
          <w:rFonts w:ascii="Arial" w:hAnsi="Arial" w:cs="Arial"/>
          <w:sz w:val="22"/>
          <w:szCs w:val="22"/>
        </w:rPr>
      </w:pPr>
      <w:r w:rsidRPr="00DE475B">
        <w:rPr>
          <w:rFonts w:ascii="Arial" w:hAnsi="Arial" w:cs="Arial"/>
          <w:sz w:val="22"/>
          <w:szCs w:val="22"/>
        </w:rPr>
        <w:t>1 William</w:t>
      </w:r>
      <w:r w:rsidR="00F167D1" w:rsidRPr="00DE475B">
        <w:rPr>
          <w:rFonts w:ascii="Arial" w:hAnsi="Arial" w:cs="Arial"/>
          <w:sz w:val="22"/>
          <w:szCs w:val="22"/>
        </w:rPr>
        <w:t xml:space="preserve"> Street</w:t>
      </w:r>
      <w:r w:rsidR="00F41BE4" w:rsidRPr="00DE475B">
        <w:rPr>
          <w:rFonts w:ascii="Arial" w:hAnsi="Arial" w:cs="Arial"/>
          <w:sz w:val="22"/>
          <w:szCs w:val="22"/>
        </w:rPr>
        <w:br/>
        <w:t>Brisbane QLD 4000</w:t>
      </w:r>
    </w:p>
    <w:p w:rsidR="00D346B4" w:rsidRPr="00DE475B" w:rsidRDefault="00D346B4">
      <w:pPr>
        <w:rPr>
          <w:rFonts w:ascii="Arial" w:hAnsi="Arial" w:cs="Arial"/>
          <w:sz w:val="22"/>
          <w:szCs w:val="22"/>
        </w:rPr>
      </w:pPr>
    </w:p>
    <w:p w:rsidR="00D346B4" w:rsidRPr="00DE475B" w:rsidRDefault="00D346B4">
      <w:pPr>
        <w:rPr>
          <w:rFonts w:ascii="Arial" w:hAnsi="Arial" w:cs="Arial"/>
          <w:sz w:val="22"/>
          <w:szCs w:val="22"/>
        </w:rPr>
      </w:pPr>
    </w:p>
    <w:p w:rsidR="00D346B4" w:rsidRPr="00DE475B" w:rsidRDefault="00D346B4">
      <w:pPr>
        <w:rPr>
          <w:rFonts w:ascii="Arial" w:hAnsi="Arial" w:cs="Arial"/>
          <w:sz w:val="22"/>
          <w:szCs w:val="22"/>
        </w:rPr>
      </w:pPr>
      <w:r w:rsidRPr="00DE475B">
        <w:rPr>
          <w:rFonts w:ascii="Arial" w:hAnsi="Arial" w:cs="Arial"/>
          <w:sz w:val="22"/>
          <w:szCs w:val="22"/>
        </w:rPr>
        <w:t>Dear Minister</w:t>
      </w:r>
    </w:p>
    <w:p w:rsidR="00D346B4" w:rsidRPr="00DE475B" w:rsidRDefault="00D346B4">
      <w:pPr>
        <w:rPr>
          <w:rFonts w:ascii="Arial" w:hAnsi="Arial" w:cs="Arial"/>
          <w:sz w:val="22"/>
          <w:szCs w:val="22"/>
        </w:rPr>
      </w:pPr>
    </w:p>
    <w:p w:rsidR="00D346B4" w:rsidRPr="00DE475B" w:rsidRDefault="00D346B4">
      <w:pPr>
        <w:rPr>
          <w:rFonts w:ascii="Arial" w:hAnsi="Arial" w:cs="Arial"/>
          <w:sz w:val="22"/>
          <w:szCs w:val="22"/>
        </w:rPr>
      </w:pPr>
      <w:r w:rsidRPr="00DE475B">
        <w:rPr>
          <w:rFonts w:ascii="Arial" w:hAnsi="Arial" w:cs="Arial"/>
          <w:sz w:val="22"/>
          <w:szCs w:val="22"/>
        </w:rPr>
        <w:t xml:space="preserve">I am pleased to </w:t>
      </w:r>
      <w:r w:rsidR="00B17B6C" w:rsidRPr="00DE475B">
        <w:rPr>
          <w:rFonts w:ascii="Arial" w:hAnsi="Arial" w:cs="Arial"/>
          <w:sz w:val="22"/>
          <w:szCs w:val="22"/>
        </w:rPr>
        <w:t xml:space="preserve">submit for presentation to the Parliament </w:t>
      </w:r>
      <w:r w:rsidRPr="00DE475B">
        <w:rPr>
          <w:rFonts w:ascii="Arial" w:hAnsi="Arial" w:cs="Arial"/>
          <w:sz w:val="22"/>
          <w:szCs w:val="22"/>
        </w:rPr>
        <w:t>the Annual Report 201</w:t>
      </w:r>
      <w:r w:rsidR="008877D9" w:rsidRPr="00DE475B">
        <w:rPr>
          <w:rFonts w:ascii="Arial" w:hAnsi="Arial" w:cs="Arial"/>
          <w:sz w:val="22"/>
          <w:szCs w:val="22"/>
        </w:rPr>
        <w:t>6</w:t>
      </w:r>
      <w:r w:rsidRPr="00DE475B">
        <w:rPr>
          <w:rFonts w:ascii="Arial" w:hAnsi="Arial" w:cs="Arial"/>
          <w:sz w:val="22"/>
          <w:szCs w:val="22"/>
        </w:rPr>
        <w:t>–1</w:t>
      </w:r>
      <w:r w:rsidR="008877D9" w:rsidRPr="00DE475B">
        <w:rPr>
          <w:rFonts w:ascii="Arial" w:hAnsi="Arial" w:cs="Arial"/>
          <w:sz w:val="22"/>
          <w:szCs w:val="22"/>
        </w:rPr>
        <w:t>7</w:t>
      </w:r>
      <w:r w:rsidRPr="00DE475B">
        <w:rPr>
          <w:rFonts w:ascii="Arial" w:hAnsi="Arial" w:cs="Arial"/>
          <w:sz w:val="22"/>
          <w:szCs w:val="22"/>
        </w:rPr>
        <w:t xml:space="preserve"> and financial statements for the Library Board of Queensland.</w:t>
      </w:r>
    </w:p>
    <w:p w:rsidR="00D346B4" w:rsidRPr="00DE475B" w:rsidRDefault="00D346B4">
      <w:pPr>
        <w:rPr>
          <w:rFonts w:ascii="Arial" w:hAnsi="Arial" w:cs="Arial"/>
          <w:sz w:val="22"/>
          <w:szCs w:val="22"/>
        </w:rPr>
      </w:pPr>
    </w:p>
    <w:p w:rsidR="00D346B4" w:rsidRPr="00DE475B" w:rsidRDefault="00D346B4">
      <w:pPr>
        <w:rPr>
          <w:rFonts w:ascii="Arial" w:hAnsi="Arial" w:cs="Arial"/>
          <w:sz w:val="22"/>
          <w:szCs w:val="22"/>
        </w:rPr>
      </w:pPr>
      <w:r w:rsidRPr="00DE475B">
        <w:rPr>
          <w:rFonts w:ascii="Arial" w:hAnsi="Arial" w:cs="Arial"/>
          <w:sz w:val="22"/>
          <w:szCs w:val="22"/>
        </w:rPr>
        <w:t>I certify that this Annual Report complies with:</w:t>
      </w:r>
    </w:p>
    <w:p w:rsidR="00D346B4" w:rsidRPr="00DE475B" w:rsidRDefault="00D346B4" w:rsidP="00337D67">
      <w:pPr>
        <w:numPr>
          <w:ilvl w:val="0"/>
          <w:numId w:val="6"/>
        </w:numPr>
        <w:tabs>
          <w:tab w:val="left" w:pos="284"/>
        </w:tabs>
        <w:spacing w:before="120"/>
        <w:ind w:left="284" w:hanging="284"/>
        <w:rPr>
          <w:rFonts w:ascii="Arial" w:hAnsi="Arial" w:cs="Arial"/>
          <w:sz w:val="22"/>
          <w:szCs w:val="22"/>
        </w:rPr>
      </w:pPr>
      <w:r w:rsidRPr="00DE475B">
        <w:rPr>
          <w:rFonts w:ascii="Arial" w:hAnsi="Arial" w:cs="Arial"/>
          <w:sz w:val="22"/>
          <w:szCs w:val="22"/>
        </w:rPr>
        <w:t xml:space="preserve">the prescribed requirements of the </w:t>
      </w:r>
      <w:r w:rsidRPr="00DE475B">
        <w:rPr>
          <w:rFonts w:ascii="Arial" w:hAnsi="Arial" w:cs="Arial"/>
          <w:i/>
          <w:sz w:val="22"/>
          <w:szCs w:val="22"/>
        </w:rPr>
        <w:t>Financial Accountability Act 2009</w:t>
      </w:r>
      <w:r w:rsidRPr="00DE475B">
        <w:rPr>
          <w:rFonts w:ascii="Arial" w:hAnsi="Arial" w:cs="Arial"/>
          <w:sz w:val="22"/>
          <w:szCs w:val="22"/>
        </w:rPr>
        <w:t xml:space="preserve"> and the </w:t>
      </w:r>
      <w:r w:rsidRPr="00DE475B">
        <w:rPr>
          <w:rFonts w:ascii="Arial" w:hAnsi="Arial" w:cs="Arial"/>
          <w:i/>
          <w:sz w:val="22"/>
          <w:szCs w:val="22"/>
        </w:rPr>
        <w:t>Financial and Performance Management Standard 2009</w:t>
      </w:r>
      <w:r w:rsidRPr="00DE475B">
        <w:rPr>
          <w:rFonts w:ascii="Arial" w:hAnsi="Arial" w:cs="Arial"/>
          <w:sz w:val="22"/>
          <w:szCs w:val="22"/>
        </w:rPr>
        <w:t>, and</w:t>
      </w:r>
    </w:p>
    <w:p w:rsidR="00D346B4" w:rsidRPr="00DE475B" w:rsidRDefault="00D346B4" w:rsidP="00337D67">
      <w:pPr>
        <w:numPr>
          <w:ilvl w:val="0"/>
          <w:numId w:val="6"/>
        </w:numPr>
        <w:tabs>
          <w:tab w:val="left" w:pos="284"/>
        </w:tabs>
        <w:spacing w:before="120"/>
        <w:ind w:left="284" w:hanging="284"/>
        <w:rPr>
          <w:rFonts w:ascii="Arial" w:hAnsi="Arial" w:cs="Arial"/>
          <w:sz w:val="22"/>
          <w:szCs w:val="22"/>
        </w:rPr>
      </w:pPr>
      <w:proofErr w:type="gramStart"/>
      <w:r w:rsidRPr="00DE475B">
        <w:rPr>
          <w:rFonts w:ascii="Arial" w:hAnsi="Arial" w:cs="Arial"/>
          <w:sz w:val="22"/>
          <w:szCs w:val="22"/>
        </w:rPr>
        <w:t>the</w:t>
      </w:r>
      <w:proofErr w:type="gramEnd"/>
      <w:r w:rsidRPr="00DE475B">
        <w:rPr>
          <w:rFonts w:ascii="Arial" w:hAnsi="Arial" w:cs="Arial"/>
          <w:sz w:val="22"/>
          <w:szCs w:val="22"/>
        </w:rPr>
        <w:t xml:space="preserve"> detailed requirements set out in the </w:t>
      </w:r>
      <w:r w:rsidRPr="00DE475B">
        <w:rPr>
          <w:rFonts w:ascii="Arial" w:hAnsi="Arial" w:cs="Arial"/>
          <w:i/>
          <w:sz w:val="22"/>
          <w:szCs w:val="22"/>
        </w:rPr>
        <w:t>Annual report requirements for Queensland Government agencies</w:t>
      </w:r>
      <w:r w:rsidRPr="00DE475B">
        <w:rPr>
          <w:rFonts w:ascii="Arial" w:hAnsi="Arial" w:cs="Arial"/>
          <w:sz w:val="22"/>
          <w:szCs w:val="22"/>
        </w:rPr>
        <w:t>.</w:t>
      </w:r>
    </w:p>
    <w:p w:rsidR="00D346B4" w:rsidRPr="00DE475B" w:rsidRDefault="00D346B4">
      <w:pPr>
        <w:rPr>
          <w:rFonts w:ascii="Arial" w:hAnsi="Arial" w:cs="Arial"/>
          <w:sz w:val="22"/>
          <w:szCs w:val="22"/>
        </w:rPr>
      </w:pPr>
    </w:p>
    <w:p w:rsidR="00D346B4" w:rsidRPr="00DE475B" w:rsidRDefault="00D346B4">
      <w:pPr>
        <w:rPr>
          <w:rFonts w:ascii="Arial" w:hAnsi="Arial" w:cs="Arial"/>
          <w:sz w:val="22"/>
          <w:szCs w:val="22"/>
        </w:rPr>
      </w:pPr>
      <w:r w:rsidRPr="00DE475B">
        <w:rPr>
          <w:rFonts w:ascii="Arial" w:hAnsi="Arial" w:cs="Arial"/>
          <w:sz w:val="22"/>
          <w:szCs w:val="22"/>
        </w:rPr>
        <w:t xml:space="preserve">A checklist outlining the annual reporting requirements can be accessed at </w:t>
      </w:r>
    </w:p>
    <w:p w:rsidR="00D346B4" w:rsidRPr="00DE475B" w:rsidRDefault="00D346B4">
      <w:pPr>
        <w:rPr>
          <w:rFonts w:ascii="Arial" w:hAnsi="Arial" w:cs="Arial"/>
          <w:sz w:val="22"/>
          <w:szCs w:val="22"/>
        </w:rPr>
      </w:pPr>
      <w:r w:rsidRPr="00DE475B">
        <w:rPr>
          <w:rFonts w:ascii="Arial" w:hAnsi="Arial" w:cs="Arial"/>
          <w:sz w:val="22"/>
          <w:szCs w:val="22"/>
        </w:rPr>
        <w:t>www.slq.qld.gov.au/about-us/corporate/publications/corpor</w:t>
      </w:r>
      <w:r w:rsidR="005F37A1" w:rsidRPr="00DE475B">
        <w:rPr>
          <w:rFonts w:ascii="Arial" w:hAnsi="Arial" w:cs="Arial"/>
          <w:sz w:val="22"/>
          <w:szCs w:val="22"/>
        </w:rPr>
        <w:t>ate-reporting/annual-report-201</w:t>
      </w:r>
      <w:r w:rsidR="008877D9" w:rsidRPr="00DE475B">
        <w:rPr>
          <w:rFonts w:ascii="Arial" w:hAnsi="Arial" w:cs="Arial"/>
          <w:sz w:val="22"/>
          <w:szCs w:val="22"/>
        </w:rPr>
        <w:t>6</w:t>
      </w:r>
      <w:r w:rsidRPr="00DE475B">
        <w:rPr>
          <w:rFonts w:ascii="Arial" w:hAnsi="Arial" w:cs="Arial"/>
          <w:sz w:val="22"/>
          <w:szCs w:val="22"/>
        </w:rPr>
        <w:t>-1</w:t>
      </w:r>
      <w:r w:rsidR="008877D9" w:rsidRPr="00DE475B">
        <w:rPr>
          <w:rFonts w:ascii="Arial" w:hAnsi="Arial" w:cs="Arial"/>
          <w:sz w:val="22"/>
          <w:szCs w:val="22"/>
        </w:rPr>
        <w:t>7</w:t>
      </w:r>
    </w:p>
    <w:p w:rsidR="00D346B4" w:rsidRPr="00DE475B" w:rsidRDefault="00D346B4">
      <w:pPr>
        <w:rPr>
          <w:rFonts w:ascii="Arial" w:hAnsi="Arial" w:cs="Arial"/>
          <w:sz w:val="22"/>
          <w:szCs w:val="22"/>
        </w:rPr>
      </w:pPr>
    </w:p>
    <w:p w:rsidR="00D346B4" w:rsidRPr="00DE475B" w:rsidRDefault="00D346B4">
      <w:pPr>
        <w:rPr>
          <w:rFonts w:ascii="Arial" w:hAnsi="Arial" w:cs="Arial"/>
          <w:sz w:val="22"/>
          <w:szCs w:val="22"/>
        </w:rPr>
      </w:pPr>
    </w:p>
    <w:p w:rsidR="00D346B4" w:rsidRPr="00DE475B" w:rsidRDefault="00D346B4">
      <w:pPr>
        <w:rPr>
          <w:rFonts w:ascii="Arial" w:hAnsi="Arial" w:cs="Arial"/>
          <w:sz w:val="22"/>
          <w:szCs w:val="22"/>
        </w:rPr>
      </w:pPr>
    </w:p>
    <w:p w:rsidR="00D346B4" w:rsidRPr="00DE475B" w:rsidRDefault="00D346B4">
      <w:pPr>
        <w:rPr>
          <w:rFonts w:ascii="Arial" w:hAnsi="Arial" w:cs="Arial"/>
          <w:sz w:val="22"/>
          <w:szCs w:val="22"/>
        </w:rPr>
      </w:pPr>
      <w:r w:rsidRPr="00DE475B">
        <w:rPr>
          <w:rFonts w:ascii="Arial" w:hAnsi="Arial" w:cs="Arial"/>
          <w:sz w:val="22"/>
          <w:szCs w:val="22"/>
        </w:rPr>
        <w:t>Yours sincerely</w:t>
      </w:r>
    </w:p>
    <w:p w:rsidR="00D346B4" w:rsidRPr="00DE475B" w:rsidRDefault="00D346B4">
      <w:pPr>
        <w:rPr>
          <w:rFonts w:ascii="Arial" w:hAnsi="Arial" w:cs="Arial"/>
          <w:sz w:val="22"/>
          <w:szCs w:val="22"/>
        </w:rPr>
      </w:pPr>
    </w:p>
    <w:p w:rsidR="005F37A1" w:rsidRPr="00DE475B" w:rsidRDefault="002B448C">
      <w:pPr>
        <w:rPr>
          <w:rFonts w:ascii="Arial" w:hAnsi="Arial" w:cs="Arial"/>
          <w:sz w:val="22"/>
          <w:szCs w:val="22"/>
        </w:rPr>
      </w:pPr>
      <w:r>
        <w:rPr>
          <w:rFonts w:ascii="Arial" w:hAnsi="Arial" w:cs="Arial"/>
          <w:noProof/>
          <w:sz w:val="22"/>
          <w:szCs w:val="22"/>
          <w:lang w:eastAsia="en-AU"/>
        </w:rPr>
        <w:drawing>
          <wp:inline distT="0" distB="0" distL="0" distR="0">
            <wp:extent cx="2161036" cy="9906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Griffith-Sign-Hi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1036" cy="990602"/>
                    </a:xfrm>
                    <a:prstGeom prst="rect">
                      <a:avLst/>
                    </a:prstGeom>
                  </pic:spPr>
                </pic:pic>
              </a:graphicData>
            </a:graphic>
          </wp:inline>
        </w:drawing>
      </w:r>
    </w:p>
    <w:p w:rsidR="005F37A1" w:rsidRPr="00DE475B" w:rsidRDefault="005F37A1">
      <w:pPr>
        <w:rPr>
          <w:rFonts w:ascii="Arial" w:hAnsi="Arial" w:cs="Arial"/>
          <w:sz w:val="22"/>
          <w:szCs w:val="22"/>
        </w:rPr>
      </w:pPr>
    </w:p>
    <w:p w:rsidR="009F1729" w:rsidRPr="00DE475B" w:rsidRDefault="009F1729" w:rsidP="009F1729">
      <w:pPr>
        <w:rPr>
          <w:rFonts w:ascii="Arial" w:hAnsi="Arial" w:cs="Arial"/>
          <w:sz w:val="20"/>
          <w:szCs w:val="20"/>
        </w:rPr>
      </w:pPr>
      <w:r w:rsidRPr="00A658C8">
        <w:rPr>
          <w:rFonts w:ascii="Arial" w:hAnsi="Arial" w:cs="Arial"/>
          <w:sz w:val="20"/>
          <w:szCs w:val="20"/>
        </w:rPr>
        <w:t xml:space="preserve">Professor </w:t>
      </w:r>
      <w:r w:rsidRPr="00DE475B">
        <w:rPr>
          <w:rFonts w:ascii="Arial" w:hAnsi="Arial" w:cs="Arial"/>
          <w:sz w:val="20"/>
          <w:szCs w:val="20"/>
        </w:rPr>
        <w:t>Andrew Griffiths</w:t>
      </w:r>
    </w:p>
    <w:p w:rsidR="009F1729" w:rsidRPr="00DE475B" w:rsidRDefault="009F1729" w:rsidP="009F1729">
      <w:pPr>
        <w:rPr>
          <w:rFonts w:ascii="Arial" w:hAnsi="Arial" w:cs="Arial"/>
          <w:sz w:val="20"/>
          <w:szCs w:val="20"/>
        </w:rPr>
      </w:pPr>
      <w:r w:rsidRPr="00DE475B">
        <w:rPr>
          <w:rFonts w:ascii="Arial" w:hAnsi="Arial" w:cs="Arial"/>
          <w:sz w:val="20"/>
          <w:szCs w:val="20"/>
        </w:rPr>
        <w:t>Chairperson</w:t>
      </w:r>
    </w:p>
    <w:p w:rsidR="00D346B4" w:rsidRPr="00DE475B" w:rsidRDefault="009F1729" w:rsidP="009F1729">
      <w:pPr>
        <w:rPr>
          <w:rFonts w:ascii="Arial" w:hAnsi="Arial" w:cs="Arial"/>
          <w:sz w:val="22"/>
          <w:szCs w:val="22"/>
        </w:rPr>
      </w:pPr>
      <w:r w:rsidRPr="00DE475B">
        <w:rPr>
          <w:rFonts w:ascii="Arial" w:hAnsi="Arial" w:cs="Arial"/>
          <w:sz w:val="20"/>
          <w:szCs w:val="20"/>
        </w:rPr>
        <w:t>Library Board of Queensland</w:t>
      </w:r>
    </w:p>
    <w:p w:rsidR="00D346B4" w:rsidRPr="00DE475B" w:rsidRDefault="00D346B4">
      <w:pPr>
        <w:rPr>
          <w:rFonts w:ascii="Arial" w:hAnsi="Arial" w:cs="Arial"/>
          <w:sz w:val="22"/>
          <w:szCs w:val="22"/>
        </w:rPr>
      </w:pPr>
    </w:p>
    <w:p w:rsidR="00D346B4" w:rsidRPr="00DE475B" w:rsidRDefault="00D346B4">
      <w:pPr>
        <w:rPr>
          <w:rFonts w:ascii="Arial" w:hAnsi="Arial" w:cs="Arial"/>
          <w:sz w:val="22"/>
          <w:szCs w:val="22"/>
        </w:rPr>
      </w:pPr>
    </w:p>
    <w:p w:rsidR="00D346B4" w:rsidRPr="00DE475B" w:rsidRDefault="00D346B4">
      <w:pPr>
        <w:tabs>
          <w:tab w:val="left" w:pos="1999"/>
        </w:tabs>
        <w:rPr>
          <w:rFonts w:ascii="Arial" w:hAnsi="Arial" w:cs="Arial"/>
          <w:color w:val="808080"/>
          <w:sz w:val="40"/>
          <w:szCs w:val="40"/>
        </w:rPr>
      </w:pPr>
      <w:r w:rsidRPr="00DE475B">
        <w:rPr>
          <w:rFonts w:ascii="Arial" w:hAnsi="Arial" w:cs="Arial"/>
          <w:sz w:val="22"/>
          <w:szCs w:val="22"/>
        </w:rPr>
        <w:tab/>
      </w:r>
    </w:p>
    <w:p w:rsidR="00243056" w:rsidRDefault="00243056">
      <w:pPr>
        <w:suppressAutoHyphens w:val="0"/>
        <w:autoSpaceDE/>
        <w:rPr>
          <w:rFonts w:ascii="Arial" w:hAnsi="Arial" w:cs="Arial"/>
          <w:color w:val="808080"/>
          <w:sz w:val="40"/>
          <w:szCs w:val="40"/>
        </w:rPr>
      </w:pPr>
      <w:r>
        <w:rPr>
          <w:rFonts w:ascii="Arial" w:hAnsi="Arial" w:cs="Arial"/>
          <w:color w:val="808080"/>
          <w:sz w:val="40"/>
          <w:szCs w:val="40"/>
        </w:rPr>
        <w:br w:type="page"/>
      </w:r>
    </w:p>
    <w:p w:rsidR="00152C93" w:rsidRDefault="00152C93">
      <w:pPr>
        <w:suppressAutoHyphens w:val="0"/>
        <w:autoSpaceDE/>
        <w:rPr>
          <w:rFonts w:ascii="Arial" w:hAnsi="Arial" w:cs="Arial"/>
          <w:color w:val="808080"/>
          <w:sz w:val="40"/>
          <w:szCs w:val="40"/>
        </w:rPr>
      </w:pPr>
    </w:p>
    <w:p w:rsidR="00152C93" w:rsidRDefault="00152C93">
      <w:pPr>
        <w:suppressAutoHyphens w:val="0"/>
        <w:autoSpaceDE/>
        <w:rPr>
          <w:rFonts w:ascii="Arial" w:hAnsi="Arial" w:cs="Arial"/>
          <w:color w:val="808080"/>
          <w:sz w:val="40"/>
          <w:szCs w:val="40"/>
        </w:rPr>
      </w:pPr>
    </w:p>
    <w:p w:rsidR="00152C93" w:rsidRDefault="00152C93">
      <w:pPr>
        <w:suppressAutoHyphens w:val="0"/>
        <w:autoSpaceDE/>
        <w:rPr>
          <w:rFonts w:ascii="Arial" w:hAnsi="Arial" w:cs="Arial"/>
          <w:color w:val="808080"/>
          <w:sz w:val="40"/>
          <w:szCs w:val="40"/>
        </w:rPr>
      </w:pPr>
    </w:p>
    <w:p w:rsidR="00152C93" w:rsidRDefault="00152C93">
      <w:pPr>
        <w:suppressAutoHyphens w:val="0"/>
        <w:autoSpaceDE/>
        <w:rPr>
          <w:rFonts w:ascii="Arial" w:hAnsi="Arial" w:cs="Arial"/>
          <w:color w:val="808080"/>
          <w:sz w:val="40"/>
          <w:szCs w:val="40"/>
        </w:rPr>
      </w:pPr>
    </w:p>
    <w:p w:rsidR="00152C93" w:rsidRDefault="00152C93">
      <w:pPr>
        <w:suppressAutoHyphens w:val="0"/>
        <w:autoSpaceDE/>
        <w:rPr>
          <w:rFonts w:ascii="Arial" w:hAnsi="Arial" w:cs="Arial"/>
          <w:color w:val="808080"/>
          <w:sz w:val="40"/>
          <w:szCs w:val="40"/>
        </w:rPr>
      </w:pPr>
    </w:p>
    <w:p w:rsidR="00152C93" w:rsidRDefault="00152C93">
      <w:pPr>
        <w:suppressAutoHyphens w:val="0"/>
        <w:autoSpaceDE/>
        <w:rPr>
          <w:rFonts w:ascii="Arial" w:hAnsi="Arial" w:cs="Arial"/>
          <w:color w:val="808080"/>
          <w:sz w:val="40"/>
          <w:szCs w:val="40"/>
        </w:rPr>
      </w:pPr>
    </w:p>
    <w:p w:rsidR="00152C93" w:rsidRDefault="00152C93">
      <w:pPr>
        <w:suppressAutoHyphens w:val="0"/>
        <w:autoSpaceDE/>
        <w:rPr>
          <w:rFonts w:ascii="Arial" w:hAnsi="Arial" w:cs="Arial"/>
          <w:color w:val="808080"/>
          <w:sz w:val="40"/>
          <w:szCs w:val="40"/>
        </w:rPr>
      </w:pPr>
    </w:p>
    <w:p w:rsidR="00152C93" w:rsidRDefault="00152C93">
      <w:pPr>
        <w:suppressAutoHyphens w:val="0"/>
        <w:autoSpaceDE/>
        <w:rPr>
          <w:rFonts w:ascii="Arial" w:hAnsi="Arial" w:cs="Arial"/>
          <w:color w:val="808080"/>
          <w:sz w:val="40"/>
          <w:szCs w:val="40"/>
        </w:rPr>
      </w:pPr>
    </w:p>
    <w:p w:rsidR="00152C93" w:rsidRDefault="00243056" w:rsidP="00152C93">
      <w:pPr>
        <w:suppressAutoHyphens w:val="0"/>
        <w:autoSpaceDE/>
        <w:jc w:val="center"/>
        <w:rPr>
          <w:rFonts w:ascii="Arial" w:hAnsi="Arial" w:cs="Arial"/>
          <w:color w:val="808080"/>
          <w:sz w:val="40"/>
          <w:szCs w:val="40"/>
        </w:rPr>
      </w:pPr>
      <w:r>
        <w:rPr>
          <w:rFonts w:ascii="Arial" w:hAnsi="Arial" w:cs="Arial"/>
          <w:color w:val="808080"/>
          <w:sz w:val="40"/>
          <w:szCs w:val="40"/>
        </w:rPr>
        <w:t>Collection image to be inserted</w:t>
      </w:r>
    </w:p>
    <w:p w:rsidR="00152C93" w:rsidRDefault="00152C93">
      <w:pPr>
        <w:suppressAutoHyphens w:val="0"/>
        <w:autoSpaceDE/>
        <w:rPr>
          <w:rFonts w:ascii="Arial" w:hAnsi="Arial" w:cs="Arial"/>
          <w:color w:val="808080"/>
          <w:sz w:val="40"/>
          <w:szCs w:val="40"/>
        </w:rPr>
      </w:pPr>
    </w:p>
    <w:p w:rsidR="00152C93" w:rsidRDefault="00152C93">
      <w:pPr>
        <w:suppressAutoHyphens w:val="0"/>
        <w:autoSpaceDE/>
        <w:rPr>
          <w:rFonts w:ascii="Arial" w:hAnsi="Arial" w:cs="Arial"/>
          <w:color w:val="808080"/>
          <w:sz w:val="40"/>
          <w:szCs w:val="40"/>
        </w:rPr>
      </w:pPr>
    </w:p>
    <w:p w:rsidR="00152C93" w:rsidRDefault="00152C93">
      <w:pPr>
        <w:suppressAutoHyphens w:val="0"/>
        <w:autoSpaceDE/>
        <w:rPr>
          <w:rFonts w:ascii="Arial" w:hAnsi="Arial" w:cs="Arial"/>
          <w:color w:val="808080"/>
          <w:sz w:val="40"/>
          <w:szCs w:val="40"/>
        </w:rPr>
      </w:pPr>
    </w:p>
    <w:p w:rsidR="00152C93" w:rsidRDefault="00152C93">
      <w:pPr>
        <w:suppressAutoHyphens w:val="0"/>
        <w:autoSpaceDE/>
        <w:rPr>
          <w:rFonts w:ascii="Arial" w:hAnsi="Arial" w:cs="Arial"/>
          <w:color w:val="808080"/>
          <w:sz w:val="40"/>
          <w:szCs w:val="40"/>
        </w:rPr>
      </w:pPr>
    </w:p>
    <w:p w:rsidR="00152C93" w:rsidRDefault="00152C93">
      <w:pPr>
        <w:suppressAutoHyphens w:val="0"/>
        <w:autoSpaceDE/>
        <w:rPr>
          <w:rFonts w:ascii="Arial" w:hAnsi="Arial" w:cs="Arial"/>
          <w:color w:val="808080"/>
          <w:sz w:val="40"/>
          <w:szCs w:val="40"/>
        </w:rPr>
      </w:pPr>
    </w:p>
    <w:p w:rsidR="00152C93" w:rsidRDefault="00152C93">
      <w:pPr>
        <w:suppressAutoHyphens w:val="0"/>
        <w:autoSpaceDE/>
        <w:rPr>
          <w:rFonts w:ascii="Arial" w:hAnsi="Arial" w:cs="Arial"/>
          <w:color w:val="808080"/>
          <w:sz w:val="40"/>
          <w:szCs w:val="40"/>
        </w:rPr>
      </w:pPr>
    </w:p>
    <w:p w:rsidR="00243056" w:rsidRDefault="00243056">
      <w:pPr>
        <w:suppressAutoHyphens w:val="0"/>
        <w:autoSpaceDE/>
        <w:rPr>
          <w:rFonts w:ascii="Arial" w:hAnsi="Arial" w:cs="Arial"/>
          <w:color w:val="808080"/>
          <w:sz w:val="40"/>
          <w:szCs w:val="40"/>
        </w:rPr>
      </w:pPr>
      <w:r>
        <w:rPr>
          <w:rFonts w:ascii="Arial" w:hAnsi="Arial" w:cs="Arial"/>
          <w:color w:val="808080"/>
          <w:sz w:val="40"/>
          <w:szCs w:val="40"/>
        </w:rPr>
        <w:br w:type="page"/>
      </w:r>
    </w:p>
    <w:p w:rsidR="00D346B4" w:rsidRPr="00DE475B" w:rsidRDefault="00D346B4">
      <w:pPr>
        <w:pageBreakBefore/>
        <w:rPr>
          <w:rFonts w:ascii="Arial" w:hAnsi="Arial" w:cs="Arial"/>
          <w:sz w:val="40"/>
          <w:szCs w:val="40"/>
        </w:rPr>
      </w:pPr>
      <w:r w:rsidRPr="00DE475B">
        <w:rPr>
          <w:rFonts w:ascii="Arial" w:hAnsi="Arial" w:cs="Arial"/>
          <w:color w:val="808080"/>
          <w:sz w:val="40"/>
          <w:szCs w:val="40"/>
        </w:rPr>
        <w:lastRenderedPageBreak/>
        <w:t xml:space="preserve">Part 1: Introduction </w:t>
      </w:r>
    </w:p>
    <w:p w:rsidR="00D346B4" w:rsidRPr="00DE475B" w:rsidRDefault="00D346B4">
      <w:r w:rsidRPr="00DE475B">
        <w:rPr>
          <w:rFonts w:ascii="Arial" w:hAnsi="Arial" w:cs="Arial"/>
          <w:sz w:val="40"/>
          <w:szCs w:val="40"/>
        </w:rPr>
        <w:t xml:space="preserve">State Library of Queensland </w:t>
      </w:r>
    </w:p>
    <w:p w:rsidR="00D346B4" w:rsidRPr="00DE475B" w:rsidRDefault="00373FFE">
      <w:pPr>
        <w:rPr>
          <w:rFonts w:ascii="Arial" w:eastAsia="ZapfDingbatsITC" w:hAnsi="Arial" w:cs="Arial"/>
          <w:color w:val="778591"/>
          <w:sz w:val="20"/>
          <w:szCs w:val="20"/>
          <w:lang w:eastAsia="en-AU"/>
        </w:rPr>
      </w:pPr>
      <w:r w:rsidRPr="00DE475B">
        <w:rPr>
          <w:noProof/>
          <w:lang w:eastAsia="en-AU"/>
        </w:rPr>
        <mc:AlternateContent>
          <mc:Choice Requires="wps">
            <w:drawing>
              <wp:anchor distT="0" distB="0" distL="114300" distR="114300" simplePos="0" relativeHeight="251611136" behindDoc="0" locked="0" layoutInCell="1" allowOverlap="1" wp14:anchorId="53667438" wp14:editId="1C855885">
                <wp:simplePos x="0" y="0"/>
                <wp:positionH relativeFrom="column">
                  <wp:posOffset>0</wp:posOffset>
                </wp:positionH>
                <wp:positionV relativeFrom="paragraph">
                  <wp:posOffset>123190</wp:posOffset>
                </wp:positionV>
                <wp:extent cx="5715000" cy="0"/>
                <wp:effectExtent l="7620" t="12065" r="11430" b="6985"/>
                <wp:wrapNone/>
                <wp:docPr id="28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5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M9mQ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ElnGEnSgkj3XDI0dbXpO5OBSyEftMuuOsjH7l5VPwySqmiI3DHP8enYQVjsIsKLEGeYDm7Y9p8V&#10;BR/ybJUv1KHWrYOEEqCD1+M46sEOFlWwOVvEsygC2arzWUiyc2Cnjf3EVIvcIscCOHtgsr831hEh&#10;2dnF3SPVhgvh5RYS9TleTucOmUDTmZ8+0ijBqfNy/kbvtoXQaE9c5/ifTw9OXru13EL/Ct7mOB2d&#10;SNYwQktJ/XWWcDGsgZKQDpz5zhx4gnWwsPT7kLjvml/LaFmmZZoEyWReBkm0Xge3myIJ5pt4MVtP&#10;10Wxjl8c6zjJGk4pk474uYPj5N865DRLQ++NPTyWKrxE9zUFspdMbzezaJFM02CxmE2DZFpGwV26&#10;KYLbIp7PF+VdcVe+YVr67M37kB1L6VipZ1DjsaE9otw1xXS2nMQYDJj4yWLQBxGxg6eqshojrex3&#10;bhvfw677HMaF8Gnk/ifhR/ShEGcNnTWqcMrtT6lA87O+fjTcNAxztVX0+KDPIwPz7YNOb5F7QF7b&#10;sH79Yq5+AwAA//8DAFBLAwQUAAYACAAAACEAsoLZjNsAAAAGAQAADwAAAGRycy9kb3ducmV2Lnht&#10;bEyPwUoDMRCG74LvEEbwIm2iLtKumy0iiAdB2iqKt3QzbhY3yZJMu+vbO9KDHuf7h3++qVaT78UB&#10;U+5i0HA5VyAwNNF2odXw+vIwW4DIZII1fQyo4RszrOrTk8qUNo5hg4cttYJLQi6NBkc0lFLmxqE3&#10;eR4HDJx9xuQN8ZhaaZMZudz38kqpG+lNF/iCMwPeO2y+tnuv4TmNXabrolgjfbw9Pr279YXfaH1+&#10;Nt3dgiCc6G8ZfvVZHWp22sV9sFn0GvgRYrosQHC6VIrB7ghkXcn/+vUPAAAA//8DAFBLAQItABQA&#10;BgAIAAAAIQC2gziS/gAAAOEBAAATAAAAAAAAAAAAAAAAAAAAAABbQ29udGVudF9UeXBlc10ueG1s&#10;UEsBAi0AFAAGAAgAAAAhADj9If/WAAAAlAEAAAsAAAAAAAAAAAAAAAAALwEAAF9yZWxzLy5yZWxz&#10;UEsBAi0AFAAGAAgAAAAhAJQdEz2ZAgAAeQUAAA4AAAAAAAAAAAAAAAAALgIAAGRycy9lMm9Eb2Mu&#10;eG1sUEsBAi0AFAAGAAgAAAAhALKC2YzbAAAABgEAAA8AAAAAAAAAAAAAAAAA8wQAAGRycy9kb3du&#10;cmV2LnhtbFBLBQYAAAAABAAEAPMAAAD7BQAAAAA=&#10;" strokeweight=".26mm">
                <v:stroke joinstyle="miter" endcap="square"/>
              </v:line>
            </w:pict>
          </mc:Fallback>
        </mc:AlternateContent>
      </w:r>
    </w:p>
    <w:p w:rsidR="008818E0" w:rsidRPr="00DE475B" w:rsidRDefault="00B17B6C" w:rsidP="00552401">
      <w:pPr>
        <w:tabs>
          <w:tab w:val="left" w:pos="1843"/>
        </w:tabs>
        <w:spacing w:before="240" w:after="120"/>
        <w:jc w:val="both"/>
        <w:rPr>
          <w:rFonts w:ascii="Arial" w:hAnsi="Arial" w:cs="Arial"/>
          <w:b/>
          <w:color w:val="808080"/>
          <w:spacing w:val="-4"/>
          <w:sz w:val="20"/>
          <w:szCs w:val="20"/>
        </w:rPr>
      </w:pPr>
      <w:r w:rsidRPr="00DE475B">
        <w:rPr>
          <w:rFonts w:ascii="Arial" w:hAnsi="Arial" w:cs="Arial"/>
          <w:b/>
          <w:color w:val="808080"/>
          <w:sz w:val="20"/>
          <w:szCs w:val="20"/>
        </w:rPr>
        <w:t>Vision</w:t>
      </w:r>
      <w:r w:rsidRPr="00DE475B">
        <w:rPr>
          <w:rFonts w:ascii="Arial" w:hAnsi="Arial" w:cs="Arial"/>
          <w:b/>
          <w:color w:val="808080"/>
          <w:sz w:val="20"/>
          <w:szCs w:val="20"/>
        </w:rPr>
        <w:tab/>
      </w:r>
      <w:r w:rsidRPr="00DE475B">
        <w:rPr>
          <w:rFonts w:ascii="Arial" w:hAnsi="Arial" w:cs="Arial"/>
          <w:spacing w:val="-6"/>
          <w:sz w:val="20"/>
          <w:szCs w:val="20"/>
        </w:rPr>
        <w:t>We enable the growth of knowledge, innovation and enterprise in Queensland</w:t>
      </w:r>
    </w:p>
    <w:p w:rsidR="008818E0" w:rsidRPr="00DE475B" w:rsidRDefault="00B17B6C" w:rsidP="00552401">
      <w:pPr>
        <w:pStyle w:val="ARbodytext"/>
        <w:spacing w:before="40" w:after="120"/>
        <w:rPr>
          <w:spacing w:val="-4"/>
        </w:rPr>
      </w:pPr>
      <w:r w:rsidRPr="00DE475B">
        <w:rPr>
          <w:rFonts w:eastAsia="Times New Roman"/>
          <w:b/>
          <w:noProof/>
          <w:color w:val="808080"/>
          <w:lang w:eastAsia="en-AU"/>
        </w:rPr>
        <mc:AlternateContent>
          <mc:Choice Requires="wps">
            <w:drawing>
              <wp:anchor distT="0" distB="0" distL="114300" distR="114300" simplePos="0" relativeHeight="251655168" behindDoc="0" locked="0" layoutInCell="1" allowOverlap="1" wp14:anchorId="73EBD17A" wp14:editId="38D0281C">
                <wp:simplePos x="0" y="0"/>
                <wp:positionH relativeFrom="column">
                  <wp:posOffset>1208141</wp:posOffset>
                </wp:positionH>
                <wp:positionV relativeFrom="paragraph">
                  <wp:posOffset>47625</wp:posOffset>
                </wp:positionV>
                <wp:extent cx="36195" cy="36195"/>
                <wp:effectExtent l="0" t="0" r="20955" b="20955"/>
                <wp:wrapNone/>
                <wp:docPr id="283"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808080"/>
                        </a:solidFill>
                        <a:ln w="952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8" o:spid="_x0000_s1026" style="position:absolute;margin-left:95.15pt;margin-top:3.75pt;width:2.8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klFQIAAC4EAAAOAAAAZHJzL2Uyb0RvYy54bWysU8Fu2zAMvQ/YPwi6L46dpEuMOEWRrsOA&#10;ri3Q7QMUWY6FyaJGKXGyrx8lp1m6XYZhMCCQJvXE90gurw+dYXuFXoOteD4ac6ashFrbbcW/frl7&#10;N+fMB2FrYcCqih+V59ert2+WvStVAS2YWiEjEOvL3lW8DcGVWeZlqzrhR+CUpWAD2IlALm6zGkVP&#10;6J3JivH4KusBa4cglff093YI8lXCbxolw2PTeBWYqTjVFtKJ6dzEM1stRblF4VotT2WIf6iiE9rS&#10;o2eoWxEE26H+A6rTEsFDE0YSugyaRkuVOBCbfPwbm+dWOJW4kDjenWXy/w9WPuyfkOm64sV8wpkV&#10;HTXpcS8MKybzqE7vfElJz+4JIz/v7kF+88zCuhV2q24QoW+VqKmmPOZnry5Ex9NVtuk/Q03QYhcg&#10;CXVosIuAJAE7pH4cz/1Qh8Ak/Zxc5YsZZ5IigxnxRfly1aEPHxV0LBoVV8Zo56NeohT7ex+G7Jes&#10;VD0YXd9pY5KD283aICOyFZ+P45cIEMnLNGNZX/HFrJgl5Fcx/3cQCDtbUzWijEp9ONlBaDPYxMnY&#10;k3RRrUH1DdRHUg5hGFpaMjJawB+c9TSwFfffdwIVZ+aTJfUX+XQaJzw509n7ghy8jGwuI8JKgqp4&#10;4Gww12HYip1DvW3ppTzRtXBDHWt0EjN2c6jqVCwNZerIaYHi1F/6KevXmq9+AgAA//8DAFBLAwQU&#10;AAYACAAAACEAZT7l6d8AAAAIAQAADwAAAGRycy9kb3ducmV2LnhtbEyPQUvDQBCF74L/YRnBi9hd&#10;E22bmE1RQRAEwbYg3rbZMQnNzobston+eqcnvc3jPd58r1hNrhNHHELrScPNTIFAqrxtqdaw3Txf&#10;L0GEaMiazhNq+MYAq/L8rDC59SO943Eda8ElFHKjoYmxz6UMVYPOhJnvkdj78oMzkeVQSzuYkctd&#10;JxOl5tKZlvhDY3p8arDarw9Owz4bfz4WXft4pT5f/fIluU3fKq/15cX0cA8i4hT/wnDCZ3QomWnn&#10;D2SD6FhnKuWohsUdiJOfzXnbjo80AVkW8v+A8hcAAP//AwBQSwECLQAUAAYACAAAACEAtoM4kv4A&#10;AADhAQAAEwAAAAAAAAAAAAAAAAAAAAAAW0NvbnRlbnRfVHlwZXNdLnhtbFBLAQItABQABgAIAAAA&#10;IQA4/SH/1gAAAJQBAAALAAAAAAAAAAAAAAAAAC8BAABfcmVscy8ucmVsc1BLAQItABQABgAIAAAA&#10;IQDblhklFQIAAC4EAAAOAAAAAAAAAAAAAAAAAC4CAABkcnMvZTJvRG9jLnhtbFBLAQItABQABgAI&#10;AAAAIQBlPuXp3wAAAAgBAAAPAAAAAAAAAAAAAAAAAG8EAABkcnMvZG93bnJldi54bWxQSwUGAAAA&#10;AAQABADzAAAAewUAAAAA&#10;" fillcolor="gray" strokecolor="gray"/>
            </w:pict>
          </mc:Fallback>
        </mc:AlternateContent>
      </w:r>
      <w:r w:rsidR="00373FFE" w:rsidRPr="00DE475B">
        <w:rPr>
          <w:rFonts w:eastAsia="Times New Roman"/>
          <w:b/>
          <w:noProof/>
          <w:color w:val="808080"/>
          <w:lang w:eastAsia="en-AU"/>
        </w:rPr>
        <mc:AlternateContent>
          <mc:Choice Requires="wps">
            <w:drawing>
              <wp:anchor distT="0" distB="0" distL="114300" distR="114300" simplePos="0" relativeHeight="251657216" behindDoc="0" locked="0" layoutInCell="1" allowOverlap="1" wp14:anchorId="249F9E81" wp14:editId="1A9076A9">
                <wp:simplePos x="0" y="0"/>
                <wp:positionH relativeFrom="column">
                  <wp:posOffset>3583305</wp:posOffset>
                </wp:positionH>
                <wp:positionV relativeFrom="paragraph">
                  <wp:posOffset>47625</wp:posOffset>
                </wp:positionV>
                <wp:extent cx="36195" cy="36195"/>
                <wp:effectExtent l="9525" t="12700" r="11430" b="8255"/>
                <wp:wrapNone/>
                <wp:docPr id="284"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808080"/>
                        </a:solidFill>
                        <a:ln w="952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0" o:spid="_x0000_s1026" style="position:absolute;margin-left:282.15pt;margin-top:3.75pt;width:2.8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T7EwIAAC4EAAAOAAAAZHJzL2Uyb0RvYy54bWysU8Fu2zAMvQ/YPwi6L469pEuMOEWRrsOA&#10;ri3Q7QMUWbaFyaJGKXG6rx8lp2m6XYZhMCCQJvXE90iuLg+9YXuFXoOteD6ZcqashFrbtuLfvt68&#10;W3Dmg7C1MGBVxZ+U55frt29WgytVAR2YWiEjEOvLwVW8C8GVWeZlp3rhJ+CUpWAD2ItALrZZjWIg&#10;9N5kxXR6kQ2AtUOQynv6ez0G+TrhN42S4b5pvArMVJxqC+nEdG7jma1XomxRuE7LYxniH6rohbb0&#10;6AnqWgTBdqj/gOq1RPDQhImEPoOm0VIlDsQmn/7G5rETTiUuJI53J5n8/4OVd/sHZLqueLGYcWZF&#10;T0263wvDillSZ3C+pKRH94CRn3e3IL97ZmHTCduqK0QYOiVqqimPamavLkTH01W2Hb5ATdBiFyAJ&#10;dWiwj4AkATukfjyd+qEOgUn6+f4iX845kxQZzYgvyuerDn34pKBn0ai4MkY7H/USpdjf+jBmP2el&#10;6sHo+kYbkxxstxuDjMhWfDGNXyJAJM/TjGVDxZfzYp6QX8X830Eg7GydJi0q9fFoB6HNaBMnY4/S&#10;RbXi9PpyC/UTKYcwDi0tGRkd4E/OBhrYivsfO4GKM/PZkvrLfEYdYyE5s/mHghw8j2zPI8JKgqp4&#10;4Gw0N2Hcip1D3Xb0Up7oWriijjU6iflS1bFYGsrUkeMCxak/91PWy5qvfwEAAP//AwBQSwMEFAAG&#10;AAgAAAAhAHSkdm7gAAAACAEAAA8AAABkcnMvZG93bnJldi54bWxMj0FLxDAQhe+C/yGM4EXcxHa7&#10;XWvTRQVBEARXQbxlm7Et20xKk91Wf73jSY/D+3jzvXIzu14ccQydJw1XCwUCqfa2o0bD2+vD5RpE&#10;iIas6T2hhi8MsKlOT0pTWD/RCx63sRFcQqEwGtoYh0LKULfoTFj4AYmzTz86E/kcG2lHM3G562Wi&#10;1Eo60xF/aM2A9y3W++3BadhfT9/ved/dXaiPJ79+TJbpc+21Pj+bb29ARJzjHwy/+qwOFTvt/IFs&#10;EL2GbLVMGdWQZyA4z3LF23YMpgnIqpT/B1Q/AAAA//8DAFBLAQItABQABgAIAAAAIQC2gziS/gAA&#10;AOEBAAATAAAAAAAAAAAAAAAAAAAAAABbQ29udGVudF9UeXBlc10ueG1sUEsBAi0AFAAGAAgAAAAh&#10;ADj9If/WAAAAlAEAAAsAAAAAAAAAAAAAAAAALwEAAF9yZWxzLy5yZWxzUEsBAi0AFAAGAAgAAAAh&#10;AGrulPsTAgAALgQAAA4AAAAAAAAAAAAAAAAALgIAAGRycy9lMm9Eb2MueG1sUEsBAi0AFAAGAAgA&#10;AAAhAHSkdm7gAAAACAEAAA8AAAAAAAAAAAAAAAAAbQQAAGRycy9kb3ducmV2LnhtbFBLBQYAAAAA&#10;BAAEAPMAAAB6BQAAAAA=&#10;" fillcolor="gray" strokecolor="gray"/>
            </w:pict>
          </mc:Fallback>
        </mc:AlternateContent>
      </w:r>
      <w:r w:rsidR="008818E0" w:rsidRPr="00DE475B">
        <w:rPr>
          <w:rFonts w:eastAsia="Times New Roman"/>
          <w:b/>
          <w:color w:val="808080"/>
          <w:lang w:eastAsia="en-US"/>
        </w:rPr>
        <w:t xml:space="preserve">Enduring values </w:t>
      </w:r>
      <w:r w:rsidR="008818E0" w:rsidRPr="00DE475B">
        <w:rPr>
          <w:b/>
          <w:bCs/>
          <w:color w:val="F04023"/>
        </w:rPr>
        <w:tab/>
      </w:r>
      <w:proofErr w:type="gramStart"/>
      <w:r w:rsidR="008818E0" w:rsidRPr="00DE475B">
        <w:rPr>
          <w:spacing w:val="-4"/>
        </w:rPr>
        <w:t>We</w:t>
      </w:r>
      <w:proofErr w:type="gramEnd"/>
      <w:r w:rsidR="008818E0" w:rsidRPr="00DE475B">
        <w:rPr>
          <w:spacing w:val="-4"/>
        </w:rPr>
        <w:t xml:space="preserve"> provide free and equitable access</w:t>
      </w:r>
      <w:r w:rsidR="000A4ABA" w:rsidRPr="00DE475B">
        <w:rPr>
          <w:spacing w:val="-4"/>
        </w:rPr>
        <w:t xml:space="preserve"> </w:t>
      </w:r>
      <w:r w:rsidR="000A4ABA" w:rsidRPr="00DE475B">
        <w:rPr>
          <w:spacing w:val="-4"/>
        </w:rPr>
        <w:tab/>
      </w:r>
      <w:r w:rsidRPr="00DE475B">
        <w:rPr>
          <w:spacing w:val="-4"/>
        </w:rPr>
        <w:t xml:space="preserve">  </w:t>
      </w:r>
      <w:r w:rsidR="008818E0" w:rsidRPr="00DE475B">
        <w:rPr>
          <w:spacing w:val="-4"/>
        </w:rPr>
        <w:t>We share</w:t>
      </w:r>
    </w:p>
    <w:p w:rsidR="008818E0" w:rsidRPr="00DE475B" w:rsidRDefault="00552401" w:rsidP="00552401">
      <w:pPr>
        <w:pStyle w:val="ARbodytext"/>
        <w:spacing w:before="40" w:after="480"/>
        <w:ind w:left="1440" w:firstLine="720"/>
        <w:rPr>
          <w:spacing w:val="-4"/>
        </w:rPr>
      </w:pPr>
      <w:r w:rsidRPr="00DE475B">
        <w:rPr>
          <w:noProof/>
          <w:lang w:eastAsia="en-AU"/>
        </w:rPr>
        <mc:AlternateContent>
          <mc:Choice Requires="wps">
            <w:drawing>
              <wp:anchor distT="0" distB="0" distL="114300" distR="114300" simplePos="0" relativeHeight="251612160" behindDoc="0" locked="0" layoutInCell="1" allowOverlap="1" wp14:anchorId="65E397E0" wp14:editId="67465A98">
                <wp:simplePos x="0" y="0"/>
                <wp:positionH relativeFrom="column">
                  <wp:posOffset>0</wp:posOffset>
                </wp:positionH>
                <wp:positionV relativeFrom="paragraph">
                  <wp:posOffset>280406</wp:posOffset>
                </wp:positionV>
                <wp:extent cx="5715000" cy="0"/>
                <wp:effectExtent l="19050" t="19050" r="38100" b="38100"/>
                <wp:wrapNone/>
                <wp:docPr id="28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pt" to="450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PmQ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EmhPpK0INI9lwwlrjZ9ZzJwKeSDdtlVB/nY3avqh0FSFQ2RO+Y5Ph07CItdRHgR4gzTwQ3b/rOi&#10;4EOerfKFOtS6dZBQAnTwehxHPdjBogo2Z4t4FkVAqzqfhSQ7B3ba2E9MtcgtciyAswcm+3tjHRGS&#10;nV3cPVJtuBBebiFRn+PldO6QCTSd+ekjjRKcOi/nb/RuWwiN9sR1jv/59ODktVvLLfSv4G2O09GJ&#10;ZA0jtJTUX2cJF8MaKAnpwJnvzIEnWAcLS78Pifuu+bWMlmVapkmQTOZlkETrdXC7KZJgvokXs/V0&#10;XRTr+MWxjpOs4ZQy6YifOzhO/q1DTrM09N7Yw2Opwkt0X1Mge8n0djOLFsk0DRaL2TRIpmUU3KWb&#10;Irgt4vl8Ud4Vd+UbpqXP3rwP2bGUjpV6BjUeG9ojyl1TTGfLSYzBgImfLAZ9EBE7eKoqqzHSyn7n&#10;tvE97LrPYVwIn0bufxJ+RB8KcdbQWaMKp9z+lAo0P+vrR8NNwzBXW0WPD/o8MjDfPuj0FrkH5LUN&#10;69cv5uo3AAAA//8DAFBLAwQUAAYACAAAACEAohOKB9sAAAAGAQAADwAAAGRycy9kb3ducmV2Lnht&#10;bEyPQUsDMRCF74L/IYzgRdrEukhdN1tEEA+CtFUUb+lm3CxuJksy7a7/3kgPenzvDe99U60m34sD&#10;xtQF0nA5VyCQmmA7ajW8vjzMliASG7KmD4QavjHBqj49qUxpw0gbPGy5FbmEUmk0OOahlDI1Dr1J&#10;8zAg5ewzRG84y9hKG82Yy30vF0pdS286ygvODHjvsPna7r2G5zh2ia+KYo388fb49O7WF36j9fnZ&#10;dHcLgnHiv2P4xc/oUGemXdiTTaLXkB9hDUWxAJHTG6WysTsasq7kf/z6BwAA//8DAFBLAQItABQA&#10;BgAIAAAAIQC2gziS/gAAAOEBAAATAAAAAAAAAAAAAAAAAAAAAABbQ29udGVudF9UeXBlc10ueG1s&#10;UEsBAi0AFAAGAAgAAAAhADj9If/WAAAAlAEAAAsAAAAAAAAAAAAAAAAALwEAAF9yZWxzLy5yZWxz&#10;UEsBAi0AFAAGAAgAAAAhAP8g14+ZAgAAeQUAAA4AAAAAAAAAAAAAAAAALgIAAGRycy9lMm9Eb2Mu&#10;eG1sUEsBAi0AFAAGAAgAAAAhAKITigfbAAAABgEAAA8AAAAAAAAAAAAAAAAA8wQAAGRycy9kb3du&#10;cmV2LnhtbFBLBQYAAAAABAAEAPMAAAD7BQAAAAA=&#10;" strokeweight=".26mm">
                <v:stroke joinstyle="miter" endcap="square"/>
              </v:line>
            </w:pict>
          </mc:Fallback>
        </mc:AlternateContent>
      </w:r>
      <w:r w:rsidR="00B17B6C" w:rsidRPr="00DE475B">
        <w:rPr>
          <w:noProof/>
          <w:spacing w:val="-4"/>
          <w:lang w:eastAsia="en-AU"/>
        </w:rPr>
        <mc:AlternateContent>
          <mc:Choice Requires="wps">
            <w:drawing>
              <wp:anchor distT="0" distB="0" distL="114300" distR="114300" simplePos="0" relativeHeight="251656192" behindDoc="0" locked="0" layoutInCell="1" allowOverlap="1" wp14:anchorId="7C135587" wp14:editId="0CC5235E">
                <wp:simplePos x="0" y="0"/>
                <wp:positionH relativeFrom="column">
                  <wp:posOffset>1217666</wp:posOffset>
                </wp:positionH>
                <wp:positionV relativeFrom="paragraph">
                  <wp:posOffset>69215</wp:posOffset>
                </wp:positionV>
                <wp:extent cx="36195" cy="36195"/>
                <wp:effectExtent l="0" t="0" r="20955" b="20955"/>
                <wp:wrapNone/>
                <wp:docPr id="281"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808080"/>
                        </a:solidFill>
                        <a:ln w="952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9" o:spid="_x0000_s1026" style="position:absolute;margin-left:95.9pt;margin-top:5.45pt;width:2.8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hUFQIAAC4EAAAOAAAAZHJzL2Uyb0RvYy54bWysU8Fu2zAMvQ/YPwi6L47dpEuMOEWRrsOA&#10;ri3Q7QMUWbaFyaJGKXG6rx8lp1m6XYZhMCCQJvXE90iurg69YXuFXoOteD6ZcqashFrbtuJfv9y+&#10;W3Dmg7C1MGBVxZ+V51frt29WgytVAR2YWiEjEOvLwVW8C8GVWeZlp3rhJ+CUpWAD2ItALrZZjWIg&#10;9N5kxXR6mQ2AtUOQynv6ezMG+TrhN42S4aFpvArMVJxqC+nEdG7jma1XomxRuE7LYxniH6rohbb0&#10;6AnqRgTBdqj/gOq1RPDQhImEPoOm0VIlDsQmn/7G5qkTTiUuJI53J5n8/4OV9/tHZLqueLHIObOi&#10;pyY97IVhxcUyqjM4X1LSk3vEyM+7O5DfPLOw6YRt1TUiDJ0SNdWUx/zs1YXoeLrKtsNnqAla7AIk&#10;oQ4N9hGQJGCH1I/nUz/UITBJPy8u8+WcM0mR0Yz4ony56tCHjwp6Fo2KK2O081EvUYr9nQ9j9ktW&#10;qh6Mrm+1McnBdrsxyIhsxRfT+CUCRPI8zVg2VHw5L+YJ+VXM/x0Ews7WVI0oo1IfjnYQ2ow2cTL2&#10;KF1Ua1R9C/UzKYcwDi0tGRkd4A/OBhrYivvvO4GKM/PJkvrLfDaLE56c2fx9QQ6eR7bnEWElQVU8&#10;cDaamzBuxc6hbjt6KU90LVxTxxqdxIzdHKs6FktDmTpyXKA49ed+yvq15uufAAAA//8DAFBLAwQU&#10;AAYACAAAACEAR1hScuAAAAAJAQAADwAAAGRycy9kb3ducmV2LnhtbEyPQUvDQBCF74L/YRnBi9jd&#10;Vk2bmE1RQRAEwSqIt212TEJ3Z0N220R/vdOT3t5jHm++V64n78QBh9gF0jCfKRBIdbAdNRre3x4v&#10;VyBiMmSNC4QavjHCujo9KU1hw0iveNikRnAJxcJoaFPqCylj3aI3cRZ6JL59hcGbxHZopB3MyOXe&#10;yYVSmfSmI/7Qmh4fWqx3m73XsMvHn4+l6+4v1OdzWD0trq9e6qD1+dl0dwsi4ZT+wnDEZ3SomGkb&#10;9mSjcOzzOaMnFioHcQzkyxsQWxZZBrIq5f8F1S8AAAD//wMAUEsBAi0AFAAGAAgAAAAhALaDOJL+&#10;AAAA4QEAABMAAAAAAAAAAAAAAAAAAAAAAFtDb250ZW50X1R5cGVzXS54bWxQSwECLQAUAAYACAAA&#10;ACEAOP0h/9YAAACUAQAACwAAAAAAAAAAAAAAAAAvAQAAX3JlbHMvLnJlbHNQSwECLQAUAAYACAAA&#10;ACEAfS7YVBUCAAAuBAAADgAAAAAAAAAAAAAAAAAuAgAAZHJzL2Uyb0RvYy54bWxQSwECLQAUAAYA&#10;CAAAACEAR1hScuAAAAAJAQAADwAAAAAAAAAAAAAAAABvBAAAZHJzL2Rvd25yZXYueG1sUEsFBgAA&#10;AAAEAAQA8wAAAHwFAAAAAA==&#10;" fillcolor="gray" strokecolor="gray"/>
            </w:pict>
          </mc:Fallback>
        </mc:AlternateContent>
      </w:r>
      <w:r w:rsidR="00373FFE" w:rsidRPr="00DE475B">
        <w:rPr>
          <w:rFonts w:eastAsia="Times New Roman"/>
          <w:b/>
          <w:noProof/>
          <w:color w:val="808080"/>
          <w:spacing w:val="-4"/>
          <w:lang w:eastAsia="en-AU"/>
        </w:rPr>
        <mc:AlternateContent>
          <mc:Choice Requires="wps">
            <w:drawing>
              <wp:anchor distT="0" distB="0" distL="114300" distR="114300" simplePos="0" relativeHeight="251658240" behindDoc="0" locked="0" layoutInCell="1" allowOverlap="1" wp14:anchorId="01EA826D" wp14:editId="1C9A48B2">
                <wp:simplePos x="0" y="0"/>
                <wp:positionH relativeFrom="column">
                  <wp:posOffset>3582670</wp:posOffset>
                </wp:positionH>
                <wp:positionV relativeFrom="paragraph">
                  <wp:posOffset>69215</wp:posOffset>
                </wp:positionV>
                <wp:extent cx="36195" cy="36195"/>
                <wp:effectExtent l="8890" t="8890" r="12065" b="12065"/>
                <wp:wrapNone/>
                <wp:docPr id="282"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808080"/>
                        </a:solidFill>
                        <a:ln w="952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1" o:spid="_x0000_s1026" style="position:absolute;margin-left:282.1pt;margin-top:5.45pt;width:2.8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UbFAIAAC4EAAAOAAAAZHJzL2Uyb0RvYy54bWysU1Fv0zAQfkfiP1h+p2lCO9qo6TR1DCEN&#10;NmnwA1zHSSwcnzm7Tcev5+y0pYMXhFAk6y53/u67z3er60Nv2F6h12Arnk+mnCkroda2rfjXL3dv&#10;Fpz5IGwtDFhV8Wfl+fX69avV4EpVQAemVsgIxPpycBXvQnBllnnZqV74CThlKdgA9iKQi21WoxgI&#10;vTdZMZ1eZQNg7RCk8p7+3o5Bvk74TaNkeGgarwIzFSduIZ2Yzm08s/VKlC0K12l5pCH+gUUvtKWi&#10;Z6hbEQTbof4DqtcSwUMTJhL6DJpGS5V6oG7y6W/dPHXCqdQLiePdWSb//2Dl5/0jMl1XvFgUnFnR&#10;0yM97IVhxSyP6gzOl5T05B4x9ufdPchvnlnYdMK26gYRhk6Jmjil/OzFheh4usq2wyeoCVrsAiSh&#10;Dg32EZAkYIf0Hs/n91CHwCT9fHuVL+ecSYqMJvHJRHm66tCHDwp6Fo2KK2O081EvUYr9vQ9j9ikr&#10;sQej6zttTHKw3W4MMmq24otp/GLDVMBfphnLhoov58U8Ib+I+b+DQNjZmqBFGZV6f7SD0Ga0qaSx&#10;VPmk1qj6FupnUg5hHFpaMjI6wB+cDTSwFfffdwIVZ+ajJfWX+WwWJzw5s/m7ghy8jGwvI8JKgqp4&#10;4Gw0N2Hcip1D3XZUKU/tWrihF2t0EjPyG1kdydJQJsGOCxSn/tJPWb/WfP0TAAD//wMAUEsDBBQA&#10;BgAIAAAAIQBMSrB44QAAAAkBAAAPAAAAZHJzL2Rvd25yZXYueG1sTI9RS8MwFIXfBf9DuIIvsiXW&#10;La616VBBEAaCmyC+ZU1sy5Kb0mRr9dd7fdK3e+85nPudcj15x052iF1ABddzAcxiHUyHjYK33dNs&#10;BSwmjUa7gFbBl42wrs7PSl2YMOKrPW1TwygEY6EVtCn1Beexbq3XcR56i6R9hsHrROvQcDPokcK9&#10;45kQknvdIX1odW8fW1sftkev4JCP3++3rnu4Eh+bsHrOFjcvdVDq8mK6vwOW7JT+zPCLT+hQEdM+&#10;HNFE5hQs5SIjKwkiB0aGpcxp2NNBSuBVyf83qH4AAAD//wMAUEsBAi0AFAAGAAgAAAAhALaDOJL+&#10;AAAA4QEAABMAAAAAAAAAAAAAAAAAAAAAAFtDb250ZW50X1R5cGVzXS54bWxQSwECLQAUAAYACAAA&#10;ACEAOP0h/9YAAACUAQAACwAAAAAAAAAAAAAAAAAvAQAAX3JlbHMvLnJlbHNQSwECLQAUAAYACAAA&#10;ACEAhQIVGxQCAAAuBAAADgAAAAAAAAAAAAAAAAAuAgAAZHJzL2Uyb0RvYy54bWxQSwECLQAUAAYA&#10;CAAAACEATEqweOEAAAAJAQAADwAAAAAAAAAAAAAAAABuBAAAZHJzL2Rvd25yZXYueG1sUEsFBgAA&#10;AAAEAAQA8wAAAHwFAAAAAA==&#10;" fillcolor="gray" strokecolor="gray"/>
            </w:pict>
          </mc:Fallback>
        </mc:AlternateContent>
      </w:r>
      <w:r w:rsidR="008818E0" w:rsidRPr="00DE475B">
        <w:rPr>
          <w:spacing w:val="-4"/>
        </w:rPr>
        <w:t>We seek diverse voices</w:t>
      </w:r>
      <w:r w:rsidR="000A4ABA" w:rsidRPr="00DE475B">
        <w:rPr>
          <w:spacing w:val="-4"/>
        </w:rPr>
        <w:t xml:space="preserve"> </w:t>
      </w:r>
      <w:r w:rsidR="000A4ABA" w:rsidRPr="00DE475B">
        <w:rPr>
          <w:spacing w:val="-4"/>
        </w:rPr>
        <w:tab/>
      </w:r>
      <w:r w:rsidR="000A4ABA" w:rsidRPr="00DE475B">
        <w:rPr>
          <w:spacing w:val="-4"/>
        </w:rPr>
        <w:tab/>
      </w:r>
      <w:r w:rsidR="00320531" w:rsidRPr="00DE475B">
        <w:rPr>
          <w:spacing w:val="-4"/>
        </w:rPr>
        <w:tab/>
      </w:r>
      <w:r w:rsidR="00B17B6C" w:rsidRPr="00DE475B">
        <w:rPr>
          <w:spacing w:val="-4"/>
        </w:rPr>
        <w:t xml:space="preserve">  </w:t>
      </w:r>
      <w:proofErr w:type="gramStart"/>
      <w:r w:rsidR="008818E0" w:rsidRPr="00DE475B">
        <w:rPr>
          <w:spacing w:val="-4"/>
        </w:rPr>
        <w:t>We</w:t>
      </w:r>
      <w:proofErr w:type="gramEnd"/>
      <w:r w:rsidR="008818E0" w:rsidRPr="00DE475B">
        <w:rPr>
          <w:spacing w:val="-4"/>
        </w:rPr>
        <w:t xml:space="preserve"> belong to the community</w:t>
      </w:r>
    </w:p>
    <w:p w:rsidR="00552401" w:rsidRDefault="00552401" w:rsidP="00552401">
      <w:pPr>
        <w:spacing w:before="360" w:after="600"/>
        <w:rPr>
          <w:rFonts w:ascii="Arial" w:hAnsi="Arial" w:cs="Arial"/>
          <w:spacing w:val="-2"/>
          <w:sz w:val="20"/>
          <w:szCs w:val="20"/>
        </w:rPr>
        <w:sectPr w:rsidR="00552401" w:rsidSect="00B53922">
          <w:headerReference w:type="even" r:id="rId10"/>
          <w:headerReference w:type="default" r:id="rId11"/>
          <w:footerReference w:type="even" r:id="rId12"/>
          <w:footerReference w:type="default" r:id="rId13"/>
          <w:type w:val="continuous"/>
          <w:pgSz w:w="11906" w:h="16838"/>
          <w:pgMar w:top="1440" w:right="1797" w:bottom="1440" w:left="1797" w:header="709" w:footer="709" w:gutter="0"/>
          <w:cols w:space="720"/>
          <w:docGrid w:linePitch="360"/>
        </w:sectPr>
      </w:pPr>
    </w:p>
    <w:p w:rsidR="00552401" w:rsidRPr="00D65F07" w:rsidRDefault="00D346B4" w:rsidP="00552401">
      <w:pPr>
        <w:spacing w:after="120"/>
        <w:rPr>
          <w:rFonts w:ascii="Arial" w:hAnsi="Arial" w:cs="Arial"/>
          <w:sz w:val="20"/>
          <w:szCs w:val="20"/>
        </w:rPr>
      </w:pPr>
      <w:r w:rsidRPr="00D65F07">
        <w:rPr>
          <w:rFonts w:ascii="Arial" w:hAnsi="Arial" w:cs="Arial"/>
          <w:sz w:val="20"/>
          <w:szCs w:val="20"/>
        </w:rPr>
        <w:lastRenderedPageBreak/>
        <w:t xml:space="preserve">State Library of Queensland (SLQ) </w:t>
      </w:r>
      <w:r w:rsidR="00CA625F" w:rsidRPr="00D65F07">
        <w:rPr>
          <w:rFonts w:ascii="Arial" w:hAnsi="Arial" w:cs="Arial"/>
          <w:sz w:val="20"/>
          <w:szCs w:val="20"/>
        </w:rPr>
        <w:t xml:space="preserve">is a vital </w:t>
      </w:r>
      <w:r w:rsidR="00A12C09" w:rsidRPr="00D65F07">
        <w:rPr>
          <w:rFonts w:ascii="Arial" w:hAnsi="Arial" w:cs="Arial"/>
          <w:sz w:val="20"/>
          <w:szCs w:val="20"/>
        </w:rPr>
        <w:t xml:space="preserve">and innovative </w:t>
      </w:r>
      <w:r w:rsidR="00CA625F" w:rsidRPr="00D65F07">
        <w:rPr>
          <w:rFonts w:ascii="Arial" w:hAnsi="Arial" w:cs="Arial"/>
          <w:sz w:val="20"/>
          <w:szCs w:val="20"/>
        </w:rPr>
        <w:t xml:space="preserve">community resource — a </w:t>
      </w:r>
      <w:r w:rsidR="003C3CAB" w:rsidRPr="00D65F07">
        <w:rPr>
          <w:rFonts w:ascii="Arial" w:hAnsi="Arial" w:cs="Arial"/>
          <w:sz w:val="20"/>
          <w:szCs w:val="20"/>
        </w:rPr>
        <w:t>physical and virtual space</w:t>
      </w:r>
      <w:r w:rsidR="00CA625F" w:rsidRPr="00D65F07">
        <w:rPr>
          <w:rFonts w:ascii="Arial" w:hAnsi="Arial" w:cs="Arial"/>
          <w:sz w:val="20"/>
          <w:szCs w:val="20"/>
        </w:rPr>
        <w:t xml:space="preserve"> for sharing, learning, collaborating and creating. </w:t>
      </w:r>
      <w:r w:rsidR="00A12C09" w:rsidRPr="00D65F07">
        <w:rPr>
          <w:rFonts w:ascii="Arial" w:hAnsi="Arial" w:cs="Arial"/>
          <w:sz w:val="20"/>
          <w:szCs w:val="20"/>
        </w:rPr>
        <w:t xml:space="preserve">This </w:t>
      </w:r>
      <w:r w:rsidRPr="00D65F07">
        <w:rPr>
          <w:rFonts w:ascii="Arial" w:hAnsi="Arial" w:cs="Arial"/>
          <w:sz w:val="20"/>
          <w:szCs w:val="20"/>
        </w:rPr>
        <w:t xml:space="preserve">vibrant 21st century library </w:t>
      </w:r>
      <w:r w:rsidR="00A12C09" w:rsidRPr="00D65F07">
        <w:rPr>
          <w:rFonts w:ascii="Arial" w:hAnsi="Arial" w:cs="Arial"/>
          <w:sz w:val="20"/>
          <w:szCs w:val="20"/>
        </w:rPr>
        <w:t>i</w:t>
      </w:r>
      <w:r w:rsidRPr="00D65F07">
        <w:rPr>
          <w:rFonts w:ascii="Arial" w:hAnsi="Arial" w:cs="Arial"/>
          <w:sz w:val="20"/>
          <w:szCs w:val="20"/>
        </w:rPr>
        <w:t>s an inclusive and welcoming place for all, a trusted source for information, a place for intellectual freedom and creativity</w:t>
      </w:r>
      <w:r w:rsidR="000F2CA8" w:rsidRPr="00D65F07">
        <w:rPr>
          <w:rFonts w:ascii="Arial" w:hAnsi="Arial" w:cs="Arial"/>
          <w:sz w:val="20"/>
          <w:szCs w:val="20"/>
        </w:rPr>
        <w:t>,</w:t>
      </w:r>
      <w:r w:rsidRPr="00D65F07">
        <w:rPr>
          <w:rFonts w:ascii="Arial" w:hAnsi="Arial" w:cs="Arial"/>
          <w:sz w:val="20"/>
          <w:szCs w:val="20"/>
        </w:rPr>
        <w:t xml:space="preserve"> and the primary custodian of Queensland’s memory. </w:t>
      </w:r>
    </w:p>
    <w:p w:rsidR="00552401" w:rsidRPr="00D65F07" w:rsidRDefault="003F7ECD" w:rsidP="00552401">
      <w:pPr>
        <w:spacing w:after="120"/>
        <w:rPr>
          <w:rFonts w:ascii="Arial" w:hAnsi="Arial" w:cs="Arial"/>
          <w:sz w:val="20"/>
          <w:szCs w:val="20"/>
        </w:rPr>
      </w:pPr>
      <w:r w:rsidRPr="00D65F07">
        <w:rPr>
          <w:rFonts w:ascii="Arial" w:hAnsi="Arial" w:cs="Arial"/>
          <w:sz w:val="20"/>
          <w:szCs w:val="20"/>
        </w:rPr>
        <w:t xml:space="preserve">SLQ </w:t>
      </w:r>
      <w:r w:rsidR="00D346B4" w:rsidRPr="00D65F07">
        <w:rPr>
          <w:rFonts w:ascii="Arial" w:hAnsi="Arial" w:cs="Arial"/>
          <w:sz w:val="20"/>
          <w:szCs w:val="20"/>
        </w:rPr>
        <w:t xml:space="preserve">meets the Library Board of Queensland’s legislative priorities of contributing to the cultural, social and intellectual development of all Queenslanders. </w:t>
      </w:r>
    </w:p>
    <w:p w:rsidR="00D65F07" w:rsidRPr="00D65F07" w:rsidRDefault="00D346B4" w:rsidP="00552401">
      <w:pPr>
        <w:spacing w:after="120"/>
        <w:rPr>
          <w:rFonts w:ascii="Arial" w:hAnsi="Arial" w:cs="Arial"/>
          <w:sz w:val="20"/>
          <w:szCs w:val="20"/>
        </w:rPr>
      </w:pPr>
      <w:r w:rsidRPr="00D65F07">
        <w:rPr>
          <w:rFonts w:ascii="Arial" w:hAnsi="Arial" w:cs="Arial"/>
          <w:sz w:val="20"/>
          <w:szCs w:val="20"/>
        </w:rPr>
        <w:t>Its main c</w:t>
      </w:r>
      <w:r w:rsidR="00FA1D29" w:rsidRPr="00D65F07">
        <w:rPr>
          <w:rFonts w:ascii="Arial" w:hAnsi="Arial" w:cs="Arial"/>
          <w:sz w:val="20"/>
          <w:szCs w:val="20"/>
        </w:rPr>
        <w:t xml:space="preserve">ampus at Brisbane’s South Bank </w:t>
      </w:r>
      <w:r w:rsidR="00F41E00" w:rsidRPr="00D65F07">
        <w:rPr>
          <w:rFonts w:ascii="Arial" w:hAnsi="Arial" w:cs="Arial"/>
          <w:sz w:val="20"/>
          <w:szCs w:val="20"/>
        </w:rPr>
        <w:t xml:space="preserve">incorporates </w:t>
      </w:r>
      <w:r w:rsidR="000A4ABA" w:rsidRPr="00D65F07">
        <w:rPr>
          <w:rFonts w:ascii="Arial" w:hAnsi="Arial" w:cs="Arial"/>
          <w:sz w:val="20"/>
          <w:szCs w:val="20"/>
        </w:rPr>
        <w:t>John Oxley Library (</w:t>
      </w:r>
      <w:proofErr w:type="spellStart"/>
      <w:r w:rsidR="000A4ABA" w:rsidRPr="00D65F07">
        <w:rPr>
          <w:rFonts w:ascii="Arial" w:hAnsi="Arial" w:cs="Arial"/>
          <w:sz w:val="20"/>
          <w:szCs w:val="20"/>
        </w:rPr>
        <w:t>JOL</w:t>
      </w:r>
      <w:proofErr w:type="spellEnd"/>
      <w:r w:rsidR="000A4ABA" w:rsidRPr="00D65F07">
        <w:rPr>
          <w:rFonts w:ascii="Arial" w:hAnsi="Arial" w:cs="Arial"/>
          <w:sz w:val="20"/>
          <w:szCs w:val="20"/>
        </w:rPr>
        <w:t xml:space="preserve">), vast repositories of heritage and information collections, </w:t>
      </w:r>
      <w:r w:rsidR="00475806" w:rsidRPr="00D65F07">
        <w:rPr>
          <w:rFonts w:ascii="Arial" w:hAnsi="Arial" w:cs="Arial"/>
          <w:sz w:val="20"/>
          <w:szCs w:val="20"/>
        </w:rPr>
        <w:t>Asia Pacific Design Library (</w:t>
      </w:r>
      <w:proofErr w:type="spellStart"/>
      <w:r w:rsidR="00475806" w:rsidRPr="00D65F07">
        <w:rPr>
          <w:rFonts w:ascii="Arial" w:hAnsi="Arial" w:cs="Arial"/>
          <w:sz w:val="20"/>
          <w:szCs w:val="20"/>
        </w:rPr>
        <w:t>APDL</w:t>
      </w:r>
      <w:proofErr w:type="spellEnd"/>
      <w:r w:rsidR="00475806" w:rsidRPr="00D65F07">
        <w:rPr>
          <w:rFonts w:ascii="Arial" w:hAnsi="Arial" w:cs="Arial"/>
          <w:sz w:val="20"/>
          <w:szCs w:val="20"/>
        </w:rPr>
        <w:t xml:space="preserve">), Australian Library of Art, The Corner, </w:t>
      </w:r>
      <w:r w:rsidR="00F41E00" w:rsidRPr="00D65F07">
        <w:rPr>
          <w:rFonts w:ascii="Arial" w:hAnsi="Arial" w:cs="Arial"/>
          <w:sz w:val="20"/>
          <w:szCs w:val="20"/>
        </w:rPr>
        <w:t xml:space="preserve">The Edge, </w:t>
      </w:r>
      <w:r w:rsidRPr="00D65F07">
        <w:rPr>
          <w:rFonts w:ascii="Arial" w:hAnsi="Arial" w:cs="Arial"/>
          <w:sz w:val="20"/>
          <w:szCs w:val="20"/>
        </w:rPr>
        <w:t>kuril dhagun</w:t>
      </w:r>
      <w:r w:rsidR="000A4ABA" w:rsidRPr="00D65F07">
        <w:rPr>
          <w:rFonts w:ascii="Arial" w:hAnsi="Arial" w:cs="Arial"/>
          <w:sz w:val="20"/>
          <w:szCs w:val="20"/>
        </w:rPr>
        <w:t>,</w:t>
      </w:r>
      <w:r w:rsidR="00475806" w:rsidRPr="00D65F07">
        <w:rPr>
          <w:rFonts w:ascii="Arial" w:hAnsi="Arial" w:cs="Arial"/>
          <w:sz w:val="20"/>
          <w:szCs w:val="20"/>
        </w:rPr>
        <w:t xml:space="preserve"> </w:t>
      </w:r>
      <w:r w:rsidR="00B17B6C" w:rsidRPr="00D65F07">
        <w:rPr>
          <w:rFonts w:ascii="Arial" w:hAnsi="Arial" w:cs="Arial"/>
          <w:sz w:val="20"/>
          <w:szCs w:val="20"/>
        </w:rPr>
        <w:t>SLQ</w:t>
      </w:r>
      <w:r w:rsidR="00475806" w:rsidRPr="00D65F07">
        <w:rPr>
          <w:rFonts w:ascii="Arial" w:hAnsi="Arial" w:cs="Arial"/>
          <w:sz w:val="20"/>
          <w:szCs w:val="20"/>
        </w:rPr>
        <w:t xml:space="preserve"> Business Studio</w:t>
      </w:r>
      <w:r w:rsidR="000A4ABA" w:rsidRPr="00D65F07">
        <w:rPr>
          <w:rFonts w:ascii="Arial" w:hAnsi="Arial" w:cs="Arial"/>
          <w:sz w:val="20"/>
          <w:szCs w:val="20"/>
        </w:rPr>
        <w:t>, exhibition spaces and venues for hire</w:t>
      </w:r>
      <w:r w:rsidR="0094374E" w:rsidRPr="00D65F07">
        <w:rPr>
          <w:rFonts w:ascii="Arial" w:hAnsi="Arial" w:cs="Arial"/>
          <w:sz w:val="20"/>
          <w:szCs w:val="20"/>
        </w:rPr>
        <w:t xml:space="preserve">. </w:t>
      </w:r>
    </w:p>
    <w:p w:rsidR="00552401" w:rsidRPr="00D65F07" w:rsidRDefault="000A4ABA" w:rsidP="00552401">
      <w:pPr>
        <w:spacing w:after="120"/>
        <w:rPr>
          <w:rFonts w:ascii="Arial" w:hAnsi="Arial" w:cs="Arial"/>
          <w:sz w:val="20"/>
          <w:szCs w:val="20"/>
        </w:rPr>
      </w:pPr>
      <w:r w:rsidRPr="00D65F07">
        <w:rPr>
          <w:rFonts w:ascii="Arial" w:hAnsi="Arial" w:cs="Arial"/>
          <w:sz w:val="20"/>
          <w:szCs w:val="20"/>
        </w:rPr>
        <w:t>From its</w:t>
      </w:r>
      <w:r w:rsidR="00B80653" w:rsidRPr="00D65F07">
        <w:rPr>
          <w:rFonts w:ascii="Arial" w:hAnsi="Arial" w:cs="Arial"/>
          <w:sz w:val="20"/>
          <w:szCs w:val="20"/>
        </w:rPr>
        <w:t xml:space="preserve"> </w:t>
      </w:r>
      <w:r w:rsidR="00D346B4" w:rsidRPr="00D65F07">
        <w:rPr>
          <w:rFonts w:ascii="Arial" w:hAnsi="Arial" w:cs="Arial"/>
          <w:sz w:val="20"/>
          <w:szCs w:val="20"/>
        </w:rPr>
        <w:t>Cannon Hill</w:t>
      </w:r>
      <w:r w:rsidRPr="00D65F07">
        <w:rPr>
          <w:rFonts w:ascii="Arial" w:hAnsi="Arial" w:cs="Arial"/>
          <w:sz w:val="20"/>
          <w:szCs w:val="20"/>
        </w:rPr>
        <w:t xml:space="preserve"> office it delivers vital services in public library development and collection preservation, and through its</w:t>
      </w:r>
      <w:r w:rsidR="00B80653" w:rsidRPr="00D65F07">
        <w:rPr>
          <w:rFonts w:ascii="Arial" w:hAnsi="Arial" w:cs="Arial"/>
          <w:sz w:val="20"/>
          <w:szCs w:val="20"/>
        </w:rPr>
        <w:t xml:space="preserve"> Cairns regional office</w:t>
      </w:r>
      <w:r w:rsidR="00B80653" w:rsidRPr="00D65F07">
        <w:rPr>
          <w:rFonts w:ascii="Arial" w:hAnsi="Arial" w:cs="Arial"/>
          <w:sz w:val="20"/>
          <w:szCs w:val="20"/>
          <w:lang w:eastAsia="en-US"/>
        </w:rPr>
        <w:t xml:space="preserve"> </w:t>
      </w:r>
      <w:r w:rsidRPr="00D65F07">
        <w:rPr>
          <w:rFonts w:ascii="Arial" w:hAnsi="Arial" w:cs="Arial"/>
          <w:sz w:val="20"/>
          <w:szCs w:val="20"/>
          <w:lang w:eastAsia="en-US"/>
        </w:rPr>
        <w:t>it delivers services in partnership with Indigenous Knowledge Centres (</w:t>
      </w:r>
      <w:proofErr w:type="spellStart"/>
      <w:r w:rsidRPr="00D65F07">
        <w:rPr>
          <w:rFonts w:ascii="Arial" w:hAnsi="Arial" w:cs="Arial"/>
          <w:sz w:val="20"/>
          <w:szCs w:val="20"/>
          <w:lang w:eastAsia="en-US"/>
        </w:rPr>
        <w:t>IKCs</w:t>
      </w:r>
      <w:proofErr w:type="spellEnd"/>
      <w:r w:rsidRPr="00D65F07">
        <w:rPr>
          <w:rFonts w:ascii="Arial" w:hAnsi="Arial" w:cs="Arial"/>
          <w:sz w:val="20"/>
          <w:szCs w:val="20"/>
          <w:lang w:eastAsia="en-US"/>
        </w:rPr>
        <w:t>).</w:t>
      </w:r>
      <w:r w:rsidR="00B80653" w:rsidRPr="00D65F07">
        <w:rPr>
          <w:rFonts w:ascii="Arial" w:hAnsi="Arial" w:cs="Arial"/>
          <w:sz w:val="20"/>
          <w:szCs w:val="20"/>
        </w:rPr>
        <w:t xml:space="preserve"> </w:t>
      </w:r>
      <w:r w:rsidR="005953BD" w:rsidRPr="00D65F07">
        <w:rPr>
          <w:rFonts w:ascii="Arial" w:hAnsi="Arial" w:cs="Arial"/>
          <w:sz w:val="20"/>
          <w:szCs w:val="20"/>
        </w:rPr>
        <w:t xml:space="preserve">This is complemented by </w:t>
      </w:r>
      <w:r w:rsidRPr="00D65F07">
        <w:rPr>
          <w:rFonts w:ascii="Arial" w:hAnsi="Arial" w:cs="Arial"/>
          <w:sz w:val="20"/>
          <w:szCs w:val="20"/>
        </w:rPr>
        <w:t xml:space="preserve">an </w:t>
      </w:r>
      <w:r w:rsidR="00B80653" w:rsidRPr="00D65F07">
        <w:rPr>
          <w:rFonts w:ascii="Arial" w:hAnsi="Arial" w:cs="Arial"/>
          <w:sz w:val="20"/>
          <w:szCs w:val="20"/>
        </w:rPr>
        <w:t>expanding online offer</w:t>
      </w:r>
      <w:r w:rsidR="00552401" w:rsidRPr="00D65F07">
        <w:rPr>
          <w:rFonts w:ascii="Arial" w:hAnsi="Arial" w:cs="Arial"/>
          <w:sz w:val="20"/>
          <w:szCs w:val="20"/>
        </w:rPr>
        <w:t>.</w:t>
      </w:r>
    </w:p>
    <w:p w:rsidR="004605AC" w:rsidRPr="00D65F07" w:rsidRDefault="00D346B4" w:rsidP="00552401">
      <w:pPr>
        <w:tabs>
          <w:tab w:val="left" w:pos="284"/>
        </w:tabs>
        <w:spacing w:after="120"/>
        <w:rPr>
          <w:rFonts w:ascii="Arial" w:hAnsi="Arial" w:cs="Arial"/>
          <w:sz w:val="20"/>
          <w:szCs w:val="20"/>
        </w:rPr>
      </w:pPr>
      <w:r w:rsidRPr="00D65F07">
        <w:rPr>
          <w:rFonts w:ascii="Arial" w:hAnsi="Arial" w:cs="Arial"/>
          <w:sz w:val="20"/>
          <w:szCs w:val="20"/>
        </w:rPr>
        <w:t xml:space="preserve">SLQ </w:t>
      </w:r>
      <w:r w:rsidR="00E60E70" w:rsidRPr="00D65F07">
        <w:rPr>
          <w:rFonts w:ascii="Arial" w:hAnsi="Arial" w:cs="Arial"/>
          <w:sz w:val="20"/>
          <w:szCs w:val="20"/>
        </w:rPr>
        <w:t>serv</w:t>
      </w:r>
      <w:r w:rsidR="0074271B" w:rsidRPr="00D65F07">
        <w:rPr>
          <w:rFonts w:ascii="Arial" w:hAnsi="Arial" w:cs="Arial"/>
          <w:sz w:val="20"/>
          <w:szCs w:val="20"/>
        </w:rPr>
        <w:t>es</w:t>
      </w:r>
      <w:r w:rsidR="00E60E70" w:rsidRPr="00D65F07">
        <w:rPr>
          <w:rFonts w:ascii="Arial" w:hAnsi="Arial" w:cs="Arial"/>
          <w:sz w:val="20"/>
          <w:szCs w:val="20"/>
        </w:rPr>
        <w:t xml:space="preserve"> </w:t>
      </w:r>
      <w:r w:rsidRPr="00D65F07">
        <w:rPr>
          <w:rFonts w:ascii="Arial" w:hAnsi="Arial" w:cs="Arial"/>
          <w:sz w:val="20"/>
          <w:szCs w:val="20"/>
        </w:rPr>
        <w:t>regional Queensland</w:t>
      </w:r>
      <w:r w:rsidR="0074271B" w:rsidRPr="00D65F07">
        <w:rPr>
          <w:rFonts w:ascii="Arial" w:hAnsi="Arial" w:cs="Arial"/>
          <w:sz w:val="20"/>
          <w:szCs w:val="20"/>
        </w:rPr>
        <w:t xml:space="preserve"> by providing</w:t>
      </w:r>
      <w:r w:rsidRPr="00D65F07">
        <w:rPr>
          <w:rFonts w:ascii="Arial" w:hAnsi="Arial" w:cs="Arial"/>
          <w:sz w:val="20"/>
          <w:szCs w:val="20"/>
        </w:rPr>
        <w:t xml:space="preserve"> direct funding and support to a network of </w:t>
      </w:r>
      <w:r w:rsidR="008C4C72" w:rsidRPr="00D65F07">
        <w:rPr>
          <w:rFonts w:ascii="Arial" w:hAnsi="Arial" w:cs="Arial"/>
          <w:sz w:val="20"/>
          <w:szCs w:val="20"/>
        </w:rPr>
        <w:t xml:space="preserve">more than </w:t>
      </w:r>
      <w:r w:rsidRPr="00D65F07">
        <w:rPr>
          <w:rFonts w:ascii="Arial" w:hAnsi="Arial" w:cs="Arial"/>
          <w:sz w:val="20"/>
          <w:szCs w:val="20"/>
        </w:rPr>
        <w:t>3</w:t>
      </w:r>
      <w:r w:rsidR="008C4C72" w:rsidRPr="00D65F07">
        <w:rPr>
          <w:rFonts w:ascii="Arial" w:hAnsi="Arial" w:cs="Arial"/>
          <w:sz w:val="20"/>
          <w:szCs w:val="20"/>
        </w:rPr>
        <w:t>2</w:t>
      </w:r>
      <w:r w:rsidRPr="00D65F07">
        <w:rPr>
          <w:rFonts w:ascii="Arial" w:hAnsi="Arial" w:cs="Arial"/>
          <w:sz w:val="20"/>
          <w:szCs w:val="20"/>
        </w:rPr>
        <w:t xml:space="preserve">0 public libraries and </w:t>
      </w:r>
      <w:proofErr w:type="spellStart"/>
      <w:r w:rsidRPr="00D65F07">
        <w:rPr>
          <w:rFonts w:ascii="Arial" w:hAnsi="Arial" w:cs="Arial"/>
          <w:sz w:val="20"/>
          <w:szCs w:val="20"/>
        </w:rPr>
        <w:t>IKCs</w:t>
      </w:r>
      <w:proofErr w:type="spellEnd"/>
      <w:r w:rsidRPr="00D65F07">
        <w:rPr>
          <w:rFonts w:ascii="Arial" w:hAnsi="Arial" w:cs="Arial"/>
          <w:sz w:val="20"/>
          <w:szCs w:val="20"/>
        </w:rPr>
        <w:t>, and state</w:t>
      </w:r>
      <w:r w:rsidR="00CD440C" w:rsidRPr="00D65F07">
        <w:rPr>
          <w:rFonts w:ascii="Arial" w:hAnsi="Arial" w:cs="Arial"/>
          <w:sz w:val="20"/>
          <w:szCs w:val="20"/>
        </w:rPr>
        <w:t>-</w:t>
      </w:r>
      <w:r w:rsidRPr="00D65F07">
        <w:rPr>
          <w:rFonts w:ascii="Arial" w:hAnsi="Arial" w:cs="Arial"/>
          <w:sz w:val="20"/>
          <w:szCs w:val="20"/>
        </w:rPr>
        <w:t xml:space="preserve">wide electronic access to a range of information resources, including a rapidly growing range of </w:t>
      </w:r>
      <w:r w:rsidR="000F5A7A" w:rsidRPr="00D65F07">
        <w:rPr>
          <w:rFonts w:ascii="Arial" w:hAnsi="Arial" w:cs="Arial"/>
          <w:sz w:val="20"/>
          <w:szCs w:val="20"/>
        </w:rPr>
        <w:t xml:space="preserve">unique </w:t>
      </w:r>
      <w:r w:rsidRPr="00D65F07">
        <w:rPr>
          <w:rFonts w:ascii="Arial" w:hAnsi="Arial" w:cs="Arial"/>
          <w:sz w:val="20"/>
          <w:szCs w:val="20"/>
        </w:rPr>
        <w:t xml:space="preserve">digitised Queensland material. </w:t>
      </w:r>
      <w:r w:rsidR="00A45EFA" w:rsidRPr="00D65F07">
        <w:rPr>
          <w:rFonts w:ascii="Arial" w:hAnsi="Arial" w:cs="Arial"/>
          <w:sz w:val="20"/>
          <w:szCs w:val="20"/>
        </w:rPr>
        <w:t>Visitation to public libraries is growing, and 45% of Queenslanders are members</w:t>
      </w:r>
      <w:r w:rsidR="004605AC" w:rsidRPr="00D65F07">
        <w:rPr>
          <w:rFonts w:ascii="Arial" w:hAnsi="Arial" w:cs="Arial"/>
          <w:sz w:val="20"/>
          <w:szCs w:val="20"/>
        </w:rPr>
        <w:t xml:space="preserve">. </w:t>
      </w:r>
      <w:r w:rsidR="00476FB1" w:rsidRPr="00D65F07">
        <w:rPr>
          <w:rFonts w:ascii="Arial" w:hAnsi="Arial" w:cs="Arial"/>
          <w:sz w:val="20"/>
          <w:szCs w:val="20"/>
        </w:rPr>
        <w:t xml:space="preserve">SLQ plays a particular </w:t>
      </w:r>
      <w:r w:rsidR="00476FB1" w:rsidRPr="00D65F07">
        <w:rPr>
          <w:rFonts w:ascii="Arial" w:hAnsi="Arial" w:cs="Arial"/>
          <w:sz w:val="20"/>
          <w:szCs w:val="20"/>
        </w:rPr>
        <w:lastRenderedPageBreak/>
        <w:t xml:space="preserve">leadership role to </w:t>
      </w:r>
      <w:r w:rsidR="00D24768" w:rsidRPr="00D65F07">
        <w:rPr>
          <w:rFonts w:ascii="Arial" w:hAnsi="Arial" w:cs="Arial"/>
          <w:sz w:val="20"/>
          <w:szCs w:val="20"/>
        </w:rPr>
        <w:t>support</w:t>
      </w:r>
      <w:r w:rsidR="00476FB1" w:rsidRPr="00D65F07">
        <w:rPr>
          <w:rFonts w:ascii="Arial" w:hAnsi="Arial" w:cs="Arial"/>
          <w:sz w:val="20"/>
          <w:szCs w:val="20"/>
        </w:rPr>
        <w:t xml:space="preserve"> the sustainability of small rural and remote libraries and </w:t>
      </w:r>
      <w:proofErr w:type="spellStart"/>
      <w:r w:rsidR="00476FB1" w:rsidRPr="00D65F07">
        <w:rPr>
          <w:rFonts w:ascii="Arial" w:hAnsi="Arial" w:cs="Arial"/>
          <w:sz w:val="20"/>
          <w:szCs w:val="20"/>
        </w:rPr>
        <w:t>IKCs</w:t>
      </w:r>
      <w:proofErr w:type="spellEnd"/>
      <w:r w:rsidR="00476FB1" w:rsidRPr="00D65F07">
        <w:rPr>
          <w:rFonts w:ascii="Arial" w:hAnsi="Arial" w:cs="Arial"/>
          <w:sz w:val="20"/>
          <w:szCs w:val="20"/>
        </w:rPr>
        <w:t xml:space="preserve">, including the purchase of </w:t>
      </w:r>
      <w:r w:rsidR="001B770C" w:rsidRPr="00D65F07">
        <w:rPr>
          <w:rFonts w:ascii="Arial" w:hAnsi="Arial" w:cs="Arial"/>
          <w:sz w:val="20"/>
          <w:szCs w:val="20"/>
        </w:rPr>
        <w:t>state</w:t>
      </w:r>
      <w:r w:rsidR="00CD440C" w:rsidRPr="00D65F07">
        <w:rPr>
          <w:rFonts w:ascii="Arial" w:hAnsi="Arial" w:cs="Arial"/>
          <w:sz w:val="20"/>
          <w:szCs w:val="20"/>
        </w:rPr>
        <w:t>-</w:t>
      </w:r>
      <w:r w:rsidR="001B770C" w:rsidRPr="00D65F07">
        <w:rPr>
          <w:rFonts w:ascii="Arial" w:hAnsi="Arial" w:cs="Arial"/>
          <w:sz w:val="20"/>
          <w:szCs w:val="20"/>
        </w:rPr>
        <w:t>wide</w:t>
      </w:r>
      <w:r w:rsidR="00476FB1" w:rsidRPr="00D65F07">
        <w:rPr>
          <w:rFonts w:ascii="Arial" w:hAnsi="Arial" w:cs="Arial"/>
          <w:sz w:val="20"/>
          <w:szCs w:val="20"/>
        </w:rPr>
        <w:t xml:space="preserve"> collections</w:t>
      </w:r>
      <w:r w:rsidR="00B80653" w:rsidRPr="00D65F07">
        <w:rPr>
          <w:rFonts w:ascii="Arial" w:hAnsi="Arial" w:cs="Arial"/>
          <w:sz w:val="20"/>
          <w:szCs w:val="20"/>
        </w:rPr>
        <w:t>,</w:t>
      </w:r>
      <w:r w:rsidR="00476FB1" w:rsidRPr="00D65F07">
        <w:rPr>
          <w:rFonts w:ascii="Arial" w:hAnsi="Arial" w:cs="Arial"/>
          <w:sz w:val="20"/>
          <w:szCs w:val="20"/>
        </w:rPr>
        <w:t xml:space="preserve"> shared across the network.</w:t>
      </w:r>
    </w:p>
    <w:p w:rsidR="00B731B8" w:rsidRPr="00D65F07" w:rsidRDefault="00D346B4">
      <w:pPr>
        <w:spacing w:after="120"/>
        <w:rPr>
          <w:color w:val="333333"/>
          <w:sz w:val="20"/>
          <w:szCs w:val="20"/>
        </w:rPr>
      </w:pPr>
      <w:r w:rsidRPr="00D65F07">
        <w:rPr>
          <w:rFonts w:ascii="Arial" w:hAnsi="Arial" w:cs="Arial"/>
          <w:sz w:val="20"/>
          <w:szCs w:val="20"/>
        </w:rPr>
        <w:t xml:space="preserve">SLQ and Queensland public libraries support </w:t>
      </w:r>
      <w:r w:rsidR="00B80653" w:rsidRPr="00D65F07">
        <w:rPr>
          <w:rFonts w:ascii="Arial" w:hAnsi="Arial" w:cs="Arial"/>
          <w:sz w:val="20"/>
          <w:szCs w:val="20"/>
        </w:rPr>
        <w:t xml:space="preserve">the </w:t>
      </w:r>
      <w:r w:rsidR="00C52A41" w:rsidRPr="00D65F07">
        <w:rPr>
          <w:rFonts w:ascii="Arial" w:hAnsi="Arial" w:cs="Arial"/>
          <w:sz w:val="20"/>
          <w:szCs w:val="20"/>
        </w:rPr>
        <w:t>State</w:t>
      </w:r>
      <w:r w:rsidR="00B80653" w:rsidRPr="00D65F07">
        <w:rPr>
          <w:rFonts w:ascii="Arial" w:hAnsi="Arial" w:cs="Arial"/>
          <w:sz w:val="20"/>
          <w:szCs w:val="20"/>
        </w:rPr>
        <w:t xml:space="preserve"> </w:t>
      </w:r>
      <w:r w:rsidRPr="00D65F07">
        <w:rPr>
          <w:rFonts w:ascii="Arial" w:hAnsi="Arial" w:cs="Arial"/>
          <w:sz w:val="20"/>
          <w:szCs w:val="20"/>
        </w:rPr>
        <w:t>Government</w:t>
      </w:r>
      <w:r w:rsidR="00B80653" w:rsidRPr="00D65F07">
        <w:rPr>
          <w:rFonts w:ascii="Arial" w:hAnsi="Arial" w:cs="Arial"/>
          <w:sz w:val="20"/>
          <w:szCs w:val="20"/>
        </w:rPr>
        <w:t>’s Advance Queensland policy agenda and the</w:t>
      </w:r>
      <w:r w:rsidRPr="00D65F07">
        <w:rPr>
          <w:rFonts w:ascii="Arial" w:hAnsi="Arial" w:cs="Arial"/>
          <w:sz w:val="20"/>
          <w:szCs w:val="20"/>
        </w:rPr>
        <w:t xml:space="preserve"> objectives</w:t>
      </w:r>
      <w:r w:rsidR="004605AC" w:rsidRPr="00D65F07">
        <w:rPr>
          <w:rFonts w:ascii="Arial" w:hAnsi="Arial" w:cs="Arial"/>
          <w:sz w:val="20"/>
          <w:szCs w:val="20"/>
        </w:rPr>
        <w:t xml:space="preserve"> for the community</w:t>
      </w:r>
      <w:r w:rsidRPr="00D65F07">
        <w:rPr>
          <w:rFonts w:ascii="Arial" w:hAnsi="Arial" w:cs="Arial"/>
          <w:sz w:val="20"/>
          <w:szCs w:val="20"/>
        </w:rPr>
        <w:t xml:space="preserve"> </w:t>
      </w:r>
      <w:r w:rsidR="004605AC" w:rsidRPr="00D65F07">
        <w:rPr>
          <w:rFonts w:ascii="Arial" w:hAnsi="Arial" w:cs="Arial"/>
          <w:sz w:val="20"/>
          <w:szCs w:val="20"/>
        </w:rPr>
        <w:t xml:space="preserve">by providing </w:t>
      </w:r>
      <w:r w:rsidR="008A5CAD" w:rsidRPr="00D65F07">
        <w:rPr>
          <w:rFonts w:ascii="Arial" w:hAnsi="Arial" w:cs="Arial"/>
          <w:sz w:val="20"/>
          <w:szCs w:val="20"/>
        </w:rPr>
        <w:t>informal</w:t>
      </w:r>
      <w:r w:rsidR="004605AC" w:rsidRPr="00D65F07">
        <w:rPr>
          <w:rFonts w:ascii="Arial" w:hAnsi="Arial" w:cs="Arial"/>
          <w:sz w:val="20"/>
          <w:szCs w:val="20"/>
        </w:rPr>
        <w:t xml:space="preserve"> education and training options, </w:t>
      </w:r>
      <w:r w:rsidR="008A5CAD" w:rsidRPr="00D65F07">
        <w:rPr>
          <w:rFonts w:ascii="Arial" w:hAnsi="Arial" w:cs="Arial"/>
          <w:sz w:val="20"/>
          <w:szCs w:val="20"/>
        </w:rPr>
        <w:t xml:space="preserve">access to resources to aid lifelong learning, </w:t>
      </w:r>
      <w:r w:rsidR="004605AC" w:rsidRPr="00D65F07">
        <w:rPr>
          <w:rFonts w:ascii="Arial" w:hAnsi="Arial" w:cs="Arial"/>
          <w:sz w:val="20"/>
          <w:szCs w:val="20"/>
        </w:rPr>
        <w:t xml:space="preserve">and supporting disadvantaged Queenslanders through a range of free or subsidised services. These institutions provide </w:t>
      </w:r>
      <w:r w:rsidR="008A5CAD" w:rsidRPr="00D65F07">
        <w:rPr>
          <w:rFonts w:ascii="Arial" w:hAnsi="Arial" w:cs="Arial"/>
          <w:sz w:val="20"/>
          <w:szCs w:val="20"/>
        </w:rPr>
        <w:t>spaces</w:t>
      </w:r>
      <w:r w:rsidR="004605AC" w:rsidRPr="00D65F07">
        <w:rPr>
          <w:rFonts w:ascii="Arial" w:hAnsi="Arial" w:cs="Arial"/>
          <w:sz w:val="20"/>
          <w:szCs w:val="20"/>
        </w:rPr>
        <w:t xml:space="preserve"> which </w:t>
      </w:r>
      <w:r w:rsidR="008A5CAD" w:rsidRPr="00D65F07">
        <w:rPr>
          <w:rFonts w:ascii="Arial" w:hAnsi="Arial" w:cs="Arial"/>
          <w:sz w:val="20"/>
          <w:szCs w:val="20"/>
        </w:rPr>
        <w:t xml:space="preserve">help develop </w:t>
      </w:r>
      <w:r w:rsidR="004605AC" w:rsidRPr="00D65F07">
        <w:rPr>
          <w:rFonts w:ascii="Arial" w:hAnsi="Arial" w:cs="Arial"/>
          <w:sz w:val="20"/>
          <w:szCs w:val="20"/>
        </w:rPr>
        <w:t xml:space="preserve">safe, caring and connected communities, and through which regional residents can access a world of resources. </w:t>
      </w:r>
      <w:r w:rsidR="00C52A41" w:rsidRPr="00D65F07">
        <w:rPr>
          <w:rFonts w:ascii="Arial" w:hAnsi="Arial" w:cs="Arial"/>
          <w:sz w:val="20"/>
          <w:szCs w:val="20"/>
        </w:rPr>
        <w:t xml:space="preserve">By providing </w:t>
      </w:r>
      <w:r w:rsidR="004605AC" w:rsidRPr="00D65F07">
        <w:rPr>
          <w:rFonts w:ascii="Arial" w:hAnsi="Arial" w:cs="Arial"/>
          <w:sz w:val="20"/>
          <w:szCs w:val="20"/>
        </w:rPr>
        <w:t>skill</w:t>
      </w:r>
      <w:r w:rsidR="00112ADC" w:rsidRPr="00D65F07">
        <w:rPr>
          <w:rFonts w:ascii="Arial" w:hAnsi="Arial" w:cs="Arial"/>
          <w:sz w:val="20"/>
          <w:szCs w:val="20"/>
        </w:rPr>
        <w:t>s</w:t>
      </w:r>
      <w:r w:rsidR="004605AC" w:rsidRPr="00D65F07">
        <w:rPr>
          <w:rFonts w:ascii="Arial" w:hAnsi="Arial" w:cs="Arial"/>
          <w:sz w:val="20"/>
          <w:szCs w:val="20"/>
        </w:rPr>
        <w:t xml:space="preserve"> development</w:t>
      </w:r>
      <w:r w:rsidR="00C52A41" w:rsidRPr="00D65F07">
        <w:rPr>
          <w:rFonts w:ascii="Arial" w:hAnsi="Arial" w:cs="Arial"/>
          <w:sz w:val="20"/>
          <w:szCs w:val="20"/>
        </w:rPr>
        <w:t xml:space="preserve"> programs</w:t>
      </w:r>
      <w:r w:rsidR="004605AC" w:rsidRPr="00D65F07">
        <w:rPr>
          <w:rFonts w:ascii="Arial" w:hAnsi="Arial" w:cs="Arial"/>
          <w:sz w:val="20"/>
          <w:szCs w:val="20"/>
        </w:rPr>
        <w:t xml:space="preserve">, and services for </w:t>
      </w:r>
      <w:r w:rsidR="00FB4455" w:rsidRPr="00D65F07">
        <w:rPr>
          <w:rFonts w:ascii="Arial" w:hAnsi="Arial" w:cs="Arial"/>
          <w:sz w:val="20"/>
          <w:szCs w:val="20"/>
        </w:rPr>
        <w:t>entrepreneurs, they help</w:t>
      </w:r>
      <w:r w:rsidR="004605AC" w:rsidRPr="00D65F07">
        <w:rPr>
          <w:rFonts w:ascii="Arial" w:hAnsi="Arial" w:cs="Arial"/>
          <w:sz w:val="20"/>
          <w:szCs w:val="20"/>
        </w:rPr>
        <w:t xml:space="preserve"> increase workforce participation and stimulate economic growth and innovation. </w:t>
      </w:r>
      <w:r w:rsidR="00B731B8" w:rsidRPr="00D65F07">
        <w:rPr>
          <w:rFonts w:ascii="Arial" w:hAnsi="Arial" w:cs="Arial"/>
          <w:sz w:val="20"/>
          <w:szCs w:val="20"/>
        </w:rPr>
        <w:t>SLQ and public libraries</w:t>
      </w:r>
      <w:r w:rsidR="004605AC" w:rsidRPr="00D65F07">
        <w:rPr>
          <w:rFonts w:ascii="Arial" w:hAnsi="Arial" w:cs="Arial"/>
          <w:sz w:val="20"/>
          <w:szCs w:val="20"/>
        </w:rPr>
        <w:t xml:space="preserve"> </w:t>
      </w:r>
      <w:r w:rsidR="00FB4455" w:rsidRPr="00D65F07">
        <w:rPr>
          <w:rFonts w:ascii="Arial" w:hAnsi="Arial" w:cs="Arial"/>
          <w:sz w:val="20"/>
          <w:szCs w:val="20"/>
        </w:rPr>
        <w:t xml:space="preserve">help </w:t>
      </w:r>
      <w:r w:rsidR="004605AC" w:rsidRPr="00D65F07">
        <w:rPr>
          <w:rFonts w:ascii="Arial" w:hAnsi="Arial" w:cs="Arial"/>
          <w:sz w:val="20"/>
          <w:szCs w:val="20"/>
        </w:rPr>
        <w:t>conserv</w:t>
      </w:r>
      <w:r w:rsidR="00B731B8" w:rsidRPr="00D65F07">
        <w:rPr>
          <w:rFonts w:ascii="Arial" w:hAnsi="Arial" w:cs="Arial"/>
          <w:sz w:val="20"/>
          <w:szCs w:val="20"/>
        </w:rPr>
        <w:t>e</w:t>
      </w:r>
      <w:r w:rsidR="004605AC" w:rsidRPr="00D65F07">
        <w:rPr>
          <w:rFonts w:ascii="Arial" w:hAnsi="Arial" w:cs="Arial"/>
          <w:sz w:val="20"/>
          <w:szCs w:val="20"/>
        </w:rPr>
        <w:t xml:space="preserve"> Queensland’s documentary heritage and stories</w:t>
      </w:r>
      <w:r w:rsidR="00B731B8" w:rsidRPr="00D65F07">
        <w:rPr>
          <w:rFonts w:ascii="Arial" w:hAnsi="Arial" w:cs="Arial"/>
          <w:sz w:val="20"/>
          <w:szCs w:val="20"/>
        </w:rPr>
        <w:t>, and encourage people to create their own</w:t>
      </w:r>
      <w:r w:rsidR="004605AC" w:rsidRPr="00D65F07">
        <w:rPr>
          <w:rFonts w:ascii="Arial" w:hAnsi="Arial" w:cs="Arial"/>
          <w:sz w:val="20"/>
          <w:szCs w:val="20"/>
        </w:rPr>
        <w:t>.</w:t>
      </w:r>
    </w:p>
    <w:p w:rsidR="00D346B4" w:rsidRPr="00D65F07" w:rsidRDefault="007C1E05">
      <w:pPr>
        <w:spacing w:after="120"/>
        <w:rPr>
          <w:rFonts w:ascii="Arial" w:hAnsi="Arial" w:cs="Arial"/>
          <w:sz w:val="20"/>
          <w:szCs w:val="20"/>
        </w:rPr>
      </w:pPr>
      <w:r w:rsidRPr="00D65F07">
        <w:rPr>
          <w:rFonts w:ascii="Arial" w:hAnsi="Arial" w:cs="Arial"/>
          <w:sz w:val="20"/>
          <w:szCs w:val="20"/>
        </w:rPr>
        <w:t>As the S</w:t>
      </w:r>
      <w:r w:rsidR="003F5A56" w:rsidRPr="00D65F07">
        <w:rPr>
          <w:rFonts w:ascii="Arial" w:hAnsi="Arial" w:cs="Arial"/>
          <w:sz w:val="20"/>
          <w:szCs w:val="20"/>
        </w:rPr>
        <w:t xml:space="preserve">tate’s population grows, its cultural heritage and communities become increasingly diverse. </w:t>
      </w:r>
      <w:proofErr w:type="spellStart"/>
      <w:r w:rsidR="003F5A56" w:rsidRPr="00D65F07">
        <w:rPr>
          <w:rFonts w:ascii="Arial" w:hAnsi="Arial" w:cs="Arial"/>
          <w:sz w:val="20"/>
          <w:szCs w:val="20"/>
        </w:rPr>
        <w:t>SLQ’s</w:t>
      </w:r>
      <w:proofErr w:type="spellEnd"/>
      <w:r w:rsidR="003F5A56" w:rsidRPr="00D65F07">
        <w:rPr>
          <w:rFonts w:ascii="Arial" w:hAnsi="Arial" w:cs="Arial"/>
          <w:sz w:val="20"/>
          <w:szCs w:val="20"/>
        </w:rPr>
        <w:t xml:space="preserve"> century-long established role as a trusted collector and preserver of </w:t>
      </w:r>
      <w:r w:rsidR="00E60E70" w:rsidRPr="00D65F07">
        <w:rPr>
          <w:rFonts w:ascii="Arial" w:hAnsi="Arial" w:cs="Arial"/>
          <w:sz w:val="20"/>
          <w:szCs w:val="20"/>
        </w:rPr>
        <w:t xml:space="preserve">Queensland </w:t>
      </w:r>
      <w:r w:rsidR="003F5A56" w:rsidRPr="00D65F07">
        <w:rPr>
          <w:rFonts w:ascii="Arial" w:hAnsi="Arial" w:cs="Arial"/>
          <w:sz w:val="20"/>
          <w:szCs w:val="20"/>
        </w:rPr>
        <w:t>memory now includes the key strategic challenge of negotiating the risks and opportunities of the ongoing digital revolution.</w:t>
      </w:r>
      <w:r w:rsidR="004605AC" w:rsidRPr="00D65F07">
        <w:rPr>
          <w:rFonts w:ascii="Arial" w:hAnsi="Arial" w:cs="Arial"/>
          <w:sz w:val="20"/>
          <w:szCs w:val="20"/>
        </w:rPr>
        <w:t xml:space="preserve"> </w:t>
      </w:r>
      <w:proofErr w:type="spellStart"/>
      <w:r w:rsidR="00843536" w:rsidRPr="00D65F07">
        <w:rPr>
          <w:rFonts w:ascii="Arial" w:hAnsi="Arial" w:cs="Arial"/>
          <w:sz w:val="20"/>
          <w:szCs w:val="20"/>
        </w:rPr>
        <w:t>SLQ</w:t>
      </w:r>
      <w:r w:rsidR="004C3E60" w:rsidRPr="00D65F07">
        <w:rPr>
          <w:rFonts w:ascii="Arial" w:hAnsi="Arial" w:cs="Arial"/>
          <w:sz w:val="20"/>
          <w:szCs w:val="20"/>
        </w:rPr>
        <w:t>’s</w:t>
      </w:r>
      <w:proofErr w:type="spellEnd"/>
      <w:r w:rsidR="004C3E60" w:rsidRPr="00D65F07">
        <w:rPr>
          <w:rFonts w:ascii="Arial" w:hAnsi="Arial" w:cs="Arial"/>
          <w:sz w:val="20"/>
          <w:szCs w:val="20"/>
        </w:rPr>
        <w:t xml:space="preserve"> services support </w:t>
      </w:r>
      <w:r w:rsidR="00D346B4" w:rsidRPr="00D65F07">
        <w:rPr>
          <w:rFonts w:ascii="Arial" w:hAnsi="Arial" w:cs="Arial"/>
          <w:sz w:val="20"/>
          <w:szCs w:val="20"/>
        </w:rPr>
        <w:t>Queensland</w:t>
      </w:r>
      <w:r w:rsidR="005F6598" w:rsidRPr="00D65F07">
        <w:rPr>
          <w:rFonts w:ascii="Arial" w:hAnsi="Arial" w:cs="Arial"/>
          <w:sz w:val="20"/>
          <w:szCs w:val="20"/>
        </w:rPr>
        <w:t>’</w:t>
      </w:r>
      <w:r w:rsidR="00D346B4" w:rsidRPr="00D65F07">
        <w:rPr>
          <w:rFonts w:ascii="Arial" w:hAnsi="Arial" w:cs="Arial"/>
          <w:sz w:val="20"/>
          <w:szCs w:val="20"/>
        </w:rPr>
        <w:t xml:space="preserve">s reputation as </w:t>
      </w:r>
      <w:proofErr w:type="gramStart"/>
      <w:r w:rsidR="00D346B4" w:rsidRPr="00D65F07">
        <w:rPr>
          <w:rFonts w:ascii="Arial" w:hAnsi="Arial" w:cs="Arial"/>
          <w:sz w:val="20"/>
          <w:szCs w:val="20"/>
        </w:rPr>
        <w:t>a</w:t>
      </w:r>
      <w:r w:rsidR="00FB4455" w:rsidRPr="00D65F07">
        <w:rPr>
          <w:rFonts w:ascii="Arial" w:hAnsi="Arial" w:cs="Arial"/>
          <w:sz w:val="20"/>
          <w:szCs w:val="20"/>
        </w:rPr>
        <w:t xml:space="preserve"> </w:t>
      </w:r>
      <w:r w:rsidR="00D346B4" w:rsidRPr="00D65F07">
        <w:rPr>
          <w:rFonts w:ascii="Arial" w:hAnsi="Arial" w:cs="Arial"/>
          <w:sz w:val="20"/>
          <w:szCs w:val="20"/>
        </w:rPr>
        <w:t>thriving arts</w:t>
      </w:r>
      <w:proofErr w:type="gramEnd"/>
      <w:r w:rsidR="00D346B4" w:rsidRPr="00D65F07">
        <w:rPr>
          <w:rFonts w:ascii="Arial" w:hAnsi="Arial" w:cs="Arial"/>
          <w:sz w:val="20"/>
          <w:szCs w:val="20"/>
        </w:rPr>
        <w:t xml:space="preserve"> and cultural </w:t>
      </w:r>
      <w:r w:rsidR="00843536" w:rsidRPr="00D65F07">
        <w:rPr>
          <w:rFonts w:ascii="Arial" w:hAnsi="Arial" w:cs="Arial"/>
          <w:sz w:val="20"/>
          <w:szCs w:val="20"/>
        </w:rPr>
        <w:t>centre</w:t>
      </w:r>
      <w:r w:rsidR="00D346B4" w:rsidRPr="00D65F07">
        <w:rPr>
          <w:rFonts w:ascii="Arial" w:hAnsi="Arial" w:cs="Arial"/>
          <w:sz w:val="20"/>
          <w:szCs w:val="20"/>
        </w:rPr>
        <w:t xml:space="preserve">, and a </w:t>
      </w:r>
      <w:r w:rsidR="00FB4455" w:rsidRPr="00D65F07">
        <w:rPr>
          <w:rFonts w:ascii="Arial" w:hAnsi="Arial" w:cs="Arial"/>
          <w:sz w:val="20"/>
          <w:szCs w:val="20"/>
        </w:rPr>
        <w:t>place for collaboration and innovation</w:t>
      </w:r>
      <w:r w:rsidR="00D346B4" w:rsidRPr="00D65F07">
        <w:rPr>
          <w:rFonts w:ascii="Arial" w:hAnsi="Arial" w:cs="Arial"/>
          <w:sz w:val="20"/>
          <w:szCs w:val="20"/>
        </w:rPr>
        <w:t>.</w:t>
      </w:r>
      <w:r w:rsidR="00C52A41" w:rsidRPr="00D65F07">
        <w:rPr>
          <w:rFonts w:ascii="Arial" w:hAnsi="Arial" w:cs="Arial"/>
          <w:sz w:val="20"/>
          <w:szCs w:val="20"/>
        </w:rPr>
        <w:t xml:space="preserve"> Its Government Research and Information Library</w:t>
      </w:r>
      <w:r w:rsidR="00CC6B76" w:rsidRPr="00D65F07">
        <w:rPr>
          <w:rFonts w:ascii="Arial" w:hAnsi="Arial" w:cs="Arial"/>
          <w:sz w:val="20"/>
          <w:szCs w:val="20"/>
        </w:rPr>
        <w:t xml:space="preserve"> (GRAIL)</w:t>
      </w:r>
      <w:r w:rsidR="00C52A41" w:rsidRPr="00D65F07">
        <w:rPr>
          <w:rFonts w:ascii="Arial" w:hAnsi="Arial" w:cs="Arial"/>
          <w:sz w:val="20"/>
          <w:szCs w:val="20"/>
        </w:rPr>
        <w:t xml:space="preserve"> </w:t>
      </w:r>
      <w:r w:rsidR="00552401" w:rsidRPr="00D65F07">
        <w:rPr>
          <w:rFonts w:ascii="Arial" w:hAnsi="Arial" w:cs="Arial"/>
          <w:sz w:val="20"/>
          <w:szCs w:val="20"/>
        </w:rPr>
        <w:t xml:space="preserve">service </w:t>
      </w:r>
      <w:r w:rsidR="00CC6B76" w:rsidRPr="00D65F07">
        <w:rPr>
          <w:rFonts w:ascii="Arial" w:hAnsi="Arial" w:cs="Arial"/>
          <w:sz w:val="20"/>
          <w:szCs w:val="20"/>
        </w:rPr>
        <w:t>offers</w:t>
      </w:r>
      <w:r w:rsidR="00C52A41" w:rsidRPr="00D65F07">
        <w:rPr>
          <w:rFonts w:ascii="Arial" w:hAnsi="Arial" w:cs="Arial"/>
          <w:sz w:val="20"/>
          <w:szCs w:val="20"/>
        </w:rPr>
        <w:t xml:space="preserve"> </w:t>
      </w:r>
      <w:r w:rsidR="00156696" w:rsidRPr="00D65F07">
        <w:rPr>
          <w:rFonts w:ascii="Arial" w:hAnsi="Arial" w:cs="Arial"/>
          <w:sz w:val="20"/>
          <w:szCs w:val="20"/>
        </w:rPr>
        <w:t xml:space="preserve">cost-effective </w:t>
      </w:r>
      <w:r w:rsidR="00C52A41" w:rsidRPr="00D65F07">
        <w:rPr>
          <w:rFonts w:ascii="Arial" w:hAnsi="Arial" w:cs="Arial"/>
          <w:sz w:val="20"/>
          <w:szCs w:val="20"/>
        </w:rPr>
        <w:t>professional research</w:t>
      </w:r>
      <w:r w:rsidR="00CC6B76" w:rsidRPr="00D65F07">
        <w:rPr>
          <w:rFonts w:ascii="Arial" w:hAnsi="Arial" w:cs="Arial"/>
          <w:sz w:val="20"/>
          <w:szCs w:val="20"/>
        </w:rPr>
        <w:t xml:space="preserve"> to government agencies</w:t>
      </w:r>
      <w:r w:rsidR="00C52A41" w:rsidRPr="00D65F07">
        <w:rPr>
          <w:rFonts w:ascii="Arial" w:hAnsi="Arial" w:cs="Arial"/>
          <w:sz w:val="20"/>
          <w:szCs w:val="20"/>
        </w:rPr>
        <w:t>.</w:t>
      </w:r>
    </w:p>
    <w:p w:rsidR="00552401" w:rsidRDefault="00552401">
      <w:pPr>
        <w:suppressAutoHyphens w:val="0"/>
        <w:autoSpaceDE/>
        <w:rPr>
          <w:rFonts w:ascii="Arial" w:hAnsi="Arial" w:cs="Arial"/>
          <w:sz w:val="40"/>
          <w:szCs w:val="40"/>
        </w:rPr>
        <w:sectPr w:rsidR="00552401" w:rsidSect="00B53922">
          <w:type w:val="continuous"/>
          <w:pgSz w:w="11906" w:h="16838"/>
          <w:pgMar w:top="1440" w:right="1797" w:bottom="1440" w:left="1797" w:header="709" w:footer="709" w:gutter="0"/>
          <w:cols w:num="2" w:space="720"/>
          <w:docGrid w:linePitch="360"/>
        </w:sectPr>
      </w:pPr>
    </w:p>
    <w:p w:rsidR="00552401" w:rsidRDefault="00552401">
      <w:pPr>
        <w:suppressAutoHyphens w:val="0"/>
        <w:autoSpaceDE/>
        <w:rPr>
          <w:rFonts w:ascii="Arial" w:hAnsi="Arial" w:cs="Arial"/>
          <w:sz w:val="40"/>
          <w:szCs w:val="40"/>
        </w:rPr>
      </w:pPr>
      <w:r>
        <w:rPr>
          <w:rFonts w:ascii="Arial" w:hAnsi="Arial" w:cs="Arial"/>
          <w:sz w:val="40"/>
          <w:szCs w:val="40"/>
        </w:rPr>
        <w:lastRenderedPageBreak/>
        <w:br w:type="page"/>
      </w:r>
    </w:p>
    <w:p w:rsidR="00552401" w:rsidRDefault="00552401" w:rsidP="00552401">
      <w:pPr>
        <w:spacing w:after="120"/>
        <w:rPr>
          <w:rFonts w:ascii="Arial" w:hAnsi="Arial" w:cs="Arial"/>
          <w:sz w:val="20"/>
          <w:szCs w:val="20"/>
        </w:rPr>
      </w:pPr>
      <w:proofErr w:type="spellStart"/>
      <w:r w:rsidRPr="00DE475B">
        <w:rPr>
          <w:rFonts w:ascii="Arial" w:hAnsi="Arial" w:cs="Arial"/>
          <w:sz w:val="20"/>
          <w:szCs w:val="20"/>
        </w:rPr>
        <w:lastRenderedPageBreak/>
        <w:t>SLQ’s</w:t>
      </w:r>
      <w:proofErr w:type="spellEnd"/>
      <w:r w:rsidRPr="00DE475B">
        <w:rPr>
          <w:rFonts w:ascii="Arial" w:hAnsi="Arial" w:cs="Arial"/>
          <w:sz w:val="20"/>
          <w:szCs w:val="20"/>
        </w:rPr>
        <w:t xml:space="preserve"> services include:</w:t>
      </w:r>
    </w:p>
    <w:p w:rsidR="00552401" w:rsidRPr="00552401" w:rsidRDefault="00552401" w:rsidP="00552401">
      <w:pPr>
        <w:numPr>
          <w:ilvl w:val="0"/>
          <w:numId w:val="9"/>
        </w:numPr>
        <w:tabs>
          <w:tab w:val="left" w:pos="284"/>
        </w:tabs>
        <w:spacing w:after="40"/>
        <w:ind w:left="284" w:hanging="284"/>
        <w:rPr>
          <w:rFonts w:ascii="Arial" w:hAnsi="Arial" w:cs="Arial"/>
          <w:sz w:val="20"/>
          <w:szCs w:val="20"/>
        </w:rPr>
      </w:pPr>
      <w:r w:rsidRPr="00552401">
        <w:rPr>
          <w:rFonts w:ascii="Arial" w:hAnsi="Arial" w:cs="Arial"/>
          <w:sz w:val="20"/>
          <w:szCs w:val="20"/>
        </w:rPr>
        <w:t>onsite and online services including information/research services, venue hire, café, SLQ Shop and fabrication lab</w:t>
      </w:r>
    </w:p>
    <w:p w:rsidR="00552401" w:rsidRPr="00DE475B" w:rsidRDefault="00552401" w:rsidP="00552401">
      <w:pPr>
        <w:numPr>
          <w:ilvl w:val="0"/>
          <w:numId w:val="9"/>
        </w:numPr>
        <w:tabs>
          <w:tab w:val="left" w:pos="284"/>
        </w:tabs>
        <w:spacing w:after="40"/>
        <w:ind w:left="284" w:hanging="284"/>
        <w:rPr>
          <w:rFonts w:ascii="Arial" w:hAnsi="Arial" w:cs="Arial"/>
          <w:sz w:val="20"/>
          <w:szCs w:val="20"/>
        </w:rPr>
      </w:pPr>
      <w:r w:rsidRPr="00DE475B">
        <w:rPr>
          <w:rFonts w:ascii="Arial" w:hAnsi="Arial" w:cs="Arial"/>
          <w:sz w:val="20"/>
          <w:szCs w:val="20"/>
        </w:rPr>
        <w:t xml:space="preserve">supporting public library and </w:t>
      </w:r>
      <w:proofErr w:type="spellStart"/>
      <w:r w:rsidRPr="00DE475B">
        <w:rPr>
          <w:rFonts w:ascii="Arial" w:hAnsi="Arial" w:cs="Arial"/>
          <w:sz w:val="20"/>
          <w:szCs w:val="20"/>
        </w:rPr>
        <w:t>IKC</w:t>
      </w:r>
      <w:proofErr w:type="spellEnd"/>
      <w:r w:rsidRPr="00DE475B">
        <w:rPr>
          <w:rFonts w:ascii="Arial" w:hAnsi="Arial" w:cs="Arial"/>
          <w:sz w:val="20"/>
          <w:szCs w:val="20"/>
        </w:rPr>
        <w:t xml:space="preserve"> development through grants, collection services and professional development</w:t>
      </w:r>
    </w:p>
    <w:p w:rsidR="00552401" w:rsidRPr="00DE475B" w:rsidRDefault="00552401" w:rsidP="00552401">
      <w:pPr>
        <w:numPr>
          <w:ilvl w:val="0"/>
          <w:numId w:val="9"/>
        </w:numPr>
        <w:tabs>
          <w:tab w:val="left" w:pos="284"/>
        </w:tabs>
        <w:spacing w:after="40"/>
        <w:ind w:left="284" w:hanging="284"/>
        <w:rPr>
          <w:rFonts w:ascii="Arial" w:hAnsi="Arial" w:cs="Arial"/>
          <w:sz w:val="20"/>
          <w:szCs w:val="20"/>
        </w:rPr>
      </w:pPr>
      <w:r w:rsidRPr="00DE475B">
        <w:rPr>
          <w:rFonts w:ascii="Arial" w:hAnsi="Arial" w:cs="Arial"/>
          <w:sz w:val="20"/>
          <w:szCs w:val="20"/>
        </w:rPr>
        <w:t>promoting research and understanding of Queensland’s unique history, and capturing and documenting the State’s story for current and future generations</w:t>
      </w:r>
    </w:p>
    <w:p w:rsidR="00552401" w:rsidRPr="00DE475B" w:rsidRDefault="00552401" w:rsidP="00552401">
      <w:pPr>
        <w:numPr>
          <w:ilvl w:val="0"/>
          <w:numId w:val="9"/>
        </w:numPr>
        <w:tabs>
          <w:tab w:val="left" w:pos="284"/>
        </w:tabs>
        <w:spacing w:after="40"/>
        <w:ind w:left="284" w:hanging="284"/>
        <w:rPr>
          <w:rFonts w:ascii="Arial" w:hAnsi="Arial" w:cs="Arial"/>
          <w:sz w:val="20"/>
          <w:szCs w:val="20"/>
        </w:rPr>
      </w:pPr>
      <w:r w:rsidRPr="00DE475B">
        <w:rPr>
          <w:rFonts w:ascii="Arial" w:hAnsi="Arial" w:cs="Arial"/>
          <w:sz w:val="20"/>
          <w:szCs w:val="20"/>
        </w:rPr>
        <w:t>managing State collection assets through acquisition, description, preservation, access and discovery</w:t>
      </w:r>
    </w:p>
    <w:p w:rsidR="00552401" w:rsidRPr="00DE475B" w:rsidRDefault="00552401" w:rsidP="00552401">
      <w:pPr>
        <w:numPr>
          <w:ilvl w:val="0"/>
          <w:numId w:val="9"/>
        </w:numPr>
        <w:tabs>
          <w:tab w:val="left" w:pos="284"/>
        </w:tabs>
        <w:spacing w:after="40"/>
        <w:ind w:left="284" w:hanging="284"/>
        <w:rPr>
          <w:rFonts w:ascii="Arial" w:hAnsi="Arial" w:cs="Arial"/>
          <w:sz w:val="20"/>
          <w:szCs w:val="20"/>
        </w:rPr>
      </w:pPr>
      <w:r w:rsidRPr="00DE475B">
        <w:rPr>
          <w:rFonts w:ascii="Arial" w:hAnsi="Arial" w:cs="Arial"/>
          <w:sz w:val="20"/>
          <w:szCs w:val="20"/>
        </w:rPr>
        <w:t>creative and culturally engaging programs for all Queenslanders including children and families, youth, Aboriginal peoples and Torres Strait Islander peoples, culturally and linguistically diverse communities, and people with disability</w:t>
      </w:r>
    </w:p>
    <w:p w:rsidR="00552401" w:rsidRPr="00DE475B" w:rsidRDefault="00552401" w:rsidP="00552401">
      <w:pPr>
        <w:numPr>
          <w:ilvl w:val="0"/>
          <w:numId w:val="9"/>
        </w:numPr>
        <w:tabs>
          <w:tab w:val="left" w:pos="284"/>
        </w:tabs>
        <w:spacing w:after="40"/>
        <w:ind w:left="284" w:hanging="284"/>
        <w:rPr>
          <w:rFonts w:ascii="Arial" w:hAnsi="Arial" w:cs="Arial"/>
          <w:sz w:val="20"/>
          <w:szCs w:val="20"/>
        </w:rPr>
      </w:pPr>
      <w:r w:rsidRPr="00DE475B">
        <w:rPr>
          <w:rFonts w:ascii="Arial" w:hAnsi="Arial" w:cs="Arial"/>
          <w:sz w:val="20"/>
          <w:szCs w:val="20"/>
        </w:rPr>
        <w:t>support and advocacy for public library services for all Queenslanders</w:t>
      </w:r>
    </w:p>
    <w:p w:rsidR="00552401" w:rsidRDefault="00552401" w:rsidP="00552401">
      <w:pPr>
        <w:numPr>
          <w:ilvl w:val="0"/>
          <w:numId w:val="9"/>
        </w:numPr>
        <w:tabs>
          <w:tab w:val="left" w:pos="284"/>
        </w:tabs>
        <w:spacing w:after="120"/>
        <w:ind w:left="284" w:hanging="284"/>
        <w:rPr>
          <w:rFonts w:ascii="Arial" w:hAnsi="Arial" w:cs="Arial"/>
          <w:sz w:val="20"/>
          <w:szCs w:val="20"/>
        </w:rPr>
      </w:pPr>
      <w:proofErr w:type="gramStart"/>
      <w:r w:rsidRPr="00552401">
        <w:rPr>
          <w:rFonts w:ascii="Arial" w:hAnsi="Arial" w:cs="Arial"/>
          <w:sz w:val="20"/>
          <w:szCs w:val="20"/>
        </w:rPr>
        <w:t>centres</w:t>
      </w:r>
      <w:proofErr w:type="gramEnd"/>
      <w:r w:rsidRPr="00552401">
        <w:rPr>
          <w:rFonts w:ascii="Arial" w:hAnsi="Arial" w:cs="Arial"/>
          <w:sz w:val="20"/>
          <w:szCs w:val="20"/>
        </w:rPr>
        <w:t xml:space="preserve"> of engagement with children and young people (The Corner); Aboriginal and Torres Strait Islander peoples (kuril dhagun and </w:t>
      </w:r>
      <w:proofErr w:type="spellStart"/>
      <w:r w:rsidRPr="00552401">
        <w:rPr>
          <w:rFonts w:ascii="Arial" w:hAnsi="Arial" w:cs="Arial"/>
          <w:sz w:val="20"/>
          <w:szCs w:val="20"/>
        </w:rPr>
        <w:t>IKCs</w:t>
      </w:r>
      <w:proofErr w:type="spellEnd"/>
      <w:r w:rsidRPr="00552401">
        <w:rPr>
          <w:rFonts w:ascii="Arial" w:hAnsi="Arial" w:cs="Arial"/>
          <w:sz w:val="20"/>
          <w:szCs w:val="20"/>
        </w:rPr>
        <w:t>); arts, science and technology (The Edge); design (</w:t>
      </w:r>
      <w:proofErr w:type="spellStart"/>
      <w:r w:rsidRPr="00552401">
        <w:rPr>
          <w:rFonts w:ascii="Arial" w:hAnsi="Arial" w:cs="Arial"/>
          <w:sz w:val="20"/>
          <w:szCs w:val="20"/>
        </w:rPr>
        <w:t>APDL</w:t>
      </w:r>
      <w:proofErr w:type="spellEnd"/>
      <w:r w:rsidRPr="00552401">
        <w:rPr>
          <w:rFonts w:ascii="Arial" w:hAnsi="Arial" w:cs="Arial"/>
          <w:sz w:val="20"/>
          <w:szCs w:val="20"/>
        </w:rPr>
        <w:t>) and enterprise (Business Studio).</w:t>
      </w:r>
    </w:p>
    <w:p w:rsidR="00552401" w:rsidRDefault="00552401">
      <w:pPr>
        <w:suppressAutoHyphens w:val="0"/>
        <w:autoSpaceDE/>
        <w:rPr>
          <w:rFonts w:ascii="Arial" w:hAnsi="Arial" w:cs="Arial"/>
          <w:sz w:val="40"/>
          <w:szCs w:val="40"/>
        </w:rPr>
      </w:pPr>
      <w:r>
        <w:rPr>
          <w:rFonts w:ascii="Arial" w:hAnsi="Arial" w:cs="Arial"/>
          <w:sz w:val="40"/>
          <w:szCs w:val="40"/>
        </w:rPr>
        <w:br w:type="page"/>
      </w:r>
    </w:p>
    <w:p w:rsidR="003D53EA" w:rsidRPr="00DE475B" w:rsidRDefault="00D346B4" w:rsidP="00CC2793">
      <w:pPr>
        <w:rPr>
          <w:rFonts w:ascii="Arial" w:hAnsi="Arial" w:cs="Arial"/>
          <w:sz w:val="20"/>
          <w:szCs w:val="20"/>
        </w:rPr>
        <w:sectPr w:rsidR="003D53EA" w:rsidRPr="00DE475B" w:rsidSect="00B53922">
          <w:type w:val="continuous"/>
          <w:pgSz w:w="11906" w:h="16838"/>
          <w:pgMar w:top="1440" w:right="1797" w:bottom="1440" w:left="1797" w:header="709" w:footer="709" w:gutter="0"/>
          <w:cols w:space="720"/>
          <w:docGrid w:linePitch="360"/>
        </w:sectPr>
      </w:pPr>
      <w:r w:rsidRPr="00DE475B">
        <w:rPr>
          <w:rFonts w:ascii="Arial" w:hAnsi="Arial" w:cs="Arial"/>
          <w:sz w:val="40"/>
          <w:szCs w:val="40"/>
        </w:rPr>
        <w:lastRenderedPageBreak/>
        <w:t>Chairperson’s overview</w:t>
      </w:r>
      <w:r w:rsidR="00CC2793" w:rsidRPr="00DE475B">
        <w:rPr>
          <w:rFonts w:ascii="Arial" w:hAnsi="Arial" w:cs="Arial"/>
          <w:sz w:val="40"/>
          <w:szCs w:val="40"/>
        </w:rPr>
        <w:t xml:space="preserve"> 201</w:t>
      </w:r>
      <w:r w:rsidR="008877D9" w:rsidRPr="00DE475B">
        <w:rPr>
          <w:rFonts w:ascii="Arial" w:hAnsi="Arial" w:cs="Arial"/>
          <w:sz w:val="40"/>
          <w:szCs w:val="40"/>
        </w:rPr>
        <w:t>6</w:t>
      </w:r>
      <w:r w:rsidR="00CC2793" w:rsidRPr="00DE475B">
        <w:rPr>
          <w:rFonts w:ascii="Arial" w:hAnsi="Arial" w:cs="Arial"/>
          <w:sz w:val="40"/>
          <w:szCs w:val="40"/>
        </w:rPr>
        <w:t>–1</w:t>
      </w:r>
      <w:r w:rsidR="008877D9" w:rsidRPr="00DE475B">
        <w:rPr>
          <w:rFonts w:ascii="Arial" w:hAnsi="Arial" w:cs="Arial"/>
          <w:sz w:val="40"/>
          <w:szCs w:val="40"/>
        </w:rPr>
        <w:t>7</w:t>
      </w:r>
    </w:p>
    <w:p w:rsidR="00D346B4" w:rsidRPr="00DE475B" w:rsidRDefault="00D346B4" w:rsidP="003D53EA">
      <w:pPr>
        <w:spacing w:after="120"/>
        <w:rPr>
          <w:rFonts w:ascii="Arial" w:hAnsi="Arial" w:cs="Arial"/>
        </w:rPr>
        <w:sectPr w:rsidR="00D346B4" w:rsidRPr="00DE475B" w:rsidSect="00B53922">
          <w:type w:val="continuous"/>
          <w:pgSz w:w="11906" w:h="16838"/>
          <w:pgMar w:top="1440" w:right="1797" w:bottom="1440" w:left="1797" w:header="709" w:footer="709" w:gutter="0"/>
          <w:cols w:num="2" w:space="374"/>
          <w:docGrid w:linePitch="360"/>
        </w:sectPr>
      </w:pPr>
    </w:p>
    <w:p w:rsidR="00FC01C7" w:rsidRPr="00DE475B" w:rsidRDefault="001D69E3" w:rsidP="001D69E3">
      <w:pPr>
        <w:spacing w:after="120"/>
        <w:rPr>
          <w:rFonts w:ascii="Arial" w:hAnsi="Arial" w:cs="Arial"/>
          <w:spacing w:val="-2"/>
          <w:sz w:val="20"/>
          <w:szCs w:val="20"/>
        </w:rPr>
      </w:pPr>
      <w:r w:rsidRPr="00DE475B">
        <w:rPr>
          <w:rFonts w:ascii="Arial" w:hAnsi="Arial" w:cs="Arial"/>
          <w:spacing w:val="-2"/>
          <w:sz w:val="20"/>
          <w:szCs w:val="20"/>
        </w:rPr>
        <w:lastRenderedPageBreak/>
        <w:t>This year State Library of Queensland gaine</w:t>
      </w:r>
      <w:r w:rsidR="00DE475B" w:rsidRPr="00DE475B">
        <w:rPr>
          <w:rFonts w:ascii="Arial" w:hAnsi="Arial" w:cs="Arial"/>
          <w:spacing w:val="-2"/>
          <w:sz w:val="20"/>
          <w:szCs w:val="20"/>
        </w:rPr>
        <w:t>d a new State Librarian and CEO, and</w:t>
      </w:r>
      <w:r w:rsidRPr="00DE475B">
        <w:rPr>
          <w:rFonts w:ascii="Arial" w:hAnsi="Arial" w:cs="Arial"/>
          <w:spacing w:val="-2"/>
          <w:sz w:val="20"/>
          <w:szCs w:val="20"/>
        </w:rPr>
        <w:t xml:space="preserve"> a new Library Board. But for all of that change, it</w:t>
      </w:r>
      <w:r w:rsidR="00C2617E" w:rsidRPr="00DE475B">
        <w:rPr>
          <w:rFonts w:ascii="Arial" w:hAnsi="Arial" w:cs="Arial"/>
          <w:spacing w:val="-2"/>
          <w:sz w:val="20"/>
          <w:szCs w:val="20"/>
        </w:rPr>
        <w:t xml:space="preserve"> continued</w:t>
      </w:r>
      <w:r w:rsidRPr="00DE475B">
        <w:rPr>
          <w:rFonts w:ascii="Arial" w:hAnsi="Arial" w:cs="Arial"/>
          <w:spacing w:val="-2"/>
          <w:sz w:val="20"/>
          <w:szCs w:val="20"/>
        </w:rPr>
        <w:t xml:space="preserve"> to deliver fantastic services to people across Queensland and </w:t>
      </w:r>
      <w:r w:rsidR="00C2617E" w:rsidRPr="00DE475B">
        <w:rPr>
          <w:rFonts w:ascii="Arial" w:hAnsi="Arial" w:cs="Arial"/>
          <w:spacing w:val="-2"/>
          <w:sz w:val="20"/>
          <w:szCs w:val="20"/>
        </w:rPr>
        <w:t>model</w:t>
      </w:r>
      <w:r w:rsidR="00FC01C7" w:rsidRPr="00DE475B">
        <w:rPr>
          <w:rFonts w:ascii="Arial" w:hAnsi="Arial" w:cs="Arial"/>
          <w:spacing w:val="-2"/>
          <w:sz w:val="20"/>
          <w:szCs w:val="20"/>
        </w:rPr>
        <w:t xml:space="preserve"> what it means to be a library in the 21st century. </w:t>
      </w:r>
    </w:p>
    <w:p w:rsidR="001D69E3" w:rsidRDefault="001D69E3" w:rsidP="001D69E3">
      <w:pPr>
        <w:spacing w:after="120"/>
        <w:rPr>
          <w:rFonts w:ascii="Arial" w:hAnsi="Arial" w:cs="Arial"/>
          <w:spacing w:val="-2"/>
          <w:sz w:val="20"/>
          <w:szCs w:val="20"/>
        </w:rPr>
      </w:pPr>
      <w:r w:rsidRPr="00DE475B">
        <w:rPr>
          <w:rFonts w:ascii="Arial" w:hAnsi="Arial" w:cs="Arial"/>
          <w:spacing w:val="-2"/>
          <w:sz w:val="20"/>
          <w:szCs w:val="20"/>
        </w:rPr>
        <w:t>Vicki McDonald started as State Librarian</w:t>
      </w:r>
      <w:r w:rsidR="00F07335" w:rsidRPr="00DE475B">
        <w:rPr>
          <w:rFonts w:ascii="Arial" w:hAnsi="Arial" w:cs="Arial"/>
          <w:spacing w:val="-2"/>
          <w:sz w:val="20"/>
          <w:szCs w:val="20"/>
        </w:rPr>
        <w:t xml:space="preserve"> and CEO</w:t>
      </w:r>
      <w:r w:rsidRPr="00DE475B">
        <w:rPr>
          <w:rFonts w:ascii="Arial" w:hAnsi="Arial" w:cs="Arial"/>
          <w:spacing w:val="-2"/>
          <w:sz w:val="20"/>
          <w:szCs w:val="20"/>
        </w:rPr>
        <w:t xml:space="preserve"> in September 2016, bringing with her extensive experience in, and passion for</w:t>
      </w:r>
      <w:r w:rsidR="00282857">
        <w:rPr>
          <w:rFonts w:ascii="Arial" w:hAnsi="Arial" w:cs="Arial"/>
          <w:spacing w:val="-2"/>
          <w:sz w:val="20"/>
          <w:szCs w:val="20"/>
        </w:rPr>
        <w:t>,</w:t>
      </w:r>
      <w:r w:rsidRPr="00DE475B">
        <w:rPr>
          <w:rFonts w:ascii="Arial" w:hAnsi="Arial" w:cs="Arial"/>
          <w:spacing w:val="-2"/>
          <w:sz w:val="20"/>
          <w:szCs w:val="20"/>
        </w:rPr>
        <w:t xml:space="preserve"> the important work of libraries. Thanks to Sonia Cooper, </w:t>
      </w:r>
      <w:r w:rsidR="00C2617E" w:rsidRPr="00DE475B">
        <w:rPr>
          <w:rFonts w:ascii="Arial" w:hAnsi="Arial" w:cs="Arial"/>
          <w:spacing w:val="-2"/>
          <w:sz w:val="20"/>
          <w:szCs w:val="20"/>
        </w:rPr>
        <w:t>who served as State Librarian and CEO for the first few months of 2016–17</w:t>
      </w:r>
      <w:r w:rsidR="00F07335" w:rsidRPr="00DE475B">
        <w:rPr>
          <w:rFonts w:ascii="Arial" w:hAnsi="Arial" w:cs="Arial"/>
          <w:spacing w:val="-2"/>
          <w:sz w:val="20"/>
          <w:szCs w:val="20"/>
        </w:rPr>
        <w:t xml:space="preserve"> and prepared the organisation for a smooth transition to new leadership</w:t>
      </w:r>
      <w:r w:rsidR="00C2617E" w:rsidRPr="00DE475B">
        <w:rPr>
          <w:rFonts w:ascii="Arial" w:hAnsi="Arial" w:cs="Arial"/>
          <w:spacing w:val="-2"/>
          <w:sz w:val="20"/>
          <w:szCs w:val="20"/>
        </w:rPr>
        <w:t>.</w:t>
      </w:r>
    </w:p>
    <w:p w:rsidR="00093486" w:rsidRPr="00DE475B" w:rsidRDefault="00C2617E" w:rsidP="00093486">
      <w:pPr>
        <w:spacing w:after="120"/>
        <w:rPr>
          <w:rFonts w:ascii="Arial" w:hAnsi="Arial" w:cs="Arial"/>
          <w:spacing w:val="-2"/>
          <w:sz w:val="20"/>
          <w:szCs w:val="20"/>
        </w:rPr>
      </w:pPr>
      <w:r w:rsidRPr="00DE475B">
        <w:rPr>
          <w:rFonts w:ascii="Arial" w:hAnsi="Arial" w:cs="Arial"/>
          <w:spacing w:val="-2"/>
          <w:sz w:val="20"/>
          <w:szCs w:val="20"/>
        </w:rPr>
        <w:t xml:space="preserve">In </w:t>
      </w:r>
      <w:r w:rsidR="0000026E" w:rsidRPr="00DE475B">
        <w:rPr>
          <w:rFonts w:ascii="Arial" w:hAnsi="Arial" w:cs="Arial"/>
          <w:spacing w:val="-2"/>
          <w:sz w:val="20"/>
          <w:szCs w:val="20"/>
        </w:rPr>
        <w:t>February</w:t>
      </w:r>
      <w:r w:rsidRPr="00DE475B">
        <w:rPr>
          <w:rFonts w:ascii="Arial" w:hAnsi="Arial" w:cs="Arial"/>
          <w:spacing w:val="-2"/>
          <w:sz w:val="20"/>
          <w:szCs w:val="20"/>
        </w:rPr>
        <w:t xml:space="preserve"> 2017 I was honoured to become Chair of the Library Board of Queensland, which I have been part of since 2014. </w:t>
      </w:r>
      <w:r w:rsidR="00093486" w:rsidRPr="00DE475B">
        <w:rPr>
          <w:rFonts w:ascii="Arial" w:hAnsi="Arial" w:cs="Arial"/>
          <w:sz w:val="20"/>
          <w:szCs w:val="20"/>
        </w:rPr>
        <w:t>In March 2017 a new cohort of members w</w:t>
      </w:r>
      <w:r w:rsidR="00093486">
        <w:rPr>
          <w:rFonts w:ascii="Arial" w:hAnsi="Arial" w:cs="Arial"/>
          <w:sz w:val="20"/>
          <w:szCs w:val="20"/>
        </w:rPr>
        <w:t>as</w:t>
      </w:r>
      <w:r w:rsidR="00093486" w:rsidRPr="00DE475B">
        <w:rPr>
          <w:rFonts w:ascii="Arial" w:hAnsi="Arial" w:cs="Arial"/>
          <w:sz w:val="20"/>
          <w:szCs w:val="20"/>
        </w:rPr>
        <w:t xml:space="preserve"> inducted to </w:t>
      </w:r>
      <w:r w:rsidR="00093486">
        <w:rPr>
          <w:rFonts w:ascii="Arial" w:hAnsi="Arial" w:cs="Arial"/>
          <w:sz w:val="20"/>
          <w:szCs w:val="20"/>
        </w:rPr>
        <w:t xml:space="preserve">the </w:t>
      </w:r>
      <w:r w:rsidR="00093486" w:rsidRPr="00DE475B">
        <w:rPr>
          <w:rFonts w:ascii="Arial" w:hAnsi="Arial" w:cs="Arial"/>
          <w:sz w:val="20"/>
          <w:szCs w:val="20"/>
        </w:rPr>
        <w:t>Library Board. Thank you to the previous Library Board members, some of whom had served up to nine years, for their work in providing guidance and dir</w:t>
      </w:r>
      <w:r w:rsidR="00093486">
        <w:rPr>
          <w:rFonts w:ascii="Arial" w:hAnsi="Arial" w:cs="Arial"/>
          <w:sz w:val="20"/>
          <w:szCs w:val="20"/>
        </w:rPr>
        <w:t>ection to SLQ</w:t>
      </w:r>
      <w:r w:rsidR="00E81F00">
        <w:rPr>
          <w:rFonts w:ascii="Arial" w:hAnsi="Arial" w:cs="Arial"/>
          <w:sz w:val="20"/>
          <w:szCs w:val="20"/>
        </w:rPr>
        <w:t>. And</w:t>
      </w:r>
      <w:r w:rsidR="00093486" w:rsidRPr="00DE475B">
        <w:rPr>
          <w:rFonts w:ascii="Arial" w:hAnsi="Arial" w:cs="Arial"/>
          <w:sz w:val="20"/>
          <w:szCs w:val="20"/>
        </w:rPr>
        <w:t xml:space="preserve"> welcome </w:t>
      </w:r>
      <w:r w:rsidR="00E81F00">
        <w:rPr>
          <w:rFonts w:ascii="Arial" w:hAnsi="Arial" w:cs="Arial"/>
          <w:sz w:val="20"/>
          <w:szCs w:val="20"/>
        </w:rPr>
        <w:t xml:space="preserve">to </w:t>
      </w:r>
      <w:r w:rsidR="00093486">
        <w:rPr>
          <w:rFonts w:ascii="Arial" w:hAnsi="Arial" w:cs="Arial"/>
          <w:sz w:val="20"/>
          <w:szCs w:val="20"/>
        </w:rPr>
        <w:t>the seven</w:t>
      </w:r>
      <w:r w:rsidR="00093486" w:rsidRPr="00DE475B">
        <w:rPr>
          <w:rFonts w:ascii="Arial" w:hAnsi="Arial" w:cs="Arial"/>
          <w:sz w:val="20"/>
          <w:szCs w:val="20"/>
        </w:rPr>
        <w:t xml:space="preserve"> new members</w:t>
      </w:r>
      <w:r w:rsidR="00EC342A">
        <w:rPr>
          <w:rFonts w:ascii="Arial" w:hAnsi="Arial" w:cs="Arial"/>
          <w:sz w:val="20"/>
          <w:szCs w:val="20"/>
        </w:rPr>
        <w:t>,</w:t>
      </w:r>
      <w:r w:rsidR="00093486" w:rsidRPr="00DE475B">
        <w:rPr>
          <w:rFonts w:ascii="Arial" w:hAnsi="Arial" w:cs="Arial"/>
          <w:sz w:val="20"/>
          <w:szCs w:val="20"/>
        </w:rPr>
        <w:t xml:space="preserve"> who have spent several months learning about how SLQ operates.</w:t>
      </w:r>
    </w:p>
    <w:p w:rsidR="00875C8D" w:rsidRPr="00282857" w:rsidRDefault="00875C8D" w:rsidP="00875C8D">
      <w:pPr>
        <w:spacing w:after="120"/>
        <w:rPr>
          <w:rFonts w:ascii="Arial" w:hAnsi="Arial" w:cs="Arial"/>
          <w:sz w:val="20"/>
          <w:szCs w:val="20"/>
        </w:rPr>
      </w:pPr>
      <w:r w:rsidRPr="00282857">
        <w:rPr>
          <w:rFonts w:ascii="Arial" w:hAnsi="Arial" w:cs="Arial"/>
          <w:sz w:val="20"/>
          <w:szCs w:val="20"/>
        </w:rPr>
        <w:t xml:space="preserve">Thanks </w:t>
      </w:r>
      <w:r w:rsidR="008B4B34" w:rsidRPr="00282857">
        <w:rPr>
          <w:rFonts w:ascii="Arial" w:hAnsi="Arial" w:cs="Arial"/>
          <w:sz w:val="20"/>
          <w:szCs w:val="20"/>
        </w:rPr>
        <w:t xml:space="preserve">also </w:t>
      </w:r>
      <w:r w:rsidRPr="00282857">
        <w:rPr>
          <w:rFonts w:ascii="Arial" w:hAnsi="Arial" w:cs="Arial"/>
          <w:sz w:val="20"/>
          <w:szCs w:val="20"/>
        </w:rPr>
        <w:t xml:space="preserve">to the Honourable </w:t>
      </w:r>
      <w:proofErr w:type="spellStart"/>
      <w:r w:rsidRPr="00282857">
        <w:rPr>
          <w:rFonts w:ascii="Arial" w:hAnsi="Arial" w:cs="Arial"/>
          <w:sz w:val="20"/>
          <w:szCs w:val="20"/>
        </w:rPr>
        <w:t>Leeanne</w:t>
      </w:r>
      <w:proofErr w:type="spellEnd"/>
      <w:r w:rsidRPr="00282857">
        <w:rPr>
          <w:rFonts w:ascii="Arial" w:hAnsi="Arial" w:cs="Arial"/>
          <w:sz w:val="20"/>
          <w:szCs w:val="20"/>
        </w:rPr>
        <w:t xml:space="preserve"> Enoch MP, Minister for Innovation, Science and the Digital Economy, for</w:t>
      </w:r>
      <w:r w:rsidR="008B4B34" w:rsidRPr="00282857">
        <w:rPr>
          <w:rFonts w:ascii="Arial" w:hAnsi="Arial" w:cs="Arial"/>
          <w:sz w:val="20"/>
          <w:szCs w:val="20"/>
        </w:rPr>
        <w:t xml:space="preserve"> her support in 2016–17, and to the State Librarian and CEO</w:t>
      </w:r>
      <w:r w:rsidR="00282857" w:rsidRPr="00282857">
        <w:rPr>
          <w:rFonts w:ascii="Arial" w:hAnsi="Arial" w:cs="Arial"/>
          <w:sz w:val="20"/>
          <w:szCs w:val="20"/>
        </w:rPr>
        <w:t>,</w:t>
      </w:r>
      <w:r w:rsidR="008B4B34" w:rsidRPr="00282857">
        <w:rPr>
          <w:rFonts w:ascii="Arial" w:hAnsi="Arial" w:cs="Arial"/>
          <w:sz w:val="20"/>
          <w:szCs w:val="20"/>
        </w:rPr>
        <w:t xml:space="preserve"> Vicki McDonald</w:t>
      </w:r>
      <w:r w:rsidR="00282857" w:rsidRPr="00282857">
        <w:rPr>
          <w:rFonts w:ascii="Arial" w:hAnsi="Arial" w:cs="Arial"/>
          <w:sz w:val="20"/>
          <w:szCs w:val="20"/>
        </w:rPr>
        <w:t>,</w:t>
      </w:r>
      <w:r w:rsidR="008B4B34" w:rsidRPr="00282857">
        <w:rPr>
          <w:rFonts w:ascii="Arial" w:hAnsi="Arial" w:cs="Arial"/>
          <w:sz w:val="20"/>
          <w:szCs w:val="20"/>
        </w:rPr>
        <w:t xml:space="preserve"> for her help and guidance.</w:t>
      </w:r>
    </w:p>
    <w:p w:rsidR="00FC01C7" w:rsidRPr="00DE475B" w:rsidRDefault="00C2617E" w:rsidP="00FC01C7">
      <w:pPr>
        <w:spacing w:after="120"/>
        <w:rPr>
          <w:rFonts w:ascii="Arial" w:hAnsi="Arial" w:cs="Arial"/>
          <w:sz w:val="20"/>
          <w:szCs w:val="20"/>
        </w:rPr>
      </w:pPr>
      <w:r w:rsidRPr="00DE475B">
        <w:rPr>
          <w:rFonts w:ascii="Arial" w:hAnsi="Arial" w:cs="Arial"/>
          <w:sz w:val="20"/>
          <w:szCs w:val="20"/>
        </w:rPr>
        <w:t xml:space="preserve">One of the important roles </w:t>
      </w:r>
      <w:r w:rsidR="00FC01C7" w:rsidRPr="00DE475B">
        <w:rPr>
          <w:rFonts w:ascii="Arial" w:hAnsi="Arial" w:cs="Arial"/>
          <w:sz w:val="20"/>
          <w:szCs w:val="20"/>
        </w:rPr>
        <w:t xml:space="preserve">SLQ </w:t>
      </w:r>
      <w:r w:rsidRPr="00DE475B">
        <w:rPr>
          <w:rFonts w:ascii="Arial" w:hAnsi="Arial" w:cs="Arial"/>
          <w:sz w:val="20"/>
          <w:szCs w:val="20"/>
        </w:rPr>
        <w:t>plays is as a</w:t>
      </w:r>
      <w:r w:rsidR="00FC01C7" w:rsidRPr="00DE475B">
        <w:rPr>
          <w:rFonts w:ascii="Arial" w:hAnsi="Arial" w:cs="Arial"/>
          <w:sz w:val="20"/>
          <w:szCs w:val="20"/>
        </w:rPr>
        <w:t xml:space="preserve"> networking hub in Queensland, creating partnerships across business, government, education providers and community</w:t>
      </w:r>
      <w:r w:rsidRPr="00DE475B">
        <w:rPr>
          <w:rFonts w:ascii="Arial" w:hAnsi="Arial" w:cs="Arial"/>
          <w:sz w:val="20"/>
          <w:szCs w:val="20"/>
        </w:rPr>
        <w:t xml:space="preserve">. These partnerships further our mutual goals, which </w:t>
      </w:r>
      <w:r w:rsidR="00FC01C7" w:rsidRPr="00DE475B">
        <w:rPr>
          <w:rFonts w:ascii="Arial" w:hAnsi="Arial" w:cs="Arial"/>
          <w:sz w:val="20"/>
          <w:szCs w:val="20"/>
        </w:rPr>
        <w:t xml:space="preserve">are aligned with </w:t>
      </w:r>
      <w:r w:rsidR="00DE475B" w:rsidRPr="00DE475B">
        <w:rPr>
          <w:rFonts w:ascii="Arial" w:hAnsi="Arial" w:cs="Arial"/>
          <w:sz w:val="20"/>
          <w:szCs w:val="20"/>
        </w:rPr>
        <w:t xml:space="preserve">the </w:t>
      </w:r>
      <w:r w:rsidR="00FC01C7" w:rsidRPr="00DE475B">
        <w:rPr>
          <w:rFonts w:ascii="Arial" w:hAnsi="Arial" w:cs="Arial"/>
          <w:sz w:val="20"/>
          <w:szCs w:val="20"/>
        </w:rPr>
        <w:t xml:space="preserve">State Government </w:t>
      </w:r>
      <w:r w:rsidR="00DE475B" w:rsidRPr="00DE475B">
        <w:rPr>
          <w:rFonts w:ascii="Arial" w:hAnsi="Arial" w:cs="Arial"/>
          <w:sz w:val="20"/>
          <w:szCs w:val="20"/>
        </w:rPr>
        <w:t xml:space="preserve">priorities and </w:t>
      </w:r>
      <w:r w:rsidR="00FC01C7" w:rsidRPr="00DE475B">
        <w:rPr>
          <w:rFonts w:ascii="Arial" w:hAnsi="Arial" w:cs="Arial"/>
          <w:sz w:val="20"/>
          <w:szCs w:val="20"/>
        </w:rPr>
        <w:t xml:space="preserve">the Advance Queensland </w:t>
      </w:r>
      <w:r w:rsidR="00DE475B" w:rsidRPr="00DE475B">
        <w:rPr>
          <w:rFonts w:ascii="Arial" w:hAnsi="Arial" w:cs="Arial"/>
          <w:sz w:val="20"/>
          <w:szCs w:val="20"/>
        </w:rPr>
        <w:t>initiative</w:t>
      </w:r>
      <w:r w:rsidR="00FC01C7" w:rsidRPr="00DE475B">
        <w:rPr>
          <w:rFonts w:ascii="Arial" w:hAnsi="Arial" w:cs="Arial"/>
          <w:sz w:val="20"/>
          <w:szCs w:val="20"/>
        </w:rPr>
        <w:t>.</w:t>
      </w:r>
    </w:p>
    <w:p w:rsidR="00DF381B" w:rsidRPr="00DE475B" w:rsidRDefault="00FC01C7" w:rsidP="00FC01C7">
      <w:pPr>
        <w:spacing w:after="120"/>
        <w:rPr>
          <w:rFonts w:ascii="Arial" w:hAnsi="Arial" w:cs="Arial"/>
          <w:sz w:val="20"/>
          <w:szCs w:val="20"/>
        </w:rPr>
      </w:pPr>
      <w:r w:rsidRPr="00DE475B">
        <w:rPr>
          <w:rFonts w:ascii="Arial" w:hAnsi="Arial" w:cs="Arial"/>
          <w:sz w:val="20"/>
          <w:szCs w:val="20"/>
        </w:rPr>
        <w:t>Advance Queensland aims to harness innovation t</w:t>
      </w:r>
      <w:r w:rsidR="007C1E05" w:rsidRPr="00DE475B">
        <w:rPr>
          <w:rFonts w:ascii="Arial" w:hAnsi="Arial" w:cs="Arial"/>
          <w:sz w:val="20"/>
          <w:szCs w:val="20"/>
        </w:rPr>
        <w:t>o strengthen and diversify the S</w:t>
      </w:r>
      <w:r w:rsidRPr="00DE475B">
        <w:rPr>
          <w:rFonts w:ascii="Arial" w:hAnsi="Arial" w:cs="Arial"/>
          <w:sz w:val="20"/>
          <w:szCs w:val="20"/>
        </w:rPr>
        <w:t xml:space="preserve">tate’s economy and create jobs for the future. </w:t>
      </w:r>
      <w:r w:rsidR="00DF381B" w:rsidRPr="00DE475B">
        <w:rPr>
          <w:rFonts w:ascii="Arial" w:hAnsi="Arial" w:cs="Arial"/>
          <w:sz w:val="20"/>
          <w:szCs w:val="20"/>
        </w:rPr>
        <w:t xml:space="preserve">The SLQ Business Studio is just one way </w:t>
      </w:r>
      <w:r w:rsidRPr="00DE475B">
        <w:rPr>
          <w:rFonts w:ascii="Arial" w:hAnsi="Arial" w:cs="Arial"/>
          <w:sz w:val="20"/>
          <w:szCs w:val="20"/>
        </w:rPr>
        <w:t xml:space="preserve">SLQ supports this </w:t>
      </w:r>
      <w:r w:rsidR="00DF381B" w:rsidRPr="00DE475B">
        <w:rPr>
          <w:rFonts w:ascii="Arial" w:hAnsi="Arial" w:cs="Arial"/>
          <w:sz w:val="20"/>
          <w:szCs w:val="20"/>
        </w:rPr>
        <w:t xml:space="preserve">agenda. </w:t>
      </w:r>
      <w:r w:rsidRPr="00DE475B">
        <w:rPr>
          <w:rFonts w:ascii="Arial" w:hAnsi="Arial" w:cs="Arial"/>
          <w:sz w:val="20"/>
          <w:szCs w:val="20"/>
        </w:rPr>
        <w:t xml:space="preserve">The Business Studio </w:t>
      </w:r>
      <w:r w:rsidR="00DF381B" w:rsidRPr="00DE475B">
        <w:rPr>
          <w:rFonts w:ascii="Arial" w:hAnsi="Arial" w:cs="Arial"/>
          <w:sz w:val="20"/>
          <w:szCs w:val="20"/>
        </w:rPr>
        <w:t xml:space="preserve">is a </w:t>
      </w:r>
      <w:r w:rsidRPr="00DE475B">
        <w:rPr>
          <w:rFonts w:ascii="Arial" w:hAnsi="Arial" w:cs="Arial"/>
          <w:sz w:val="20"/>
          <w:szCs w:val="20"/>
        </w:rPr>
        <w:t xml:space="preserve">dedicated space for entrepreneurs and start-up companies, </w:t>
      </w:r>
      <w:r w:rsidR="00DF381B" w:rsidRPr="00DE475B">
        <w:rPr>
          <w:rFonts w:ascii="Arial" w:hAnsi="Arial" w:cs="Arial"/>
          <w:sz w:val="20"/>
          <w:szCs w:val="20"/>
        </w:rPr>
        <w:t xml:space="preserve">providing resources and support. However, it’s not just enterprise — SLQ provides a host of </w:t>
      </w:r>
      <w:r w:rsidRPr="00DE475B">
        <w:rPr>
          <w:rFonts w:ascii="Arial" w:hAnsi="Arial" w:cs="Arial"/>
          <w:sz w:val="20"/>
          <w:szCs w:val="20"/>
        </w:rPr>
        <w:t>skill</w:t>
      </w:r>
      <w:r w:rsidR="00DF381B" w:rsidRPr="00DE475B">
        <w:rPr>
          <w:rFonts w:ascii="Arial" w:hAnsi="Arial" w:cs="Arial"/>
          <w:sz w:val="20"/>
          <w:szCs w:val="20"/>
        </w:rPr>
        <w:t>s</w:t>
      </w:r>
      <w:r w:rsidRPr="00DE475B">
        <w:rPr>
          <w:rFonts w:ascii="Arial" w:hAnsi="Arial" w:cs="Arial"/>
          <w:sz w:val="20"/>
          <w:szCs w:val="20"/>
        </w:rPr>
        <w:t xml:space="preserve"> programs</w:t>
      </w:r>
      <w:r w:rsidR="00DF381B" w:rsidRPr="00DE475B">
        <w:rPr>
          <w:rFonts w:ascii="Arial" w:hAnsi="Arial" w:cs="Arial"/>
          <w:sz w:val="20"/>
          <w:szCs w:val="20"/>
        </w:rPr>
        <w:t xml:space="preserve"> to people of all ages, allowing them to creatively explore </w:t>
      </w:r>
      <w:r w:rsidRPr="00DE475B">
        <w:rPr>
          <w:rFonts w:ascii="Arial" w:hAnsi="Arial" w:cs="Arial"/>
          <w:sz w:val="20"/>
          <w:szCs w:val="20"/>
        </w:rPr>
        <w:t>computing and robotics,</w:t>
      </w:r>
      <w:r w:rsidR="00DF381B" w:rsidRPr="00DE475B">
        <w:rPr>
          <w:rFonts w:ascii="Arial" w:hAnsi="Arial" w:cs="Arial"/>
          <w:sz w:val="20"/>
          <w:szCs w:val="20"/>
        </w:rPr>
        <w:t xml:space="preserve"> science and design,</w:t>
      </w:r>
      <w:r w:rsidRPr="00DE475B">
        <w:rPr>
          <w:rFonts w:ascii="Arial" w:hAnsi="Arial" w:cs="Arial"/>
          <w:sz w:val="20"/>
          <w:szCs w:val="20"/>
        </w:rPr>
        <w:t xml:space="preserve"> </w:t>
      </w:r>
      <w:r w:rsidR="0000026E" w:rsidRPr="00DE475B">
        <w:rPr>
          <w:rFonts w:ascii="Arial" w:hAnsi="Arial" w:cs="Arial"/>
          <w:sz w:val="20"/>
          <w:szCs w:val="20"/>
        </w:rPr>
        <w:t>among other topics</w:t>
      </w:r>
      <w:r w:rsidR="00DF381B" w:rsidRPr="00DE475B">
        <w:rPr>
          <w:rFonts w:ascii="Arial" w:hAnsi="Arial" w:cs="Arial"/>
          <w:sz w:val="20"/>
          <w:szCs w:val="20"/>
        </w:rPr>
        <w:t>.</w:t>
      </w:r>
    </w:p>
    <w:p w:rsidR="00FC01C7" w:rsidRPr="00DE475B" w:rsidRDefault="0069451E" w:rsidP="00FC01C7">
      <w:pPr>
        <w:spacing w:after="120"/>
        <w:rPr>
          <w:rFonts w:ascii="Arial" w:hAnsi="Arial" w:cs="Arial"/>
          <w:sz w:val="20"/>
          <w:szCs w:val="20"/>
        </w:rPr>
      </w:pPr>
      <w:r w:rsidRPr="00DE475B">
        <w:rPr>
          <w:rFonts w:ascii="Arial" w:hAnsi="Arial" w:cs="Arial"/>
          <w:sz w:val="20"/>
          <w:szCs w:val="20"/>
        </w:rPr>
        <w:lastRenderedPageBreak/>
        <w:t xml:space="preserve">Another aspect of our </w:t>
      </w:r>
      <w:r w:rsidR="00FC01C7" w:rsidRPr="00DE475B">
        <w:rPr>
          <w:rFonts w:ascii="Arial" w:hAnsi="Arial" w:cs="Arial"/>
          <w:sz w:val="20"/>
          <w:szCs w:val="20"/>
        </w:rPr>
        <w:t xml:space="preserve">work </w:t>
      </w:r>
      <w:r w:rsidRPr="00DE475B">
        <w:rPr>
          <w:rFonts w:ascii="Arial" w:hAnsi="Arial" w:cs="Arial"/>
          <w:sz w:val="20"/>
          <w:szCs w:val="20"/>
        </w:rPr>
        <w:t>is</w:t>
      </w:r>
      <w:r w:rsidR="00FC01C7" w:rsidRPr="00DE475B">
        <w:rPr>
          <w:rFonts w:ascii="Arial" w:hAnsi="Arial" w:cs="Arial"/>
          <w:sz w:val="20"/>
          <w:szCs w:val="20"/>
        </w:rPr>
        <w:t xml:space="preserve"> build</w:t>
      </w:r>
      <w:r w:rsidRPr="00DE475B">
        <w:rPr>
          <w:rFonts w:ascii="Arial" w:hAnsi="Arial" w:cs="Arial"/>
          <w:sz w:val="20"/>
          <w:szCs w:val="20"/>
        </w:rPr>
        <w:t>ing</w:t>
      </w:r>
      <w:r w:rsidR="00FC01C7" w:rsidRPr="00DE475B">
        <w:rPr>
          <w:rFonts w:ascii="Arial" w:hAnsi="Arial" w:cs="Arial"/>
          <w:sz w:val="20"/>
          <w:szCs w:val="20"/>
        </w:rPr>
        <w:t xml:space="preserve"> capability and connectivity in the regions, </w:t>
      </w:r>
      <w:r w:rsidRPr="00DE475B">
        <w:rPr>
          <w:rFonts w:ascii="Arial" w:hAnsi="Arial" w:cs="Arial"/>
          <w:sz w:val="20"/>
          <w:szCs w:val="20"/>
        </w:rPr>
        <w:t xml:space="preserve">to </w:t>
      </w:r>
      <w:r w:rsidR="00FC01C7" w:rsidRPr="00DE475B">
        <w:rPr>
          <w:rFonts w:ascii="Arial" w:hAnsi="Arial" w:cs="Arial"/>
          <w:sz w:val="20"/>
          <w:szCs w:val="20"/>
        </w:rPr>
        <w:t>enab</w:t>
      </w:r>
      <w:r w:rsidRPr="00DE475B">
        <w:rPr>
          <w:rFonts w:ascii="Arial" w:hAnsi="Arial" w:cs="Arial"/>
          <w:sz w:val="20"/>
          <w:szCs w:val="20"/>
        </w:rPr>
        <w:t>le</w:t>
      </w:r>
      <w:r w:rsidR="00FC01C7" w:rsidRPr="00DE475B">
        <w:rPr>
          <w:rFonts w:ascii="Arial" w:hAnsi="Arial" w:cs="Arial"/>
          <w:sz w:val="20"/>
          <w:szCs w:val="20"/>
        </w:rPr>
        <w:t xml:space="preserve"> Queenslanders </w:t>
      </w:r>
      <w:r w:rsidRPr="00DE475B">
        <w:rPr>
          <w:rFonts w:ascii="Arial" w:hAnsi="Arial" w:cs="Arial"/>
          <w:sz w:val="20"/>
          <w:szCs w:val="20"/>
        </w:rPr>
        <w:t xml:space="preserve">to </w:t>
      </w:r>
      <w:r w:rsidR="00FC01C7" w:rsidRPr="00DE475B">
        <w:rPr>
          <w:rFonts w:ascii="Arial" w:hAnsi="Arial" w:cs="Arial"/>
          <w:sz w:val="20"/>
          <w:szCs w:val="20"/>
        </w:rPr>
        <w:t>participat</w:t>
      </w:r>
      <w:r w:rsidRPr="00DE475B">
        <w:rPr>
          <w:rFonts w:ascii="Arial" w:hAnsi="Arial" w:cs="Arial"/>
          <w:sz w:val="20"/>
          <w:szCs w:val="20"/>
        </w:rPr>
        <w:t>e</w:t>
      </w:r>
      <w:r w:rsidR="00FC01C7" w:rsidRPr="00DE475B">
        <w:rPr>
          <w:rFonts w:ascii="Arial" w:hAnsi="Arial" w:cs="Arial"/>
          <w:sz w:val="20"/>
          <w:szCs w:val="20"/>
        </w:rPr>
        <w:t xml:space="preserve"> in the digital economy</w:t>
      </w:r>
      <w:r w:rsidRPr="00DE475B">
        <w:rPr>
          <w:rFonts w:ascii="Arial" w:hAnsi="Arial" w:cs="Arial"/>
          <w:sz w:val="20"/>
          <w:szCs w:val="20"/>
        </w:rPr>
        <w:t xml:space="preserve">. Our courses and grants aim to </w:t>
      </w:r>
      <w:r w:rsidR="00FC01C7" w:rsidRPr="00DE475B">
        <w:rPr>
          <w:rFonts w:ascii="Arial" w:hAnsi="Arial" w:cs="Arial"/>
          <w:sz w:val="20"/>
          <w:szCs w:val="20"/>
        </w:rPr>
        <w:t>increas</w:t>
      </w:r>
      <w:r w:rsidRPr="00DE475B">
        <w:rPr>
          <w:rFonts w:ascii="Arial" w:hAnsi="Arial" w:cs="Arial"/>
          <w:sz w:val="20"/>
          <w:szCs w:val="20"/>
        </w:rPr>
        <w:t>e</w:t>
      </w:r>
      <w:r w:rsidR="00FC01C7" w:rsidRPr="00DE475B">
        <w:rPr>
          <w:rFonts w:ascii="Arial" w:hAnsi="Arial" w:cs="Arial"/>
          <w:sz w:val="20"/>
          <w:szCs w:val="20"/>
        </w:rPr>
        <w:t xml:space="preserve"> digital literacy skills</w:t>
      </w:r>
      <w:r w:rsidRPr="00DE475B">
        <w:rPr>
          <w:rFonts w:ascii="Arial" w:hAnsi="Arial" w:cs="Arial"/>
          <w:sz w:val="20"/>
          <w:szCs w:val="20"/>
        </w:rPr>
        <w:t xml:space="preserve"> for individuals, and support public libraries and Indigenous Knowledge Centres (</w:t>
      </w:r>
      <w:proofErr w:type="spellStart"/>
      <w:r w:rsidRPr="00DE475B">
        <w:rPr>
          <w:rFonts w:ascii="Arial" w:hAnsi="Arial" w:cs="Arial"/>
          <w:sz w:val="20"/>
          <w:szCs w:val="20"/>
        </w:rPr>
        <w:t>IKCs</w:t>
      </w:r>
      <w:proofErr w:type="spellEnd"/>
      <w:r w:rsidRPr="00DE475B">
        <w:rPr>
          <w:rFonts w:ascii="Arial" w:hAnsi="Arial" w:cs="Arial"/>
          <w:sz w:val="20"/>
          <w:szCs w:val="20"/>
        </w:rPr>
        <w:t xml:space="preserve">) through </w:t>
      </w:r>
      <w:r w:rsidR="00FC01C7" w:rsidRPr="00DE475B">
        <w:rPr>
          <w:rFonts w:ascii="Arial" w:hAnsi="Arial" w:cs="Arial"/>
          <w:sz w:val="20"/>
          <w:szCs w:val="20"/>
        </w:rPr>
        <w:t xml:space="preserve">resources and professional development. </w:t>
      </w:r>
    </w:p>
    <w:p w:rsidR="0069451E" w:rsidRPr="00113785" w:rsidRDefault="0069451E" w:rsidP="00FC01C7">
      <w:pPr>
        <w:spacing w:after="120"/>
        <w:rPr>
          <w:rFonts w:ascii="Arial" w:hAnsi="Arial" w:cs="Arial"/>
          <w:spacing w:val="-2"/>
          <w:sz w:val="20"/>
          <w:szCs w:val="20"/>
        </w:rPr>
      </w:pPr>
      <w:proofErr w:type="spellStart"/>
      <w:r w:rsidRPr="00113785">
        <w:rPr>
          <w:rFonts w:ascii="Arial" w:hAnsi="Arial" w:cs="Arial"/>
          <w:spacing w:val="-2"/>
          <w:sz w:val="20"/>
          <w:szCs w:val="20"/>
        </w:rPr>
        <w:t>IKCs</w:t>
      </w:r>
      <w:proofErr w:type="spellEnd"/>
      <w:r w:rsidRPr="00113785">
        <w:rPr>
          <w:rFonts w:ascii="Arial" w:hAnsi="Arial" w:cs="Arial"/>
          <w:spacing w:val="-2"/>
          <w:sz w:val="20"/>
          <w:szCs w:val="20"/>
        </w:rPr>
        <w:t xml:space="preserve"> provide library </w:t>
      </w:r>
      <w:r w:rsidR="00DE475B" w:rsidRPr="00113785">
        <w:rPr>
          <w:rFonts w:ascii="Arial" w:hAnsi="Arial" w:cs="Arial"/>
          <w:spacing w:val="-2"/>
          <w:sz w:val="20"/>
          <w:szCs w:val="20"/>
        </w:rPr>
        <w:t xml:space="preserve">services </w:t>
      </w:r>
      <w:r w:rsidRPr="00113785">
        <w:rPr>
          <w:rFonts w:ascii="Arial" w:hAnsi="Arial" w:cs="Arial"/>
          <w:spacing w:val="-2"/>
          <w:sz w:val="20"/>
          <w:szCs w:val="20"/>
        </w:rPr>
        <w:t xml:space="preserve">and internet access to some of Queensland’s Aboriginal and Torres Strait Islander communities, while also acting as a community hub for learning and sharing local knowledge and language. SLQ provides </w:t>
      </w:r>
      <w:proofErr w:type="gramStart"/>
      <w:r w:rsidRPr="00113785">
        <w:rPr>
          <w:rFonts w:ascii="Arial" w:hAnsi="Arial" w:cs="Arial"/>
          <w:spacing w:val="-2"/>
          <w:sz w:val="20"/>
          <w:szCs w:val="20"/>
        </w:rPr>
        <w:t>funding,</w:t>
      </w:r>
      <w:proofErr w:type="gramEnd"/>
      <w:r w:rsidRPr="00113785">
        <w:rPr>
          <w:rFonts w:ascii="Arial" w:hAnsi="Arial" w:cs="Arial"/>
          <w:spacing w:val="-2"/>
          <w:sz w:val="20"/>
          <w:szCs w:val="20"/>
        </w:rPr>
        <w:t xml:space="preserve"> </w:t>
      </w:r>
      <w:r w:rsidR="00113785" w:rsidRPr="00113785">
        <w:rPr>
          <w:rFonts w:ascii="Arial" w:hAnsi="Arial" w:cs="Arial"/>
          <w:spacing w:val="-2"/>
          <w:sz w:val="20"/>
          <w:szCs w:val="20"/>
        </w:rPr>
        <w:t>advice</w:t>
      </w:r>
      <w:r w:rsidRPr="00113785">
        <w:rPr>
          <w:rFonts w:ascii="Arial" w:hAnsi="Arial" w:cs="Arial"/>
          <w:spacing w:val="-2"/>
          <w:sz w:val="20"/>
          <w:szCs w:val="20"/>
        </w:rPr>
        <w:t xml:space="preserve"> and professional development to </w:t>
      </w:r>
      <w:proofErr w:type="spellStart"/>
      <w:r w:rsidRPr="00113785">
        <w:rPr>
          <w:rFonts w:ascii="Arial" w:hAnsi="Arial" w:cs="Arial"/>
          <w:spacing w:val="-2"/>
          <w:sz w:val="20"/>
          <w:szCs w:val="20"/>
        </w:rPr>
        <w:t>IKCs</w:t>
      </w:r>
      <w:proofErr w:type="spellEnd"/>
      <w:r w:rsidRPr="00113785">
        <w:rPr>
          <w:rFonts w:ascii="Arial" w:hAnsi="Arial" w:cs="Arial"/>
          <w:spacing w:val="-2"/>
          <w:sz w:val="20"/>
          <w:szCs w:val="20"/>
        </w:rPr>
        <w:t>, ensuring some of the State’s more remote communities</w:t>
      </w:r>
      <w:r w:rsidR="00113785" w:rsidRPr="00113785">
        <w:rPr>
          <w:rFonts w:ascii="Arial" w:hAnsi="Arial" w:cs="Arial"/>
          <w:spacing w:val="-2"/>
          <w:sz w:val="20"/>
          <w:szCs w:val="20"/>
        </w:rPr>
        <w:t xml:space="preserve"> </w:t>
      </w:r>
      <w:r w:rsidRPr="00113785">
        <w:rPr>
          <w:rFonts w:ascii="Arial" w:hAnsi="Arial" w:cs="Arial"/>
          <w:spacing w:val="-2"/>
          <w:sz w:val="20"/>
          <w:szCs w:val="20"/>
        </w:rPr>
        <w:t xml:space="preserve">have equitable opportunities for digital participation. One of the new </w:t>
      </w:r>
      <w:r w:rsidR="00DE475B" w:rsidRPr="00113785">
        <w:rPr>
          <w:rFonts w:ascii="Arial" w:hAnsi="Arial" w:cs="Arial"/>
          <w:spacing w:val="-2"/>
          <w:sz w:val="20"/>
          <w:szCs w:val="20"/>
        </w:rPr>
        <w:t>initiatives</w:t>
      </w:r>
      <w:r w:rsidR="00113785" w:rsidRPr="00113785">
        <w:rPr>
          <w:rFonts w:ascii="Arial" w:hAnsi="Arial" w:cs="Arial"/>
          <w:spacing w:val="-2"/>
          <w:sz w:val="20"/>
          <w:szCs w:val="20"/>
        </w:rPr>
        <w:t xml:space="preserve"> this financial year that </w:t>
      </w:r>
      <w:r w:rsidRPr="00113785">
        <w:rPr>
          <w:rFonts w:ascii="Arial" w:hAnsi="Arial" w:cs="Arial"/>
          <w:spacing w:val="-2"/>
          <w:sz w:val="20"/>
          <w:szCs w:val="20"/>
        </w:rPr>
        <w:t>support</w:t>
      </w:r>
      <w:r w:rsidR="00113785" w:rsidRPr="00113785">
        <w:rPr>
          <w:rFonts w:ascii="Arial" w:hAnsi="Arial" w:cs="Arial"/>
          <w:spacing w:val="-2"/>
          <w:sz w:val="20"/>
          <w:szCs w:val="20"/>
        </w:rPr>
        <w:t xml:space="preserve">ed </w:t>
      </w:r>
      <w:r w:rsidRPr="00113785">
        <w:rPr>
          <w:rFonts w:ascii="Arial" w:hAnsi="Arial" w:cs="Arial"/>
          <w:spacing w:val="-2"/>
          <w:sz w:val="20"/>
          <w:szCs w:val="20"/>
        </w:rPr>
        <w:t xml:space="preserve">this vision is the STEM.I.AM coding and robotics grant, which aims to bring robotics opportunities to Aboriginal and Torres Strait Islander students (page </w:t>
      </w:r>
      <w:r w:rsidR="004A58F7">
        <w:rPr>
          <w:rFonts w:ascii="Arial" w:hAnsi="Arial" w:cs="Arial"/>
          <w:spacing w:val="-2"/>
          <w:sz w:val="20"/>
          <w:szCs w:val="20"/>
        </w:rPr>
        <w:t>20</w:t>
      </w:r>
      <w:r w:rsidRPr="00113785">
        <w:rPr>
          <w:rFonts w:ascii="Arial" w:hAnsi="Arial" w:cs="Arial"/>
          <w:spacing w:val="-2"/>
          <w:sz w:val="20"/>
          <w:szCs w:val="20"/>
        </w:rPr>
        <w:t>).</w:t>
      </w:r>
      <w:r w:rsidR="00426D89" w:rsidRPr="00113785">
        <w:rPr>
          <w:rFonts w:ascii="Arial" w:hAnsi="Arial" w:cs="Arial"/>
          <w:spacing w:val="-2"/>
          <w:sz w:val="20"/>
          <w:szCs w:val="20"/>
        </w:rPr>
        <w:t xml:space="preserve"> This </w:t>
      </w:r>
      <w:r w:rsidR="00DE475B" w:rsidRPr="00113785">
        <w:rPr>
          <w:rFonts w:ascii="Arial" w:hAnsi="Arial" w:cs="Arial"/>
          <w:spacing w:val="-2"/>
          <w:sz w:val="20"/>
          <w:szCs w:val="20"/>
        </w:rPr>
        <w:t>initiative</w:t>
      </w:r>
      <w:r w:rsidR="00426D89" w:rsidRPr="00113785">
        <w:rPr>
          <w:rFonts w:ascii="Arial" w:hAnsi="Arial" w:cs="Arial"/>
          <w:spacing w:val="-2"/>
          <w:sz w:val="20"/>
          <w:szCs w:val="20"/>
        </w:rPr>
        <w:t xml:space="preserve"> is delivered in partnership with government and business, th</w:t>
      </w:r>
      <w:r w:rsidR="00A3407D" w:rsidRPr="00113785">
        <w:rPr>
          <w:rFonts w:ascii="Arial" w:hAnsi="Arial" w:cs="Arial"/>
          <w:spacing w:val="-2"/>
          <w:sz w:val="20"/>
          <w:szCs w:val="20"/>
        </w:rPr>
        <w:t>r</w:t>
      </w:r>
      <w:r w:rsidR="00426D89" w:rsidRPr="00113785">
        <w:rPr>
          <w:rFonts w:ascii="Arial" w:hAnsi="Arial" w:cs="Arial"/>
          <w:spacing w:val="-2"/>
          <w:sz w:val="20"/>
          <w:szCs w:val="20"/>
        </w:rPr>
        <w:t xml:space="preserve">ough which we deliver many of our biggest programs, but there’s another important area of </w:t>
      </w:r>
      <w:r w:rsidR="00DE475B" w:rsidRPr="00113785">
        <w:rPr>
          <w:rFonts w:ascii="Arial" w:hAnsi="Arial" w:cs="Arial"/>
          <w:spacing w:val="-2"/>
          <w:sz w:val="20"/>
          <w:szCs w:val="20"/>
        </w:rPr>
        <w:t>contribution</w:t>
      </w:r>
      <w:r w:rsidR="00426D89" w:rsidRPr="00113785">
        <w:rPr>
          <w:rFonts w:ascii="Arial" w:hAnsi="Arial" w:cs="Arial"/>
          <w:spacing w:val="-2"/>
          <w:sz w:val="20"/>
          <w:szCs w:val="20"/>
        </w:rPr>
        <w:t xml:space="preserve"> to our work.</w:t>
      </w:r>
    </w:p>
    <w:p w:rsidR="00FC01C7" w:rsidRPr="00E81F00" w:rsidRDefault="007B1075" w:rsidP="00FC01C7">
      <w:pPr>
        <w:spacing w:after="120"/>
        <w:rPr>
          <w:rFonts w:ascii="Arial" w:hAnsi="Arial" w:cs="Arial"/>
          <w:spacing w:val="-2"/>
          <w:sz w:val="20"/>
          <w:szCs w:val="20"/>
        </w:rPr>
      </w:pPr>
      <w:r w:rsidRPr="00E81F00">
        <w:rPr>
          <w:rFonts w:ascii="Arial" w:hAnsi="Arial" w:cs="Arial"/>
          <w:spacing w:val="-2"/>
          <w:sz w:val="20"/>
          <w:szCs w:val="20"/>
        </w:rPr>
        <w:t>The Queensland Library Foundation supports m</w:t>
      </w:r>
      <w:r w:rsidR="00FC01C7" w:rsidRPr="00E81F00">
        <w:rPr>
          <w:rFonts w:ascii="Arial" w:hAnsi="Arial" w:cs="Arial"/>
          <w:spacing w:val="-2"/>
          <w:sz w:val="20"/>
          <w:szCs w:val="20"/>
        </w:rPr>
        <w:t xml:space="preserve">any projects at SLQ </w:t>
      </w:r>
      <w:r w:rsidRPr="00E81F00">
        <w:rPr>
          <w:rFonts w:ascii="Arial" w:hAnsi="Arial" w:cs="Arial"/>
          <w:spacing w:val="-2"/>
          <w:sz w:val="20"/>
          <w:szCs w:val="20"/>
        </w:rPr>
        <w:t xml:space="preserve">by managing </w:t>
      </w:r>
      <w:r w:rsidR="00113785" w:rsidRPr="00E81F00">
        <w:rPr>
          <w:rFonts w:ascii="Arial" w:hAnsi="Arial" w:cs="Arial"/>
          <w:spacing w:val="-2"/>
          <w:sz w:val="20"/>
          <w:szCs w:val="20"/>
        </w:rPr>
        <w:t xml:space="preserve">and developing </w:t>
      </w:r>
      <w:r w:rsidRPr="00E81F00">
        <w:rPr>
          <w:rFonts w:ascii="Arial" w:hAnsi="Arial" w:cs="Arial"/>
          <w:spacing w:val="-2"/>
          <w:sz w:val="20"/>
          <w:szCs w:val="20"/>
        </w:rPr>
        <w:t xml:space="preserve">relationships with our </w:t>
      </w:r>
      <w:r w:rsidR="00FC01C7" w:rsidRPr="00E81F00">
        <w:rPr>
          <w:rFonts w:ascii="Arial" w:hAnsi="Arial" w:cs="Arial"/>
          <w:spacing w:val="-2"/>
          <w:sz w:val="20"/>
          <w:szCs w:val="20"/>
        </w:rPr>
        <w:t>donors. The Foundation</w:t>
      </w:r>
      <w:r w:rsidRPr="00E81F00">
        <w:rPr>
          <w:rFonts w:ascii="Arial" w:hAnsi="Arial" w:cs="Arial"/>
          <w:spacing w:val="-2"/>
          <w:sz w:val="20"/>
          <w:szCs w:val="20"/>
        </w:rPr>
        <w:t>’s work</w:t>
      </w:r>
      <w:r w:rsidR="00FC01C7" w:rsidRPr="00E81F00">
        <w:rPr>
          <w:rFonts w:ascii="Arial" w:hAnsi="Arial" w:cs="Arial"/>
          <w:spacing w:val="-2"/>
          <w:sz w:val="20"/>
          <w:szCs w:val="20"/>
        </w:rPr>
        <w:t xml:space="preserve"> strengthen</w:t>
      </w:r>
      <w:r w:rsidRPr="00E81F00">
        <w:rPr>
          <w:rFonts w:ascii="Arial" w:hAnsi="Arial" w:cs="Arial"/>
          <w:spacing w:val="-2"/>
          <w:sz w:val="20"/>
          <w:szCs w:val="20"/>
        </w:rPr>
        <w:t>s</w:t>
      </w:r>
      <w:r w:rsidR="00FC01C7" w:rsidRPr="00E81F00">
        <w:rPr>
          <w:rFonts w:ascii="Arial" w:hAnsi="Arial" w:cs="Arial"/>
          <w:spacing w:val="-2"/>
          <w:sz w:val="20"/>
          <w:szCs w:val="20"/>
        </w:rPr>
        <w:t xml:space="preserve"> our ability to acquire important historical collections, support</w:t>
      </w:r>
      <w:r w:rsidR="00434794" w:rsidRPr="00E81F00">
        <w:rPr>
          <w:rFonts w:ascii="Arial" w:hAnsi="Arial" w:cs="Arial"/>
          <w:spacing w:val="-2"/>
          <w:sz w:val="20"/>
          <w:szCs w:val="20"/>
        </w:rPr>
        <w:t>s</w:t>
      </w:r>
      <w:r w:rsidR="00FC01C7" w:rsidRPr="00E81F00">
        <w:rPr>
          <w:rFonts w:ascii="Arial" w:hAnsi="Arial" w:cs="Arial"/>
          <w:spacing w:val="-2"/>
          <w:sz w:val="20"/>
          <w:szCs w:val="20"/>
        </w:rPr>
        <w:t xml:space="preserve"> ongoing work </w:t>
      </w:r>
      <w:r w:rsidR="00434794" w:rsidRPr="00E81F00">
        <w:rPr>
          <w:rFonts w:ascii="Arial" w:hAnsi="Arial" w:cs="Arial"/>
          <w:spacing w:val="-2"/>
          <w:sz w:val="20"/>
          <w:szCs w:val="20"/>
        </w:rPr>
        <w:t>to preserve</w:t>
      </w:r>
      <w:r w:rsidR="00FC01C7" w:rsidRPr="00E81F00">
        <w:rPr>
          <w:rFonts w:ascii="Arial" w:hAnsi="Arial" w:cs="Arial"/>
          <w:spacing w:val="-2"/>
          <w:sz w:val="20"/>
          <w:szCs w:val="20"/>
        </w:rPr>
        <w:t xml:space="preserve"> Queensland’s </w:t>
      </w:r>
      <w:r w:rsidR="00A3407D" w:rsidRPr="00E81F00">
        <w:rPr>
          <w:rFonts w:ascii="Arial" w:hAnsi="Arial" w:cs="Arial"/>
          <w:spacing w:val="-2"/>
          <w:sz w:val="20"/>
          <w:szCs w:val="20"/>
        </w:rPr>
        <w:t>documentary culture and heritage</w:t>
      </w:r>
      <w:r w:rsidR="00FC01C7" w:rsidRPr="00E81F00">
        <w:rPr>
          <w:rFonts w:ascii="Arial" w:hAnsi="Arial" w:cs="Arial"/>
          <w:spacing w:val="-2"/>
          <w:sz w:val="20"/>
          <w:szCs w:val="20"/>
        </w:rPr>
        <w:t xml:space="preserve">, and </w:t>
      </w:r>
      <w:r w:rsidR="00434794" w:rsidRPr="00E81F00">
        <w:rPr>
          <w:rFonts w:ascii="Arial" w:hAnsi="Arial" w:cs="Arial"/>
          <w:spacing w:val="-2"/>
          <w:sz w:val="20"/>
          <w:szCs w:val="20"/>
        </w:rPr>
        <w:t xml:space="preserve">helps us </w:t>
      </w:r>
      <w:r w:rsidR="00FC01C7" w:rsidRPr="00E81F00">
        <w:rPr>
          <w:rFonts w:ascii="Arial" w:hAnsi="Arial" w:cs="Arial"/>
          <w:spacing w:val="-2"/>
          <w:sz w:val="20"/>
          <w:szCs w:val="20"/>
        </w:rPr>
        <w:t xml:space="preserve">learn from </w:t>
      </w:r>
      <w:r w:rsidR="00A3407D" w:rsidRPr="00E81F00">
        <w:rPr>
          <w:rFonts w:ascii="Arial" w:hAnsi="Arial" w:cs="Arial"/>
          <w:spacing w:val="-2"/>
          <w:sz w:val="20"/>
          <w:szCs w:val="20"/>
        </w:rPr>
        <w:t xml:space="preserve">and engage with </w:t>
      </w:r>
      <w:r w:rsidR="00FC01C7" w:rsidRPr="00E81F00">
        <w:rPr>
          <w:rFonts w:ascii="Arial" w:hAnsi="Arial" w:cs="Arial"/>
          <w:spacing w:val="-2"/>
          <w:sz w:val="20"/>
          <w:szCs w:val="20"/>
        </w:rPr>
        <w:t xml:space="preserve">the work of our business pioneers </w:t>
      </w:r>
      <w:r w:rsidR="00113785" w:rsidRPr="00E81F00">
        <w:rPr>
          <w:rFonts w:ascii="Arial" w:hAnsi="Arial" w:cs="Arial"/>
          <w:spacing w:val="-2"/>
          <w:sz w:val="20"/>
          <w:szCs w:val="20"/>
        </w:rPr>
        <w:t>through</w:t>
      </w:r>
      <w:r w:rsidR="00FC01C7" w:rsidRPr="00E81F00">
        <w:rPr>
          <w:rFonts w:ascii="Arial" w:hAnsi="Arial" w:cs="Arial"/>
          <w:spacing w:val="-2"/>
          <w:sz w:val="20"/>
          <w:szCs w:val="20"/>
        </w:rPr>
        <w:t xml:space="preserve"> the Business Leaders Hall of Fame.</w:t>
      </w:r>
    </w:p>
    <w:p w:rsidR="00C2617E" w:rsidRPr="00DE475B" w:rsidRDefault="00426D89" w:rsidP="009352BD">
      <w:pPr>
        <w:spacing w:after="120"/>
        <w:rPr>
          <w:rFonts w:ascii="Arial" w:hAnsi="Arial" w:cs="Arial"/>
          <w:sz w:val="20"/>
          <w:szCs w:val="20"/>
          <w:highlight w:val="yellow"/>
        </w:rPr>
      </w:pPr>
      <w:r w:rsidRPr="00DE475B">
        <w:rPr>
          <w:rFonts w:ascii="Arial" w:hAnsi="Arial" w:cs="Arial"/>
          <w:sz w:val="20"/>
          <w:szCs w:val="20"/>
        </w:rPr>
        <w:t xml:space="preserve">It’s only with the support of our partners from state and local government, business and not-for-profit </w:t>
      </w:r>
      <w:r w:rsidR="00DE475B" w:rsidRPr="00DE475B">
        <w:rPr>
          <w:rFonts w:ascii="Arial" w:hAnsi="Arial" w:cs="Arial"/>
          <w:sz w:val="20"/>
          <w:szCs w:val="20"/>
        </w:rPr>
        <w:t>organisation</w:t>
      </w:r>
      <w:r w:rsidR="00EC342A">
        <w:rPr>
          <w:rFonts w:ascii="Arial" w:hAnsi="Arial" w:cs="Arial"/>
          <w:sz w:val="20"/>
          <w:szCs w:val="20"/>
        </w:rPr>
        <w:t>s</w:t>
      </w:r>
      <w:r w:rsidRPr="00DE475B">
        <w:rPr>
          <w:rFonts w:ascii="Arial" w:hAnsi="Arial" w:cs="Arial"/>
          <w:sz w:val="20"/>
          <w:szCs w:val="20"/>
        </w:rPr>
        <w:t xml:space="preserve">, and our donors, that SLQ can achieve its goals. </w:t>
      </w:r>
      <w:r w:rsidR="00FC01C7" w:rsidRPr="00DE475B">
        <w:rPr>
          <w:rFonts w:ascii="Arial" w:hAnsi="Arial" w:cs="Arial"/>
          <w:sz w:val="20"/>
          <w:szCs w:val="20"/>
        </w:rPr>
        <w:t>Thank</w:t>
      </w:r>
      <w:r w:rsidR="009352BD" w:rsidRPr="00DE475B">
        <w:rPr>
          <w:rFonts w:ascii="Arial" w:hAnsi="Arial" w:cs="Arial"/>
          <w:sz w:val="20"/>
          <w:szCs w:val="20"/>
        </w:rPr>
        <w:t xml:space="preserve"> you</w:t>
      </w:r>
      <w:r w:rsidR="00FC01C7" w:rsidRPr="00DE475B">
        <w:rPr>
          <w:rFonts w:ascii="Arial" w:hAnsi="Arial" w:cs="Arial"/>
          <w:sz w:val="20"/>
          <w:szCs w:val="20"/>
        </w:rPr>
        <w:t xml:space="preserve"> to everyone who has </w:t>
      </w:r>
      <w:r w:rsidR="00C2617E" w:rsidRPr="00DE475B">
        <w:rPr>
          <w:rFonts w:ascii="Arial" w:hAnsi="Arial" w:cs="Arial"/>
          <w:sz w:val="20"/>
          <w:szCs w:val="20"/>
        </w:rPr>
        <w:t>supported this</w:t>
      </w:r>
      <w:r w:rsidR="009352BD" w:rsidRPr="00DE475B">
        <w:rPr>
          <w:rFonts w:ascii="Arial" w:hAnsi="Arial" w:cs="Arial"/>
          <w:sz w:val="20"/>
          <w:szCs w:val="20"/>
        </w:rPr>
        <w:t xml:space="preserve"> important work in</w:t>
      </w:r>
      <w:r w:rsidR="00FC01C7" w:rsidRPr="00DE475B">
        <w:rPr>
          <w:rFonts w:ascii="Arial" w:hAnsi="Arial" w:cs="Arial"/>
          <w:sz w:val="20"/>
          <w:szCs w:val="20"/>
        </w:rPr>
        <w:t xml:space="preserve"> 201</w:t>
      </w:r>
      <w:r w:rsidR="00C2617E" w:rsidRPr="00DE475B">
        <w:rPr>
          <w:rFonts w:ascii="Arial" w:hAnsi="Arial" w:cs="Arial"/>
          <w:sz w:val="20"/>
          <w:szCs w:val="20"/>
        </w:rPr>
        <w:t>6–17</w:t>
      </w:r>
      <w:r w:rsidR="009352BD" w:rsidRPr="00DE475B">
        <w:rPr>
          <w:rFonts w:ascii="Arial" w:hAnsi="Arial" w:cs="Arial"/>
          <w:sz w:val="20"/>
          <w:szCs w:val="20"/>
        </w:rPr>
        <w:t xml:space="preserve">, </w:t>
      </w:r>
      <w:r w:rsidRPr="00DE475B">
        <w:rPr>
          <w:rFonts w:ascii="Arial" w:hAnsi="Arial" w:cs="Arial"/>
          <w:sz w:val="20"/>
          <w:szCs w:val="20"/>
        </w:rPr>
        <w:t>helping</w:t>
      </w:r>
      <w:r w:rsidR="009352BD" w:rsidRPr="00DE475B">
        <w:rPr>
          <w:rFonts w:ascii="Arial" w:hAnsi="Arial" w:cs="Arial"/>
          <w:sz w:val="20"/>
          <w:szCs w:val="20"/>
        </w:rPr>
        <w:t xml:space="preserve"> </w:t>
      </w:r>
      <w:r w:rsidR="00C2617E" w:rsidRPr="00DE475B">
        <w:rPr>
          <w:rFonts w:ascii="Arial" w:hAnsi="Arial" w:cs="Arial"/>
          <w:sz w:val="20"/>
          <w:szCs w:val="20"/>
        </w:rPr>
        <w:t>to enable the growth of knowledge, innovation and enterprise in Queensland</w:t>
      </w:r>
      <w:r w:rsidRPr="00DE475B">
        <w:rPr>
          <w:rFonts w:ascii="Arial" w:hAnsi="Arial" w:cs="Arial"/>
          <w:sz w:val="20"/>
          <w:szCs w:val="20"/>
        </w:rPr>
        <w:t>.</w:t>
      </w:r>
    </w:p>
    <w:p w:rsidR="00714B52" w:rsidRPr="00DE475B" w:rsidRDefault="002B448C">
      <w:pPr>
        <w:spacing w:after="120"/>
        <w:rPr>
          <w:rFonts w:ascii="Arial" w:hAnsi="Arial" w:cs="Arial"/>
          <w:sz w:val="20"/>
          <w:szCs w:val="20"/>
        </w:rPr>
      </w:pPr>
      <w:r>
        <w:rPr>
          <w:rFonts w:ascii="Arial" w:hAnsi="Arial" w:cs="Arial"/>
          <w:noProof/>
          <w:sz w:val="20"/>
          <w:szCs w:val="20"/>
          <w:lang w:eastAsia="en-AU"/>
        </w:rPr>
        <w:drawing>
          <wp:inline distT="0" distB="0" distL="0" distR="0">
            <wp:extent cx="1371600" cy="6287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Griffith-Sign-HiR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1787" cy="637984"/>
                    </a:xfrm>
                    <a:prstGeom prst="rect">
                      <a:avLst/>
                    </a:prstGeom>
                  </pic:spPr>
                </pic:pic>
              </a:graphicData>
            </a:graphic>
          </wp:inline>
        </w:drawing>
      </w:r>
    </w:p>
    <w:p w:rsidR="00057FD7" w:rsidRPr="00A658C8" w:rsidRDefault="00057FD7" w:rsidP="00057FD7">
      <w:pPr>
        <w:rPr>
          <w:rFonts w:ascii="Arial" w:hAnsi="Arial" w:cs="Arial"/>
          <w:b/>
          <w:sz w:val="20"/>
          <w:szCs w:val="20"/>
        </w:rPr>
      </w:pPr>
      <w:r w:rsidRPr="00A658C8">
        <w:rPr>
          <w:rFonts w:ascii="Arial" w:hAnsi="Arial" w:cs="Arial"/>
          <w:b/>
          <w:sz w:val="20"/>
          <w:szCs w:val="20"/>
        </w:rPr>
        <w:t xml:space="preserve">Professor </w:t>
      </w:r>
      <w:r w:rsidR="009F1729" w:rsidRPr="00A658C8">
        <w:rPr>
          <w:rFonts w:ascii="Arial" w:hAnsi="Arial" w:cs="Arial"/>
          <w:b/>
          <w:sz w:val="20"/>
          <w:szCs w:val="20"/>
        </w:rPr>
        <w:t>Andrew Griffiths</w:t>
      </w:r>
    </w:p>
    <w:p w:rsidR="00057FD7" w:rsidRPr="00DE475B" w:rsidRDefault="00057FD7" w:rsidP="00057FD7">
      <w:pPr>
        <w:rPr>
          <w:rFonts w:ascii="Arial" w:hAnsi="Arial" w:cs="Arial"/>
          <w:sz w:val="20"/>
          <w:szCs w:val="20"/>
        </w:rPr>
      </w:pPr>
      <w:r w:rsidRPr="00DE475B">
        <w:rPr>
          <w:rFonts w:ascii="Arial" w:hAnsi="Arial" w:cs="Arial"/>
          <w:sz w:val="20"/>
          <w:szCs w:val="20"/>
        </w:rPr>
        <w:t>Chairperson</w:t>
      </w:r>
    </w:p>
    <w:p w:rsidR="003D53EA" w:rsidRPr="00DE475B" w:rsidRDefault="00057FD7" w:rsidP="00057FD7">
      <w:pPr>
        <w:tabs>
          <w:tab w:val="left" w:pos="1380"/>
        </w:tabs>
        <w:rPr>
          <w:sz w:val="20"/>
          <w:szCs w:val="20"/>
        </w:rPr>
        <w:sectPr w:rsidR="003D53EA" w:rsidRPr="00DE475B" w:rsidSect="00B53922">
          <w:type w:val="continuous"/>
          <w:pgSz w:w="11906" w:h="16838"/>
          <w:pgMar w:top="1440" w:right="1797" w:bottom="1440" w:left="1797" w:header="709" w:footer="709" w:gutter="0"/>
          <w:cols w:num="2" w:space="374"/>
          <w:docGrid w:linePitch="360"/>
        </w:sectPr>
      </w:pPr>
      <w:r w:rsidRPr="00DE475B">
        <w:rPr>
          <w:rFonts w:ascii="Arial" w:hAnsi="Arial" w:cs="Arial"/>
          <w:sz w:val="20"/>
          <w:szCs w:val="20"/>
        </w:rPr>
        <w:t>Library Board of Queensland</w:t>
      </w:r>
    </w:p>
    <w:p w:rsidR="00D346B4" w:rsidRPr="00DE475B" w:rsidRDefault="00D346B4">
      <w:pPr>
        <w:rPr>
          <w:rFonts w:ascii="HelveticaNeueCELT-Roman" w:hAnsi="HelveticaNeueCELT-Roman" w:cs="HelveticaNeueCELT-Roman"/>
          <w:sz w:val="20"/>
          <w:szCs w:val="20"/>
        </w:rPr>
      </w:pPr>
    </w:p>
    <w:p w:rsidR="00D346B4" w:rsidRPr="00DE475B" w:rsidRDefault="00D346B4">
      <w:pPr>
        <w:pStyle w:val="ARHeading1"/>
        <w:pageBreakBefore/>
        <w:rPr>
          <w:sz w:val="20"/>
          <w:szCs w:val="20"/>
        </w:rPr>
      </w:pPr>
      <w:r w:rsidRPr="00DE475B">
        <w:lastRenderedPageBreak/>
        <w:t>State Librarian’s year in review</w:t>
      </w:r>
      <w:r w:rsidR="00365274" w:rsidRPr="00DE475B">
        <w:t xml:space="preserve"> 201</w:t>
      </w:r>
      <w:r w:rsidR="008877D9" w:rsidRPr="00DE475B">
        <w:t>6</w:t>
      </w:r>
      <w:r w:rsidR="007E24AC" w:rsidRPr="00DE475B">
        <w:t>–1</w:t>
      </w:r>
      <w:r w:rsidR="008877D9" w:rsidRPr="00DE475B">
        <w:t>7</w:t>
      </w:r>
    </w:p>
    <w:p w:rsidR="00D346B4" w:rsidRPr="00DE475B" w:rsidRDefault="00D346B4">
      <w:pPr>
        <w:rPr>
          <w:rFonts w:ascii="Arial" w:hAnsi="Arial" w:cs="Arial"/>
        </w:rPr>
      </w:pPr>
    </w:p>
    <w:p w:rsidR="00D346B4" w:rsidRPr="00DE475B" w:rsidRDefault="00D346B4">
      <w:pPr>
        <w:sectPr w:rsidR="00D346B4" w:rsidRPr="00DE475B" w:rsidSect="00B53922">
          <w:type w:val="continuous"/>
          <w:pgSz w:w="11906" w:h="16838"/>
          <w:pgMar w:top="1440" w:right="1797" w:bottom="1440" w:left="1797" w:header="709" w:footer="709" w:gutter="0"/>
          <w:cols w:space="720"/>
          <w:docGrid w:linePitch="360"/>
        </w:sectPr>
      </w:pPr>
    </w:p>
    <w:p w:rsidR="006B3E0A" w:rsidRPr="004A178B" w:rsidRDefault="006B3E0A" w:rsidP="004B0741">
      <w:pPr>
        <w:spacing w:after="120"/>
        <w:rPr>
          <w:rFonts w:ascii="Arial" w:hAnsi="Arial" w:cs="Arial"/>
          <w:spacing w:val="-2"/>
          <w:sz w:val="20"/>
          <w:szCs w:val="20"/>
        </w:rPr>
      </w:pPr>
      <w:r w:rsidRPr="004A178B">
        <w:rPr>
          <w:rFonts w:ascii="Arial" w:hAnsi="Arial" w:cs="Arial"/>
          <w:spacing w:val="-2"/>
          <w:sz w:val="20"/>
          <w:szCs w:val="20"/>
        </w:rPr>
        <w:lastRenderedPageBreak/>
        <w:t>In 2016–17</w:t>
      </w:r>
      <w:r w:rsidR="00424769">
        <w:rPr>
          <w:rFonts w:ascii="Arial" w:hAnsi="Arial" w:cs="Arial"/>
          <w:spacing w:val="-2"/>
          <w:sz w:val="20"/>
          <w:szCs w:val="20"/>
        </w:rPr>
        <w:t>,</w:t>
      </w:r>
      <w:r w:rsidRPr="004A178B">
        <w:rPr>
          <w:rFonts w:ascii="Arial" w:hAnsi="Arial" w:cs="Arial"/>
          <w:spacing w:val="-2"/>
          <w:sz w:val="20"/>
          <w:szCs w:val="20"/>
        </w:rPr>
        <w:t xml:space="preserve"> I was </w:t>
      </w:r>
      <w:r w:rsidR="0088750C" w:rsidRPr="004A178B">
        <w:rPr>
          <w:rFonts w:ascii="Arial" w:hAnsi="Arial" w:cs="Arial"/>
          <w:spacing w:val="-2"/>
          <w:sz w:val="20"/>
          <w:szCs w:val="20"/>
        </w:rPr>
        <w:t>thrilled to come</w:t>
      </w:r>
      <w:r w:rsidRPr="004A178B">
        <w:rPr>
          <w:rFonts w:ascii="Arial" w:hAnsi="Arial" w:cs="Arial"/>
          <w:spacing w:val="-2"/>
          <w:sz w:val="20"/>
          <w:szCs w:val="20"/>
        </w:rPr>
        <w:t xml:space="preserve"> back to State Library of Queensland after seven</w:t>
      </w:r>
      <w:r w:rsidR="0088750C" w:rsidRPr="004A178B">
        <w:rPr>
          <w:rFonts w:ascii="Arial" w:hAnsi="Arial" w:cs="Arial"/>
          <w:spacing w:val="-2"/>
          <w:sz w:val="20"/>
          <w:szCs w:val="20"/>
        </w:rPr>
        <w:t xml:space="preserve"> </w:t>
      </w:r>
      <w:r w:rsidRPr="004A178B">
        <w:rPr>
          <w:rFonts w:ascii="Arial" w:hAnsi="Arial" w:cs="Arial"/>
          <w:spacing w:val="-2"/>
          <w:sz w:val="20"/>
          <w:szCs w:val="20"/>
        </w:rPr>
        <w:t>year</w:t>
      </w:r>
      <w:r w:rsidR="0088750C" w:rsidRPr="004A178B">
        <w:rPr>
          <w:rFonts w:ascii="Arial" w:hAnsi="Arial" w:cs="Arial"/>
          <w:spacing w:val="-2"/>
          <w:sz w:val="20"/>
          <w:szCs w:val="20"/>
        </w:rPr>
        <w:t>s</w:t>
      </w:r>
      <w:r w:rsidRPr="004A178B">
        <w:rPr>
          <w:rFonts w:ascii="Arial" w:hAnsi="Arial" w:cs="Arial"/>
          <w:spacing w:val="-2"/>
          <w:sz w:val="20"/>
          <w:szCs w:val="20"/>
        </w:rPr>
        <w:t>, this time as State Librarian and CEO. During this time SLQ has maintained its standing as a leader in innovative library services and programs. Since starting in the role in September</w:t>
      </w:r>
      <w:r w:rsidR="004A178B" w:rsidRPr="004A178B">
        <w:rPr>
          <w:rFonts w:ascii="Arial" w:hAnsi="Arial" w:cs="Arial"/>
          <w:spacing w:val="-2"/>
          <w:sz w:val="20"/>
          <w:szCs w:val="20"/>
        </w:rPr>
        <w:t xml:space="preserve"> 2016</w:t>
      </w:r>
      <w:r w:rsidRPr="004A178B">
        <w:rPr>
          <w:rFonts w:ascii="Arial" w:hAnsi="Arial" w:cs="Arial"/>
          <w:spacing w:val="-2"/>
          <w:sz w:val="20"/>
          <w:szCs w:val="20"/>
        </w:rPr>
        <w:t>, I’ve been reacquainting myself with the</w:t>
      </w:r>
      <w:r w:rsidR="00E557C0" w:rsidRPr="004A178B">
        <w:rPr>
          <w:rFonts w:ascii="Arial" w:hAnsi="Arial" w:cs="Arial"/>
          <w:spacing w:val="-2"/>
          <w:sz w:val="20"/>
          <w:szCs w:val="20"/>
        </w:rPr>
        <w:t xml:space="preserve"> extensive work the organisation</w:t>
      </w:r>
      <w:r w:rsidRPr="004A178B">
        <w:rPr>
          <w:rFonts w:ascii="Arial" w:hAnsi="Arial" w:cs="Arial"/>
          <w:spacing w:val="-2"/>
          <w:sz w:val="20"/>
          <w:szCs w:val="20"/>
        </w:rPr>
        <w:t xml:space="preserve"> does, and discovering some of the newer offerings. </w:t>
      </w:r>
    </w:p>
    <w:p w:rsidR="006B3E0A" w:rsidRDefault="00E557C0" w:rsidP="004B0741">
      <w:pPr>
        <w:spacing w:after="120"/>
        <w:rPr>
          <w:rFonts w:ascii="Arial" w:hAnsi="Arial" w:cs="Arial"/>
          <w:sz w:val="20"/>
          <w:szCs w:val="20"/>
        </w:rPr>
      </w:pPr>
      <w:proofErr w:type="spellStart"/>
      <w:r w:rsidRPr="00DE475B">
        <w:rPr>
          <w:rFonts w:ascii="Arial" w:hAnsi="Arial" w:cs="Arial"/>
          <w:sz w:val="20"/>
          <w:szCs w:val="20"/>
        </w:rPr>
        <w:t>SLQ’s</w:t>
      </w:r>
      <w:proofErr w:type="spellEnd"/>
      <w:r w:rsidRPr="00DE475B">
        <w:rPr>
          <w:rFonts w:ascii="Arial" w:hAnsi="Arial" w:cs="Arial"/>
          <w:sz w:val="20"/>
          <w:szCs w:val="20"/>
        </w:rPr>
        <w:t xml:space="preserve"> </w:t>
      </w:r>
      <w:r w:rsidR="006B3E0A" w:rsidRPr="00DE475B">
        <w:rPr>
          <w:rFonts w:ascii="Arial" w:hAnsi="Arial" w:cs="Arial"/>
          <w:sz w:val="20"/>
          <w:szCs w:val="20"/>
        </w:rPr>
        <w:t xml:space="preserve">offer is so extensive that this report contains </w:t>
      </w:r>
      <w:r w:rsidR="00424769" w:rsidRPr="00DE475B">
        <w:rPr>
          <w:rFonts w:ascii="Arial" w:hAnsi="Arial" w:cs="Arial"/>
          <w:sz w:val="20"/>
          <w:szCs w:val="20"/>
        </w:rPr>
        <w:t xml:space="preserve">only </w:t>
      </w:r>
      <w:r w:rsidR="006B3E0A" w:rsidRPr="00DE475B">
        <w:rPr>
          <w:rFonts w:ascii="Arial" w:hAnsi="Arial" w:cs="Arial"/>
          <w:sz w:val="20"/>
          <w:szCs w:val="20"/>
        </w:rPr>
        <w:t xml:space="preserve">a sample of what has taken place this year. I encourage anyone interested in finding out more to visit the SLQ website </w:t>
      </w:r>
      <w:r w:rsidR="005741EE">
        <w:rPr>
          <w:rFonts w:ascii="Arial" w:hAnsi="Arial" w:cs="Arial"/>
          <w:sz w:val="20"/>
          <w:szCs w:val="20"/>
        </w:rPr>
        <w:t xml:space="preserve">(slq.qld.gov.au) </w:t>
      </w:r>
      <w:r w:rsidR="006B3E0A" w:rsidRPr="00DE475B">
        <w:rPr>
          <w:rFonts w:ascii="Arial" w:hAnsi="Arial" w:cs="Arial"/>
          <w:sz w:val="20"/>
          <w:szCs w:val="20"/>
        </w:rPr>
        <w:t xml:space="preserve">and our range of blogs, social media and subscriber </w:t>
      </w:r>
      <w:proofErr w:type="spellStart"/>
      <w:r w:rsidR="006B3E0A" w:rsidRPr="00DE475B">
        <w:rPr>
          <w:rFonts w:ascii="Arial" w:hAnsi="Arial" w:cs="Arial"/>
          <w:sz w:val="20"/>
          <w:szCs w:val="20"/>
        </w:rPr>
        <w:t>enewsletters</w:t>
      </w:r>
      <w:proofErr w:type="spellEnd"/>
      <w:r w:rsidR="006B3E0A" w:rsidRPr="00DE475B">
        <w:rPr>
          <w:rFonts w:ascii="Arial" w:hAnsi="Arial" w:cs="Arial"/>
          <w:sz w:val="20"/>
          <w:szCs w:val="20"/>
        </w:rPr>
        <w:t xml:space="preserve"> that serve to keep the public up</w:t>
      </w:r>
      <w:r w:rsidR="00424769">
        <w:rPr>
          <w:rFonts w:ascii="Arial" w:hAnsi="Arial" w:cs="Arial"/>
          <w:sz w:val="20"/>
          <w:szCs w:val="20"/>
        </w:rPr>
        <w:t xml:space="preserve"> </w:t>
      </w:r>
      <w:r w:rsidR="006B3E0A" w:rsidRPr="00DE475B">
        <w:rPr>
          <w:rFonts w:ascii="Arial" w:hAnsi="Arial" w:cs="Arial"/>
          <w:sz w:val="20"/>
          <w:szCs w:val="20"/>
        </w:rPr>
        <w:t>to</w:t>
      </w:r>
      <w:r w:rsidR="00424769">
        <w:rPr>
          <w:rFonts w:ascii="Arial" w:hAnsi="Arial" w:cs="Arial"/>
          <w:sz w:val="20"/>
          <w:szCs w:val="20"/>
        </w:rPr>
        <w:t xml:space="preserve"> </w:t>
      </w:r>
      <w:r w:rsidR="006B3E0A" w:rsidRPr="00DE475B">
        <w:rPr>
          <w:rFonts w:ascii="Arial" w:hAnsi="Arial" w:cs="Arial"/>
          <w:sz w:val="20"/>
          <w:szCs w:val="20"/>
        </w:rPr>
        <w:t>date on our activities and achievements.</w:t>
      </w:r>
    </w:p>
    <w:p w:rsidR="006B3E0A" w:rsidRPr="00DE475B" w:rsidRDefault="00424769" w:rsidP="004B0741">
      <w:pPr>
        <w:spacing w:after="120"/>
        <w:rPr>
          <w:rFonts w:ascii="Arial" w:hAnsi="Arial" w:cs="Arial"/>
          <w:sz w:val="20"/>
          <w:szCs w:val="20"/>
        </w:rPr>
      </w:pPr>
      <w:r>
        <w:rPr>
          <w:rFonts w:ascii="Arial" w:hAnsi="Arial" w:cs="Arial"/>
          <w:sz w:val="20"/>
          <w:szCs w:val="20"/>
        </w:rPr>
        <w:t>Change is a constant, and in</w:t>
      </w:r>
      <w:r w:rsidR="003901FF">
        <w:rPr>
          <w:rFonts w:ascii="Arial" w:hAnsi="Arial" w:cs="Arial"/>
          <w:sz w:val="20"/>
          <w:szCs w:val="20"/>
        </w:rPr>
        <w:t xml:space="preserve"> this reporting period we’ve also welcomed a new Library Board. Thanks to all of the members of the Library Board, old and new, who have ser</w:t>
      </w:r>
      <w:r w:rsidR="007A3029">
        <w:rPr>
          <w:rFonts w:ascii="Arial" w:hAnsi="Arial" w:cs="Arial"/>
          <w:sz w:val="20"/>
          <w:szCs w:val="20"/>
        </w:rPr>
        <w:t xml:space="preserve">ved SLQ over the past 12 </w:t>
      </w:r>
      <w:proofErr w:type="gramStart"/>
      <w:r w:rsidR="007A3029">
        <w:rPr>
          <w:rFonts w:ascii="Arial" w:hAnsi="Arial" w:cs="Arial"/>
          <w:sz w:val="20"/>
          <w:szCs w:val="20"/>
        </w:rPr>
        <w:t>months.</w:t>
      </w:r>
      <w:proofErr w:type="gramEnd"/>
      <w:r w:rsidR="003901FF">
        <w:rPr>
          <w:rFonts w:ascii="Arial" w:hAnsi="Arial" w:cs="Arial"/>
          <w:sz w:val="20"/>
          <w:szCs w:val="20"/>
        </w:rPr>
        <w:t xml:space="preserve"> </w:t>
      </w:r>
      <w:r w:rsidR="007A3029">
        <w:rPr>
          <w:rFonts w:ascii="Arial" w:hAnsi="Arial" w:cs="Arial"/>
          <w:sz w:val="20"/>
          <w:szCs w:val="20"/>
        </w:rPr>
        <w:t>C</w:t>
      </w:r>
      <w:r w:rsidR="003025A1">
        <w:rPr>
          <w:rFonts w:ascii="Arial" w:hAnsi="Arial" w:cs="Arial"/>
          <w:sz w:val="20"/>
          <w:szCs w:val="20"/>
        </w:rPr>
        <w:t>ongratulations</w:t>
      </w:r>
      <w:r w:rsidR="008E1D81" w:rsidRPr="00DE475B">
        <w:rPr>
          <w:rFonts w:ascii="Arial" w:hAnsi="Arial" w:cs="Arial"/>
          <w:sz w:val="20"/>
          <w:szCs w:val="20"/>
        </w:rPr>
        <w:t xml:space="preserve"> to Professor Andrew Griffiths, </w:t>
      </w:r>
      <w:r w:rsidR="003025A1">
        <w:rPr>
          <w:rFonts w:ascii="Arial" w:hAnsi="Arial" w:cs="Arial"/>
          <w:sz w:val="20"/>
          <w:szCs w:val="20"/>
        </w:rPr>
        <w:t xml:space="preserve">who </w:t>
      </w:r>
      <w:r w:rsidR="003901FF">
        <w:rPr>
          <w:rFonts w:ascii="Arial" w:hAnsi="Arial" w:cs="Arial"/>
          <w:sz w:val="20"/>
          <w:szCs w:val="20"/>
        </w:rPr>
        <w:t xml:space="preserve">is providing strong leadership as the new </w:t>
      </w:r>
      <w:r w:rsidR="003025A1">
        <w:rPr>
          <w:rFonts w:ascii="Arial" w:hAnsi="Arial" w:cs="Arial"/>
          <w:sz w:val="20"/>
          <w:szCs w:val="20"/>
        </w:rPr>
        <w:t>Chairperson</w:t>
      </w:r>
      <w:r w:rsidR="008E1D81" w:rsidRPr="00DE475B">
        <w:rPr>
          <w:rFonts w:ascii="Arial" w:hAnsi="Arial" w:cs="Arial"/>
          <w:sz w:val="20"/>
          <w:szCs w:val="20"/>
        </w:rPr>
        <w:t>.</w:t>
      </w:r>
    </w:p>
    <w:p w:rsidR="00841688" w:rsidRPr="00DE475B" w:rsidRDefault="003901FF" w:rsidP="00841688">
      <w:pPr>
        <w:spacing w:after="120"/>
        <w:rPr>
          <w:rFonts w:ascii="Arial" w:hAnsi="Arial" w:cs="Arial"/>
          <w:sz w:val="20"/>
          <w:szCs w:val="20"/>
        </w:rPr>
      </w:pPr>
      <w:r>
        <w:rPr>
          <w:rFonts w:ascii="Arial" w:hAnsi="Arial" w:cs="Arial"/>
          <w:sz w:val="20"/>
          <w:szCs w:val="20"/>
        </w:rPr>
        <w:t>One of the incoming</w:t>
      </w:r>
      <w:r w:rsidR="00F71B84" w:rsidRPr="00DE475B">
        <w:rPr>
          <w:rFonts w:ascii="Arial" w:hAnsi="Arial" w:cs="Arial"/>
          <w:sz w:val="20"/>
          <w:szCs w:val="20"/>
        </w:rPr>
        <w:t xml:space="preserve"> Library Board’s first tasks was </w:t>
      </w:r>
      <w:r w:rsidR="003025A1">
        <w:rPr>
          <w:rFonts w:ascii="Arial" w:hAnsi="Arial" w:cs="Arial"/>
          <w:sz w:val="20"/>
          <w:szCs w:val="20"/>
        </w:rPr>
        <w:t>endors</w:t>
      </w:r>
      <w:r w:rsidR="00F71B84" w:rsidRPr="00DE475B">
        <w:rPr>
          <w:rFonts w:ascii="Arial" w:hAnsi="Arial" w:cs="Arial"/>
          <w:sz w:val="20"/>
          <w:szCs w:val="20"/>
        </w:rPr>
        <w:t xml:space="preserve">ing the </w:t>
      </w:r>
      <w:r w:rsidR="003025A1">
        <w:rPr>
          <w:rFonts w:ascii="Arial" w:hAnsi="Arial" w:cs="Arial"/>
          <w:i/>
          <w:sz w:val="20"/>
          <w:szCs w:val="20"/>
        </w:rPr>
        <w:t>S</w:t>
      </w:r>
      <w:r w:rsidR="00ED6530">
        <w:rPr>
          <w:rFonts w:ascii="Arial" w:hAnsi="Arial" w:cs="Arial"/>
          <w:i/>
          <w:sz w:val="20"/>
          <w:szCs w:val="20"/>
        </w:rPr>
        <w:t xml:space="preserve">tate Library of Queensland </w:t>
      </w:r>
      <w:r w:rsidR="00F71B84" w:rsidRPr="003025A1">
        <w:rPr>
          <w:rFonts w:ascii="Arial" w:hAnsi="Arial" w:cs="Arial"/>
          <w:i/>
          <w:sz w:val="20"/>
          <w:szCs w:val="20"/>
        </w:rPr>
        <w:t>Strategic Plan</w:t>
      </w:r>
      <w:r w:rsidR="003025A1">
        <w:rPr>
          <w:rFonts w:ascii="Arial" w:hAnsi="Arial" w:cs="Arial"/>
          <w:i/>
          <w:sz w:val="20"/>
          <w:szCs w:val="20"/>
        </w:rPr>
        <w:t xml:space="preserve"> </w:t>
      </w:r>
      <w:r w:rsidR="003025A1" w:rsidRPr="003025A1">
        <w:rPr>
          <w:rFonts w:ascii="Arial" w:hAnsi="Arial" w:cs="Arial"/>
          <w:i/>
          <w:sz w:val="20"/>
          <w:szCs w:val="20"/>
        </w:rPr>
        <w:t>2017–21</w:t>
      </w:r>
      <w:r w:rsidR="00F71B84" w:rsidRPr="00DE475B">
        <w:rPr>
          <w:rFonts w:ascii="Arial" w:hAnsi="Arial" w:cs="Arial"/>
          <w:sz w:val="20"/>
          <w:szCs w:val="20"/>
        </w:rPr>
        <w:t xml:space="preserve">. This plan </w:t>
      </w:r>
      <w:r w:rsidR="0088750C">
        <w:rPr>
          <w:rFonts w:ascii="Arial" w:hAnsi="Arial" w:cs="Arial"/>
          <w:sz w:val="20"/>
          <w:szCs w:val="20"/>
        </w:rPr>
        <w:t>documents how we will achieve our V</w:t>
      </w:r>
      <w:r w:rsidR="00F71B84" w:rsidRPr="00DE475B">
        <w:rPr>
          <w:rFonts w:ascii="Arial" w:hAnsi="Arial" w:cs="Arial"/>
          <w:sz w:val="20"/>
          <w:szCs w:val="20"/>
        </w:rPr>
        <w:t>ision</w:t>
      </w:r>
      <w:r w:rsidR="0088750C">
        <w:rPr>
          <w:rFonts w:ascii="Arial" w:hAnsi="Arial" w:cs="Arial"/>
          <w:sz w:val="20"/>
          <w:szCs w:val="20"/>
        </w:rPr>
        <w:t xml:space="preserve"> to</w:t>
      </w:r>
      <w:r w:rsidR="00841688" w:rsidRPr="00DE475B">
        <w:rPr>
          <w:rFonts w:ascii="Arial" w:hAnsi="Arial" w:cs="Arial"/>
          <w:sz w:val="20"/>
          <w:szCs w:val="20"/>
        </w:rPr>
        <w:t xml:space="preserve"> </w:t>
      </w:r>
      <w:r w:rsidR="0088750C">
        <w:rPr>
          <w:rFonts w:ascii="Arial" w:hAnsi="Arial" w:cs="Arial"/>
          <w:sz w:val="20"/>
          <w:szCs w:val="20"/>
        </w:rPr>
        <w:t>“</w:t>
      </w:r>
      <w:r w:rsidR="00841688" w:rsidRPr="00DE475B">
        <w:rPr>
          <w:rFonts w:ascii="Arial" w:hAnsi="Arial" w:cs="Arial"/>
          <w:sz w:val="20"/>
          <w:szCs w:val="20"/>
        </w:rPr>
        <w:t>enable the growth of knowledge, innovation and enterprise in Queensland</w:t>
      </w:r>
      <w:r w:rsidR="00F71B84" w:rsidRPr="00DE475B">
        <w:rPr>
          <w:rFonts w:ascii="Arial" w:hAnsi="Arial" w:cs="Arial"/>
          <w:sz w:val="20"/>
          <w:szCs w:val="20"/>
        </w:rPr>
        <w:t xml:space="preserve">”. This Vision is made reality by very talented and dedicated staff, volunteers, partners and stakeholders, and I thank them for their </w:t>
      </w:r>
      <w:r w:rsidR="00ED6530">
        <w:rPr>
          <w:rFonts w:ascii="Arial" w:hAnsi="Arial" w:cs="Arial"/>
          <w:sz w:val="20"/>
          <w:szCs w:val="20"/>
        </w:rPr>
        <w:t>ongoing commitment and passion</w:t>
      </w:r>
      <w:r w:rsidR="00F71B84" w:rsidRPr="00DE475B">
        <w:rPr>
          <w:rFonts w:ascii="Arial" w:hAnsi="Arial" w:cs="Arial"/>
          <w:sz w:val="20"/>
          <w:szCs w:val="20"/>
        </w:rPr>
        <w:t>.</w:t>
      </w:r>
    </w:p>
    <w:p w:rsidR="0088750C" w:rsidRDefault="001870F3" w:rsidP="009C621F">
      <w:pPr>
        <w:spacing w:after="120"/>
        <w:rPr>
          <w:rFonts w:ascii="Arial" w:hAnsi="Arial" w:cs="Arial"/>
          <w:sz w:val="20"/>
          <w:szCs w:val="20"/>
        </w:rPr>
      </w:pPr>
      <w:r w:rsidRPr="00DE475B">
        <w:rPr>
          <w:rFonts w:ascii="Arial" w:hAnsi="Arial" w:cs="Arial"/>
          <w:sz w:val="20"/>
          <w:szCs w:val="20"/>
        </w:rPr>
        <w:t>My first week, in September 2016</w:t>
      </w:r>
      <w:r w:rsidR="00503A8B">
        <w:rPr>
          <w:rFonts w:ascii="Arial" w:hAnsi="Arial" w:cs="Arial"/>
          <w:sz w:val="20"/>
          <w:szCs w:val="20"/>
        </w:rPr>
        <w:t>, coincided with our biggest on</w:t>
      </w:r>
      <w:r w:rsidRPr="00DE475B">
        <w:rPr>
          <w:rFonts w:ascii="Arial" w:hAnsi="Arial" w:cs="Arial"/>
          <w:sz w:val="20"/>
          <w:szCs w:val="20"/>
        </w:rPr>
        <w:t xml:space="preserve">site partner event of the year, the Brisbane Writers Festival. </w:t>
      </w:r>
      <w:r w:rsidR="009C621F" w:rsidRPr="00DE475B">
        <w:rPr>
          <w:rFonts w:ascii="Arial" w:hAnsi="Arial" w:cs="Arial"/>
          <w:sz w:val="20"/>
          <w:szCs w:val="20"/>
        </w:rPr>
        <w:t xml:space="preserve">It’s just one of the many vibrant events that take place in our building in Brisbane’s Cultural Centre Precinct, South Bank. </w:t>
      </w:r>
      <w:r w:rsidR="0088750C">
        <w:rPr>
          <w:rFonts w:ascii="Arial" w:hAnsi="Arial" w:cs="Arial"/>
          <w:sz w:val="20"/>
          <w:szCs w:val="20"/>
        </w:rPr>
        <w:t xml:space="preserve">SLQ spaces are also used creatively to help people engage with the collections, for instance through the exhibitions </w:t>
      </w:r>
      <w:r w:rsidR="00353B62" w:rsidRPr="0088750C">
        <w:rPr>
          <w:rFonts w:ascii="Arial" w:hAnsi="Arial" w:cs="Arial"/>
          <w:i/>
          <w:sz w:val="20"/>
          <w:szCs w:val="20"/>
        </w:rPr>
        <w:t xml:space="preserve">Freedom Then, Freedom Now </w:t>
      </w:r>
      <w:r w:rsidR="00353B62" w:rsidRPr="00353B62">
        <w:rPr>
          <w:rFonts w:ascii="Arial" w:hAnsi="Arial" w:cs="Arial"/>
          <w:sz w:val="20"/>
          <w:szCs w:val="20"/>
        </w:rPr>
        <w:lastRenderedPageBreak/>
        <w:t xml:space="preserve">and </w:t>
      </w:r>
      <w:r w:rsidR="0088750C" w:rsidRPr="0088750C">
        <w:rPr>
          <w:rFonts w:ascii="Arial" w:hAnsi="Arial" w:cs="Arial"/>
          <w:i/>
          <w:sz w:val="20"/>
          <w:szCs w:val="20"/>
        </w:rPr>
        <w:t>Don’t Just Count Us, Let Us Count</w:t>
      </w:r>
      <w:r w:rsidR="0088750C">
        <w:rPr>
          <w:rFonts w:ascii="Arial" w:hAnsi="Arial" w:cs="Arial"/>
          <w:sz w:val="20"/>
          <w:szCs w:val="20"/>
        </w:rPr>
        <w:t xml:space="preserve">. These exhibitions, running May to October 2017, draw together collection items to tell the stories of how our life has changed in Queensland’s recent past, both since the 1967 Referendum </w:t>
      </w:r>
      <w:r w:rsidR="004415A0">
        <w:rPr>
          <w:rFonts w:ascii="Arial" w:hAnsi="Arial" w:cs="Arial"/>
          <w:sz w:val="20"/>
          <w:szCs w:val="20"/>
        </w:rPr>
        <w:t xml:space="preserve">which allowed </w:t>
      </w:r>
      <w:r w:rsidR="004415A0" w:rsidRPr="004415A0">
        <w:rPr>
          <w:rFonts w:ascii="Arial" w:hAnsi="Arial" w:cs="Arial"/>
          <w:sz w:val="20"/>
          <w:szCs w:val="20"/>
        </w:rPr>
        <w:t xml:space="preserve">Aboriginal and Torres Strait Islander peoples to be counted in the </w:t>
      </w:r>
      <w:r w:rsidR="004A0E73">
        <w:rPr>
          <w:rFonts w:ascii="Arial" w:hAnsi="Arial" w:cs="Arial"/>
          <w:sz w:val="20"/>
          <w:szCs w:val="20"/>
        </w:rPr>
        <w:t xml:space="preserve">Australian </w:t>
      </w:r>
      <w:r w:rsidR="004415A0" w:rsidRPr="004415A0">
        <w:rPr>
          <w:rFonts w:ascii="Arial" w:hAnsi="Arial" w:cs="Arial"/>
          <w:sz w:val="20"/>
          <w:szCs w:val="20"/>
        </w:rPr>
        <w:t>census</w:t>
      </w:r>
      <w:r w:rsidR="004415A0">
        <w:rPr>
          <w:rFonts w:ascii="Arial" w:hAnsi="Arial" w:cs="Arial"/>
          <w:sz w:val="20"/>
          <w:szCs w:val="20"/>
        </w:rPr>
        <w:t xml:space="preserve">, and for other Queenslanders as cultural norms have changed over time. Exhibitions such as these are an excellent way to give meaning and context to our collection, and raise awareness of the diversity of </w:t>
      </w:r>
      <w:proofErr w:type="spellStart"/>
      <w:r w:rsidR="004415A0">
        <w:rPr>
          <w:rFonts w:ascii="Arial" w:hAnsi="Arial" w:cs="Arial"/>
          <w:sz w:val="20"/>
          <w:szCs w:val="20"/>
        </w:rPr>
        <w:t>SLQ’s</w:t>
      </w:r>
      <w:proofErr w:type="spellEnd"/>
      <w:r w:rsidR="004415A0">
        <w:rPr>
          <w:rFonts w:ascii="Arial" w:hAnsi="Arial" w:cs="Arial"/>
          <w:sz w:val="20"/>
          <w:szCs w:val="20"/>
        </w:rPr>
        <w:t xml:space="preserve"> holdings.</w:t>
      </w:r>
    </w:p>
    <w:p w:rsidR="0088750C" w:rsidRPr="00DE475B" w:rsidRDefault="004415A0" w:rsidP="009C621F">
      <w:pPr>
        <w:spacing w:after="120"/>
        <w:rPr>
          <w:rFonts w:ascii="Arial" w:hAnsi="Arial" w:cs="Arial"/>
          <w:sz w:val="20"/>
          <w:szCs w:val="20"/>
        </w:rPr>
      </w:pPr>
      <w:r>
        <w:rPr>
          <w:rFonts w:ascii="Arial" w:hAnsi="Arial" w:cs="Arial"/>
          <w:sz w:val="20"/>
          <w:szCs w:val="20"/>
        </w:rPr>
        <w:t>O</w:t>
      </w:r>
      <w:r w:rsidR="009C621F" w:rsidRPr="00DE475B">
        <w:rPr>
          <w:rFonts w:ascii="Arial" w:hAnsi="Arial" w:cs="Arial"/>
          <w:sz w:val="20"/>
          <w:szCs w:val="20"/>
        </w:rPr>
        <w:t xml:space="preserve">ne of the organisation’s greatest strengths is its ability to overcome physical boundaries to provide services to people across Queensland. Much of this work is undertaken through our partnership with </w:t>
      </w:r>
      <w:r w:rsidR="001D69E3" w:rsidRPr="00DE475B">
        <w:rPr>
          <w:rFonts w:ascii="Arial" w:hAnsi="Arial" w:cs="Arial"/>
          <w:sz w:val="20"/>
          <w:szCs w:val="20"/>
        </w:rPr>
        <w:t xml:space="preserve">a network of more than 320 </w:t>
      </w:r>
      <w:r w:rsidR="009C621F" w:rsidRPr="00DE475B">
        <w:rPr>
          <w:rFonts w:ascii="Arial" w:hAnsi="Arial" w:cs="Arial"/>
          <w:sz w:val="20"/>
          <w:szCs w:val="20"/>
        </w:rPr>
        <w:t>public libraries and Indigenou</w:t>
      </w:r>
      <w:r w:rsidR="000076D6">
        <w:rPr>
          <w:rFonts w:ascii="Arial" w:hAnsi="Arial" w:cs="Arial"/>
          <w:sz w:val="20"/>
          <w:szCs w:val="20"/>
        </w:rPr>
        <w:t>s Knowledge Centres across the S</w:t>
      </w:r>
      <w:r w:rsidR="009C621F" w:rsidRPr="00DE475B">
        <w:rPr>
          <w:rFonts w:ascii="Arial" w:hAnsi="Arial" w:cs="Arial"/>
          <w:sz w:val="20"/>
          <w:szCs w:val="20"/>
        </w:rPr>
        <w:t xml:space="preserve">tate, supported by </w:t>
      </w:r>
      <w:proofErr w:type="spellStart"/>
      <w:r w:rsidR="009C621F" w:rsidRPr="00DE475B">
        <w:rPr>
          <w:rFonts w:ascii="Arial" w:hAnsi="Arial" w:cs="Arial"/>
          <w:sz w:val="20"/>
          <w:szCs w:val="20"/>
        </w:rPr>
        <w:t>SLQ’s</w:t>
      </w:r>
      <w:proofErr w:type="spellEnd"/>
      <w:r w:rsidR="009C621F" w:rsidRPr="00DE475B">
        <w:rPr>
          <w:rFonts w:ascii="Arial" w:hAnsi="Arial" w:cs="Arial"/>
          <w:sz w:val="20"/>
          <w:szCs w:val="20"/>
        </w:rPr>
        <w:t xml:space="preserve"> satellite office</w:t>
      </w:r>
      <w:r w:rsidR="002E0B6A">
        <w:rPr>
          <w:rFonts w:ascii="Arial" w:hAnsi="Arial" w:cs="Arial"/>
          <w:sz w:val="20"/>
          <w:szCs w:val="20"/>
        </w:rPr>
        <w:t>s at Cairns and Cannon Hill. It ha</w:t>
      </w:r>
      <w:r w:rsidR="009C621F" w:rsidRPr="00DE475B">
        <w:rPr>
          <w:rFonts w:ascii="Arial" w:hAnsi="Arial" w:cs="Arial"/>
          <w:sz w:val="20"/>
          <w:szCs w:val="20"/>
        </w:rPr>
        <w:t>s been a pleasure to travel across the S</w:t>
      </w:r>
      <w:r w:rsidR="002E0B6A">
        <w:rPr>
          <w:rFonts w:ascii="Arial" w:hAnsi="Arial" w:cs="Arial"/>
          <w:sz w:val="20"/>
          <w:szCs w:val="20"/>
        </w:rPr>
        <w:t>tate to see some of the work we a</w:t>
      </w:r>
      <w:r w:rsidR="009C621F" w:rsidRPr="00DE475B">
        <w:rPr>
          <w:rFonts w:ascii="Arial" w:hAnsi="Arial" w:cs="Arial"/>
          <w:sz w:val="20"/>
          <w:szCs w:val="20"/>
        </w:rPr>
        <w:t>re helping to do in the regions.</w:t>
      </w:r>
    </w:p>
    <w:p w:rsidR="009C621F" w:rsidRPr="00DE475B" w:rsidRDefault="009C621F" w:rsidP="009C621F">
      <w:pPr>
        <w:spacing w:after="120"/>
        <w:rPr>
          <w:rFonts w:ascii="Arial" w:hAnsi="Arial" w:cs="Arial"/>
          <w:sz w:val="20"/>
          <w:szCs w:val="20"/>
        </w:rPr>
      </w:pPr>
      <w:r w:rsidRPr="00DE475B">
        <w:rPr>
          <w:rFonts w:ascii="Arial" w:hAnsi="Arial" w:cs="Arial"/>
          <w:sz w:val="20"/>
          <w:szCs w:val="20"/>
        </w:rPr>
        <w:t xml:space="preserve">An increasing proportion of our content and collections </w:t>
      </w:r>
      <w:r w:rsidR="00424769">
        <w:rPr>
          <w:rFonts w:ascii="Arial" w:hAnsi="Arial" w:cs="Arial"/>
          <w:sz w:val="20"/>
          <w:szCs w:val="20"/>
        </w:rPr>
        <w:t>is</w:t>
      </w:r>
      <w:r w:rsidRPr="00DE475B">
        <w:rPr>
          <w:rFonts w:ascii="Arial" w:hAnsi="Arial" w:cs="Arial"/>
          <w:sz w:val="20"/>
          <w:szCs w:val="20"/>
        </w:rPr>
        <w:t xml:space="preserve"> also readily accessible online, to help provide access to all. Some out-of-copyright collection items are available digitally through sites such as </w:t>
      </w:r>
      <w:proofErr w:type="spellStart"/>
      <w:r w:rsidRPr="00DE475B">
        <w:rPr>
          <w:rFonts w:ascii="Arial" w:hAnsi="Arial" w:cs="Arial"/>
          <w:sz w:val="20"/>
          <w:szCs w:val="20"/>
        </w:rPr>
        <w:t>Historypin</w:t>
      </w:r>
      <w:proofErr w:type="spellEnd"/>
      <w:r w:rsidRPr="00DE475B">
        <w:rPr>
          <w:rFonts w:ascii="Arial" w:hAnsi="Arial" w:cs="Arial"/>
          <w:sz w:val="20"/>
          <w:szCs w:val="20"/>
        </w:rPr>
        <w:t xml:space="preserve"> and Flickr, and our local history items are increasingly being </w:t>
      </w:r>
      <w:r w:rsidR="001D69E3" w:rsidRPr="00DE475B">
        <w:rPr>
          <w:rFonts w:ascii="Arial" w:hAnsi="Arial" w:cs="Arial"/>
          <w:sz w:val="20"/>
          <w:szCs w:val="20"/>
        </w:rPr>
        <w:t xml:space="preserve">digitised to increase the aspects of Queensland’s story currently available online. </w:t>
      </w:r>
    </w:p>
    <w:p w:rsidR="00406D4C" w:rsidRPr="002B448C" w:rsidRDefault="00E557C0" w:rsidP="002B448C">
      <w:pPr>
        <w:spacing w:after="120"/>
        <w:rPr>
          <w:rFonts w:ascii="Arial" w:hAnsi="Arial" w:cs="Arial"/>
          <w:sz w:val="20"/>
          <w:szCs w:val="20"/>
        </w:rPr>
      </w:pPr>
      <w:r w:rsidRPr="00DE475B">
        <w:rPr>
          <w:rFonts w:ascii="Arial" w:hAnsi="Arial" w:cs="Arial"/>
          <w:sz w:val="20"/>
          <w:szCs w:val="20"/>
        </w:rPr>
        <w:t xml:space="preserve">Through our networks, partnerships and online presence, SLQ serves all of Queensland, from South East Queensland to the Torres Strait. </w:t>
      </w:r>
    </w:p>
    <w:p w:rsidR="00436CF6" w:rsidRPr="00DE475B" w:rsidRDefault="002B448C">
      <w:pPr>
        <w:rPr>
          <w:rFonts w:ascii="Arial" w:hAnsi="Arial" w:cs="Arial"/>
          <w:b/>
          <w:sz w:val="20"/>
          <w:szCs w:val="20"/>
          <w:highlight w:val="yellow"/>
        </w:rPr>
      </w:pPr>
      <w:r>
        <w:rPr>
          <w:rFonts w:ascii="Arial" w:hAnsi="Arial" w:cs="Arial"/>
          <w:b/>
          <w:noProof/>
          <w:sz w:val="20"/>
          <w:szCs w:val="20"/>
          <w:lang w:eastAsia="en-AU"/>
        </w:rPr>
        <w:drawing>
          <wp:inline distT="0" distB="0" distL="0" distR="0">
            <wp:extent cx="1917510" cy="63445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kiMcDonald-Sign-HiR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8808" cy="634885"/>
                    </a:xfrm>
                    <a:prstGeom prst="rect">
                      <a:avLst/>
                    </a:prstGeom>
                  </pic:spPr>
                </pic:pic>
              </a:graphicData>
            </a:graphic>
          </wp:inline>
        </w:drawing>
      </w:r>
    </w:p>
    <w:p w:rsidR="00D346B4" w:rsidRPr="00DE475B" w:rsidRDefault="009F1729">
      <w:pPr>
        <w:rPr>
          <w:rFonts w:ascii="Arial" w:hAnsi="Arial" w:cs="Arial"/>
          <w:sz w:val="20"/>
          <w:szCs w:val="20"/>
        </w:rPr>
      </w:pPr>
      <w:r w:rsidRPr="00DE475B">
        <w:rPr>
          <w:rFonts w:ascii="Arial" w:hAnsi="Arial" w:cs="Arial"/>
          <w:b/>
          <w:sz w:val="20"/>
          <w:szCs w:val="20"/>
        </w:rPr>
        <w:t>Vicki McDonald</w:t>
      </w:r>
    </w:p>
    <w:p w:rsidR="00D346B4" w:rsidRPr="00DE475B" w:rsidRDefault="00D346B4">
      <w:pPr>
        <w:rPr>
          <w:rFonts w:ascii="Arial" w:hAnsi="Arial" w:cs="Arial"/>
          <w:sz w:val="20"/>
          <w:szCs w:val="20"/>
        </w:rPr>
      </w:pPr>
      <w:r w:rsidRPr="00DE475B">
        <w:rPr>
          <w:rFonts w:ascii="Arial" w:hAnsi="Arial" w:cs="Arial"/>
          <w:sz w:val="20"/>
          <w:szCs w:val="20"/>
        </w:rPr>
        <w:t>State Librarian</w:t>
      </w:r>
      <w:r w:rsidR="00D510AA" w:rsidRPr="00DE475B">
        <w:rPr>
          <w:rFonts w:ascii="Arial" w:hAnsi="Arial" w:cs="Arial"/>
          <w:sz w:val="20"/>
          <w:szCs w:val="20"/>
        </w:rPr>
        <w:t xml:space="preserve"> and CEO</w:t>
      </w:r>
    </w:p>
    <w:p w:rsidR="00D346B4" w:rsidRPr="00DE475B" w:rsidRDefault="00621364">
      <w:pPr>
        <w:rPr>
          <w:rFonts w:ascii="Arial" w:hAnsi="Arial" w:cs="Arial"/>
          <w:sz w:val="20"/>
          <w:szCs w:val="20"/>
        </w:rPr>
        <w:sectPr w:rsidR="00D346B4" w:rsidRPr="00DE475B" w:rsidSect="00B53922">
          <w:type w:val="continuous"/>
          <w:pgSz w:w="11906" w:h="16838"/>
          <w:pgMar w:top="1440" w:right="1797" w:bottom="1440" w:left="1797" w:header="709" w:footer="709" w:gutter="0"/>
          <w:cols w:num="2" w:space="720"/>
          <w:docGrid w:linePitch="360"/>
        </w:sectPr>
      </w:pPr>
      <w:r w:rsidRPr="00DE475B">
        <w:rPr>
          <w:rFonts w:ascii="Arial" w:hAnsi="Arial" w:cs="Arial"/>
          <w:sz w:val="20"/>
          <w:szCs w:val="20"/>
        </w:rPr>
        <w:t>State Library of Queensland</w:t>
      </w:r>
    </w:p>
    <w:p w:rsidR="00152C93" w:rsidRDefault="00621364">
      <w:pPr>
        <w:suppressAutoHyphens w:val="0"/>
        <w:autoSpaceDE/>
      </w:pPr>
      <w:r w:rsidRPr="00DE475B">
        <w:lastRenderedPageBreak/>
        <w:br w:type="page"/>
      </w:r>
    </w:p>
    <w:p w:rsidR="00152C93" w:rsidRDefault="00152C93">
      <w:pPr>
        <w:suppressAutoHyphens w:val="0"/>
        <w:autoSpaceDE/>
      </w:pPr>
    </w:p>
    <w:p w:rsidR="003B3E91" w:rsidRDefault="003B3E91" w:rsidP="003B3E91">
      <w:pPr>
        <w:suppressAutoHyphens w:val="0"/>
        <w:autoSpaceDE/>
        <w:jc w:val="center"/>
        <w:rPr>
          <w:rFonts w:ascii="Arial" w:hAnsi="Arial" w:cs="Arial"/>
          <w:color w:val="808080"/>
          <w:sz w:val="40"/>
          <w:szCs w:val="40"/>
        </w:rPr>
      </w:pPr>
    </w:p>
    <w:p w:rsidR="003B3E91" w:rsidRDefault="003B3E91" w:rsidP="003B3E91">
      <w:pPr>
        <w:suppressAutoHyphens w:val="0"/>
        <w:autoSpaceDE/>
        <w:jc w:val="center"/>
        <w:rPr>
          <w:rFonts w:ascii="Arial" w:hAnsi="Arial" w:cs="Arial"/>
          <w:color w:val="808080"/>
          <w:sz w:val="40"/>
          <w:szCs w:val="40"/>
        </w:rPr>
      </w:pPr>
    </w:p>
    <w:p w:rsidR="003B3E91" w:rsidRDefault="003B3E91" w:rsidP="003B3E91">
      <w:pPr>
        <w:suppressAutoHyphens w:val="0"/>
        <w:autoSpaceDE/>
        <w:jc w:val="center"/>
        <w:rPr>
          <w:rFonts w:ascii="Arial" w:hAnsi="Arial" w:cs="Arial"/>
          <w:color w:val="808080"/>
          <w:sz w:val="40"/>
          <w:szCs w:val="40"/>
        </w:rPr>
      </w:pPr>
    </w:p>
    <w:p w:rsidR="003B3E91" w:rsidRDefault="003B3E91" w:rsidP="003B3E91">
      <w:pPr>
        <w:suppressAutoHyphens w:val="0"/>
        <w:autoSpaceDE/>
        <w:jc w:val="center"/>
        <w:rPr>
          <w:rFonts w:ascii="Arial" w:hAnsi="Arial" w:cs="Arial"/>
          <w:color w:val="808080"/>
          <w:sz w:val="40"/>
          <w:szCs w:val="40"/>
        </w:rPr>
      </w:pPr>
    </w:p>
    <w:p w:rsidR="003B3E91" w:rsidRDefault="003B3E91" w:rsidP="003B3E91">
      <w:pPr>
        <w:suppressAutoHyphens w:val="0"/>
        <w:autoSpaceDE/>
        <w:jc w:val="center"/>
        <w:rPr>
          <w:rFonts w:ascii="Arial" w:hAnsi="Arial" w:cs="Arial"/>
          <w:color w:val="808080"/>
          <w:sz w:val="40"/>
          <w:szCs w:val="40"/>
        </w:rPr>
      </w:pPr>
    </w:p>
    <w:p w:rsidR="007E7EBD" w:rsidRDefault="007E7EBD" w:rsidP="003B3E91">
      <w:pPr>
        <w:suppressAutoHyphens w:val="0"/>
        <w:autoSpaceDE/>
        <w:jc w:val="center"/>
        <w:rPr>
          <w:rFonts w:ascii="Arial" w:hAnsi="Arial" w:cs="Arial"/>
          <w:color w:val="808080"/>
          <w:sz w:val="40"/>
          <w:szCs w:val="40"/>
        </w:rPr>
      </w:pPr>
    </w:p>
    <w:p w:rsidR="007E7EBD" w:rsidRDefault="007E7EBD" w:rsidP="003B3E91">
      <w:pPr>
        <w:suppressAutoHyphens w:val="0"/>
        <w:autoSpaceDE/>
        <w:jc w:val="center"/>
        <w:rPr>
          <w:rFonts w:ascii="Arial" w:hAnsi="Arial" w:cs="Arial"/>
          <w:color w:val="808080"/>
          <w:sz w:val="40"/>
          <w:szCs w:val="40"/>
        </w:rPr>
      </w:pPr>
    </w:p>
    <w:p w:rsidR="003B3E91" w:rsidRDefault="003B3E91" w:rsidP="003B3E91">
      <w:pPr>
        <w:suppressAutoHyphens w:val="0"/>
        <w:autoSpaceDE/>
        <w:jc w:val="center"/>
        <w:rPr>
          <w:rFonts w:ascii="Arial" w:hAnsi="Arial" w:cs="Arial"/>
          <w:color w:val="808080"/>
          <w:sz w:val="40"/>
          <w:szCs w:val="40"/>
        </w:rPr>
      </w:pPr>
    </w:p>
    <w:p w:rsidR="003B3E91" w:rsidRDefault="003B3E91" w:rsidP="003B3E91">
      <w:pPr>
        <w:suppressAutoHyphens w:val="0"/>
        <w:autoSpaceDE/>
        <w:jc w:val="center"/>
        <w:rPr>
          <w:rFonts w:ascii="Arial" w:hAnsi="Arial" w:cs="Arial"/>
          <w:color w:val="808080"/>
          <w:sz w:val="40"/>
          <w:szCs w:val="40"/>
        </w:rPr>
      </w:pPr>
      <w:r w:rsidRPr="003B3E91">
        <w:rPr>
          <w:rFonts w:ascii="Arial" w:hAnsi="Arial" w:cs="Arial"/>
          <w:color w:val="808080"/>
          <w:sz w:val="40"/>
          <w:szCs w:val="40"/>
        </w:rPr>
        <w:t>SLQ is a welcoming creative place of ideas and a</w:t>
      </w:r>
      <w:r>
        <w:rPr>
          <w:rFonts w:ascii="Arial" w:hAnsi="Arial" w:cs="Arial"/>
          <w:color w:val="808080"/>
          <w:sz w:val="40"/>
          <w:szCs w:val="40"/>
        </w:rPr>
        <w:t xml:space="preserve"> trusted source for information.</w:t>
      </w:r>
      <w:r w:rsidRPr="003B3E91">
        <w:rPr>
          <w:rFonts w:ascii="Arial" w:hAnsi="Arial" w:cs="Arial"/>
          <w:color w:val="808080"/>
          <w:sz w:val="40"/>
          <w:szCs w:val="40"/>
        </w:rPr>
        <w:t xml:space="preserve"> </w:t>
      </w:r>
    </w:p>
    <w:p w:rsidR="003B3E91" w:rsidRDefault="003B3E91" w:rsidP="003B3E91">
      <w:pPr>
        <w:suppressAutoHyphens w:val="0"/>
        <w:autoSpaceDE/>
        <w:jc w:val="center"/>
        <w:rPr>
          <w:rFonts w:ascii="Arial" w:hAnsi="Arial" w:cs="Arial"/>
          <w:color w:val="808080"/>
          <w:sz w:val="40"/>
          <w:szCs w:val="40"/>
        </w:rPr>
      </w:pPr>
    </w:p>
    <w:p w:rsidR="00552401" w:rsidRDefault="003B3E91" w:rsidP="003B3E91">
      <w:pPr>
        <w:suppressAutoHyphens w:val="0"/>
        <w:autoSpaceDE/>
        <w:jc w:val="center"/>
      </w:pPr>
      <w:r>
        <w:rPr>
          <w:rFonts w:ascii="Arial" w:hAnsi="Arial" w:cs="Arial"/>
          <w:color w:val="808080"/>
          <w:sz w:val="40"/>
          <w:szCs w:val="40"/>
        </w:rPr>
        <w:t>T</w:t>
      </w:r>
      <w:r w:rsidRPr="003B3E91">
        <w:rPr>
          <w:rFonts w:ascii="Arial" w:hAnsi="Arial" w:cs="Arial"/>
          <w:color w:val="808080"/>
          <w:sz w:val="40"/>
          <w:szCs w:val="40"/>
        </w:rPr>
        <w:t>he community is at the hea</w:t>
      </w:r>
      <w:r>
        <w:rPr>
          <w:rFonts w:ascii="Arial" w:hAnsi="Arial" w:cs="Arial"/>
          <w:color w:val="808080"/>
          <w:sz w:val="40"/>
          <w:szCs w:val="40"/>
        </w:rPr>
        <w:t>r</w:t>
      </w:r>
      <w:r w:rsidRPr="003B3E91">
        <w:rPr>
          <w:rFonts w:ascii="Arial" w:hAnsi="Arial" w:cs="Arial"/>
          <w:color w:val="808080"/>
          <w:sz w:val="40"/>
          <w:szCs w:val="40"/>
        </w:rPr>
        <w:t xml:space="preserve">t of </w:t>
      </w:r>
      <w:r>
        <w:rPr>
          <w:rFonts w:ascii="Arial" w:hAnsi="Arial" w:cs="Arial"/>
          <w:color w:val="808080"/>
          <w:sz w:val="40"/>
          <w:szCs w:val="40"/>
        </w:rPr>
        <w:t xml:space="preserve">its </w:t>
      </w:r>
      <w:r w:rsidRPr="003B3E91">
        <w:rPr>
          <w:rFonts w:ascii="Arial" w:hAnsi="Arial" w:cs="Arial"/>
          <w:color w:val="808080"/>
          <w:sz w:val="40"/>
          <w:szCs w:val="40"/>
        </w:rPr>
        <w:t>public programming</w:t>
      </w:r>
      <w:r>
        <w:rPr>
          <w:rFonts w:ascii="Arial" w:hAnsi="Arial" w:cs="Arial"/>
          <w:color w:val="808080"/>
          <w:sz w:val="40"/>
          <w:szCs w:val="40"/>
        </w:rPr>
        <w:t xml:space="preserve"> —</w:t>
      </w:r>
      <w:r w:rsidRPr="003B3E91">
        <w:rPr>
          <w:rFonts w:ascii="Arial" w:hAnsi="Arial" w:cs="Arial"/>
          <w:color w:val="808080"/>
          <w:sz w:val="40"/>
          <w:szCs w:val="40"/>
        </w:rPr>
        <w:t xml:space="preserve"> engaging exhibitions, workshops and events created to appeal to diverse audiences.</w:t>
      </w:r>
      <w:r w:rsidR="00552401">
        <w:br w:type="page"/>
      </w:r>
    </w:p>
    <w:p w:rsidR="003B3E91" w:rsidRDefault="003B3E91">
      <w:pPr>
        <w:suppressAutoHyphens w:val="0"/>
        <w:autoSpaceDE/>
      </w:pPr>
    </w:p>
    <w:p w:rsidR="003B3E91" w:rsidRDefault="003B3E91">
      <w:pPr>
        <w:suppressAutoHyphens w:val="0"/>
        <w:autoSpaceDE/>
      </w:pPr>
    </w:p>
    <w:p w:rsidR="003B3E91" w:rsidRDefault="003B3E91">
      <w:pPr>
        <w:suppressAutoHyphens w:val="0"/>
        <w:autoSpaceDE/>
      </w:pPr>
    </w:p>
    <w:p w:rsidR="003B3E91" w:rsidRDefault="003B3E91">
      <w:pPr>
        <w:suppressAutoHyphens w:val="0"/>
        <w:autoSpaceDE/>
      </w:pPr>
    </w:p>
    <w:p w:rsidR="00152C93" w:rsidRDefault="00152C93">
      <w:pPr>
        <w:suppressAutoHyphens w:val="0"/>
        <w:autoSpaceDE/>
      </w:pPr>
    </w:p>
    <w:p w:rsidR="00152C93" w:rsidRDefault="00152C93">
      <w:pPr>
        <w:suppressAutoHyphens w:val="0"/>
        <w:autoSpaceDE/>
      </w:pPr>
    </w:p>
    <w:p w:rsidR="00152C93" w:rsidRDefault="00152C93">
      <w:pPr>
        <w:suppressAutoHyphens w:val="0"/>
        <w:autoSpaceDE/>
      </w:pPr>
    </w:p>
    <w:p w:rsidR="00152C93" w:rsidRDefault="00152C93">
      <w:pPr>
        <w:suppressAutoHyphens w:val="0"/>
        <w:autoSpaceDE/>
      </w:pPr>
    </w:p>
    <w:p w:rsidR="00152C93" w:rsidRDefault="00152C93">
      <w:pPr>
        <w:suppressAutoHyphens w:val="0"/>
        <w:autoSpaceDE/>
      </w:pPr>
    </w:p>
    <w:p w:rsidR="00152C93" w:rsidRDefault="00152C93">
      <w:pPr>
        <w:suppressAutoHyphens w:val="0"/>
        <w:autoSpaceDE/>
      </w:pPr>
    </w:p>
    <w:p w:rsidR="00152C93" w:rsidRDefault="00152C93">
      <w:pPr>
        <w:suppressAutoHyphens w:val="0"/>
        <w:autoSpaceDE/>
      </w:pPr>
    </w:p>
    <w:p w:rsidR="00152C93" w:rsidRDefault="00152C93">
      <w:pPr>
        <w:suppressAutoHyphens w:val="0"/>
        <w:autoSpaceDE/>
      </w:pPr>
    </w:p>
    <w:p w:rsidR="00152C93" w:rsidRDefault="00152C93">
      <w:pPr>
        <w:suppressAutoHyphens w:val="0"/>
        <w:autoSpaceDE/>
      </w:pPr>
    </w:p>
    <w:p w:rsidR="00152C93" w:rsidRDefault="00152C93">
      <w:pPr>
        <w:suppressAutoHyphens w:val="0"/>
        <w:autoSpaceDE/>
      </w:pPr>
    </w:p>
    <w:p w:rsidR="00152C93" w:rsidRDefault="00152C93">
      <w:pPr>
        <w:suppressAutoHyphens w:val="0"/>
        <w:autoSpaceDE/>
      </w:pPr>
    </w:p>
    <w:p w:rsidR="00152C93" w:rsidRDefault="00152C93" w:rsidP="00152C93">
      <w:pPr>
        <w:suppressAutoHyphens w:val="0"/>
        <w:autoSpaceDE/>
        <w:jc w:val="center"/>
        <w:rPr>
          <w:rFonts w:ascii="Arial" w:hAnsi="Arial" w:cs="Arial"/>
          <w:color w:val="808080"/>
          <w:sz w:val="40"/>
          <w:szCs w:val="40"/>
        </w:rPr>
      </w:pPr>
      <w:r>
        <w:rPr>
          <w:rFonts w:ascii="Arial" w:hAnsi="Arial" w:cs="Arial"/>
          <w:color w:val="808080"/>
          <w:sz w:val="40"/>
          <w:szCs w:val="40"/>
        </w:rPr>
        <w:t>Collection image to be inserted</w:t>
      </w:r>
    </w:p>
    <w:p w:rsidR="00152C93" w:rsidRDefault="00152C93">
      <w:pPr>
        <w:suppressAutoHyphens w:val="0"/>
        <w:autoSpaceDE/>
      </w:pPr>
      <w:r>
        <w:br w:type="page"/>
      </w:r>
    </w:p>
    <w:p w:rsidR="00D346B4" w:rsidRPr="00DE475B" w:rsidRDefault="00D346B4" w:rsidP="00621364">
      <w:r w:rsidRPr="00DE475B">
        <w:rPr>
          <w:rFonts w:ascii="Arial" w:hAnsi="Arial" w:cs="Arial"/>
          <w:color w:val="808080"/>
          <w:sz w:val="40"/>
          <w:szCs w:val="40"/>
        </w:rPr>
        <w:lastRenderedPageBreak/>
        <w:t>Part 2: Corporate</w:t>
      </w:r>
    </w:p>
    <w:p w:rsidR="00D346B4" w:rsidRPr="00DE475B" w:rsidRDefault="00D07A8A">
      <w:pPr>
        <w:pStyle w:val="ARHeading1"/>
        <w:rPr>
          <w:sz w:val="20"/>
          <w:szCs w:val="20"/>
        </w:rPr>
      </w:pPr>
      <w:r w:rsidRPr="00DE475B">
        <w:t>L</w:t>
      </w:r>
      <w:r w:rsidR="00D346B4" w:rsidRPr="00DE475B">
        <w:t>ibrar</w:t>
      </w:r>
      <w:r w:rsidR="00F7370D" w:rsidRPr="00DE475B">
        <w:t>y Board of Queensland</w:t>
      </w:r>
    </w:p>
    <w:p w:rsidR="00D346B4" w:rsidRPr="00DE475B" w:rsidRDefault="00D346B4">
      <w:pPr>
        <w:rPr>
          <w:rFonts w:ascii="Arial" w:hAnsi="Arial" w:cs="Arial"/>
        </w:rPr>
      </w:pPr>
    </w:p>
    <w:p w:rsidR="00D346B4" w:rsidRPr="00DE475B" w:rsidRDefault="00D346B4">
      <w:pPr>
        <w:sectPr w:rsidR="00D346B4" w:rsidRPr="00DE475B" w:rsidSect="00B53922">
          <w:type w:val="continuous"/>
          <w:pgSz w:w="11906" w:h="16838"/>
          <w:pgMar w:top="1440" w:right="1797" w:bottom="1440" w:left="1701" w:header="709" w:footer="709" w:gutter="0"/>
          <w:cols w:space="720"/>
          <w:docGrid w:linePitch="360"/>
        </w:sectPr>
      </w:pPr>
    </w:p>
    <w:p w:rsidR="00D346B4" w:rsidRPr="00DE475B" w:rsidRDefault="00D346B4">
      <w:pPr>
        <w:spacing w:after="120"/>
        <w:rPr>
          <w:rFonts w:ascii="Arial" w:hAnsi="Arial" w:cs="Arial"/>
          <w:sz w:val="20"/>
          <w:szCs w:val="20"/>
        </w:rPr>
      </w:pPr>
      <w:r w:rsidRPr="00DE475B">
        <w:rPr>
          <w:rFonts w:ascii="Arial" w:hAnsi="Arial" w:cs="Arial"/>
          <w:sz w:val="20"/>
          <w:szCs w:val="20"/>
        </w:rPr>
        <w:lastRenderedPageBreak/>
        <w:t>The Library Board of Queensland</w:t>
      </w:r>
      <w:r w:rsidR="00D50762" w:rsidRPr="00DE475B">
        <w:rPr>
          <w:rFonts w:ascii="Arial" w:hAnsi="Arial" w:cs="Arial"/>
          <w:sz w:val="20"/>
          <w:szCs w:val="20"/>
        </w:rPr>
        <w:t xml:space="preserve"> (The Board)</w:t>
      </w:r>
      <w:r w:rsidRPr="00DE475B">
        <w:rPr>
          <w:rFonts w:ascii="Arial" w:hAnsi="Arial" w:cs="Arial"/>
          <w:sz w:val="20"/>
          <w:szCs w:val="20"/>
        </w:rPr>
        <w:t xml:space="preserve">, established in 1943, is the governing body of SLQ and draws its powers from the </w:t>
      </w:r>
      <w:r w:rsidRPr="00DE475B">
        <w:rPr>
          <w:rFonts w:ascii="Arial" w:hAnsi="Arial" w:cs="Arial"/>
          <w:i/>
          <w:iCs/>
          <w:sz w:val="20"/>
          <w:szCs w:val="20"/>
        </w:rPr>
        <w:t xml:space="preserve">Libraries Act 1988 </w:t>
      </w:r>
      <w:r w:rsidRPr="00DE475B">
        <w:rPr>
          <w:rFonts w:ascii="Arial" w:hAnsi="Arial" w:cs="Arial"/>
          <w:sz w:val="20"/>
          <w:szCs w:val="20"/>
        </w:rPr>
        <w:t>(</w:t>
      </w:r>
      <w:r w:rsidRPr="00DE475B">
        <w:rPr>
          <w:rFonts w:ascii="Arial" w:hAnsi="Arial" w:cs="Arial"/>
          <w:i/>
          <w:iCs/>
          <w:sz w:val="20"/>
          <w:szCs w:val="20"/>
        </w:rPr>
        <w:t>Libraries Act</w:t>
      </w:r>
      <w:r w:rsidRPr="00DE475B">
        <w:rPr>
          <w:rFonts w:ascii="Arial" w:hAnsi="Arial" w:cs="Arial"/>
          <w:sz w:val="20"/>
          <w:szCs w:val="20"/>
        </w:rPr>
        <w:t xml:space="preserve">). The object of the </w:t>
      </w:r>
      <w:r w:rsidRPr="00DE475B">
        <w:rPr>
          <w:rFonts w:ascii="Arial" w:hAnsi="Arial" w:cs="Arial"/>
          <w:i/>
          <w:iCs/>
          <w:sz w:val="20"/>
          <w:szCs w:val="20"/>
        </w:rPr>
        <w:t xml:space="preserve">Libraries </w:t>
      </w:r>
      <w:r w:rsidRPr="00DE475B">
        <w:rPr>
          <w:rFonts w:ascii="Arial" w:eastAsia="Batang" w:hAnsi="Arial" w:cs="Arial"/>
          <w:bCs/>
          <w:i/>
          <w:kern w:val="1"/>
          <w:sz w:val="20"/>
          <w:szCs w:val="22"/>
        </w:rPr>
        <w:t xml:space="preserve">Act </w:t>
      </w:r>
      <w:r w:rsidRPr="00DE475B">
        <w:rPr>
          <w:rFonts w:ascii="Arial" w:eastAsia="Batang" w:hAnsi="Arial" w:cs="Arial"/>
          <w:bCs/>
          <w:kern w:val="1"/>
          <w:sz w:val="20"/>
          <w:szCs w:val="22"/>
        </w:rPr>
        <w:t>is to contribute to the cultural, social and intellectual development of all Queenslanders.</w:t>
      </w:r>
    </w:p>
    <w:p w:rsidR="00D346B4" w:rsidRPr="00DE475B" w:rsidRDefault="00D346B4">
      <w:pPr>
        <w:spacing w:after="40"/>
        <w:rPr>
          <w:rFonts w:ascii="Arial" w:hAnsi="Arial" w:cs="Arial"/>
          <w:sz w:val="20"/>
          <w:szCs w:val="20"/>
        </w:rPr>
      </w:pPr>
      <w:r w:rsidRPr="00DE475B">
        <w:rPr>
          <w:rFonts w:ascii="Arial" w:hAnsi="Arial" w:cs="Arial"/>
          <w:sz w:val="20"/>
          <w:szCs w:val="20"/>
        </w:rPr>
        <w:t>The legislated guiding principles for achieving this are:</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(a) </w:t>
      </w:r>
      <w:proofErr w:type="gramStart"/>
      <w:r w:rsidRPr="00DE475B">
        <w:rPr>
          <w:rFonts w:ascii="Arial" w:hAnsi="Arial" w:cs="Arial"/>
          <w:sz w:val="20"/>
          <w:szCs w:val="20"/>
        </w:rPr>
        <w:t>leadership</w:t>
      </w:r>
      <w:proofErr w:type="gramEnd"/>
      <w:r w:rsidRPr="00DE475B">
        <w:rPr>
          <w:rFonts w:ascii="Arial" w:hAnsi="Arial" w:cs="Arial"/>
          <w:sz w:val="20"/>
          <w:szCs w:val="20"/>
        </w:rPr>
        <w:t xml:space="preserve"> and excellence should be demonstrated in providing library and information services</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(b) </w:t>
      </w:r>
      <w:proofErr w:type="gramStart"/>
      <w:r w:rsidRPr="00DE475B">
        <w:rPr>
          <w:rFonts w:ascii="Arial" w:hAnsi="Arial" w:cs="Arial"/>
          <w:sz w:val="20"/>
          <w:szCs w:val="20"/>
        </w:rPr>
        <w:t>there</w:t>
      </w:r>
      <w:proofErr w:type="gramEnd"/>
      <w:r w:rsidRPr="00DE475B">
        <w:rPr>
          <w:rFonts w:ascii="Arial" w:hAnsi="Arial" w:cs="Arial"/>
          <w:sz w:val="20"/>
          <w:szCs w:val="20"/>
        </w:rPr>
        <w:t xml:space="preserve"> should be responsiveness to the needs of communities in regional and outer metropolitan areas</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(c) </w:t>
      </w:r>
      <w:proofErr w:type="gramStart"/>
      <w:r w:rsidRPr="00DE475B">
        <w:rPr>
          <w:rFonts w:ascii="Arial" w:hAnsi="Arial" w:cs="Arial"/>
          <w:sz w:val="20"/>
          <w:szCs w:val="20"/>
        </w:rPr>
        <w:t>respect</w:t>
      </w:r>
      <w:proofErr w:type="gramEnd"/>
      <w:r w:rsidRPr="00DE475B">
        <w:rPr>
          <w:rFonts w:ascii="Arial" w:hAnsi="Arial" w:cs="Arial"/>
          <w:sz w:val="20"/>
          <w:szCs w:val="20"/>
        </w:rPr>
        <w:t xml:space="preserve"> for Aboriginal and Torres Strait Islander cultures should be affirmed</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(d) </w:t>
      </w:r>
      <w:proofErr w:type="gramStart"/>
      <w:r w:rsidRPr="00DE475B">
        <w:rPr>
          <w:rFonts w:ascii="Arial" w:hAnsi="Arial" w:cs="Arial"/>
          <w:sz w:val="20"/>
          <w:szCs w:val="20"/>
        </w:rPr>
        <w:t>children</w:t>
      </w:r>
      <w:proofErr w:type="gramEnd"/>
      <w:r w:rsidRPr="00DE475B">
        <w:rPr>
          <w:rFonts w:ascii="Arial" w:hAnsi="Arial" w:cs="Arial"/>
          <w:sz w:val="20"/>
          <w:szCs w:val="20"/>
        </w:rPr>
        <w:t xml:space="preserve"> and young people should be supported in their understanding and use of library and information services</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(e) </w:t>
      </w:r>
      <w:proofErr w:type="gramStart"/>
      <w:r w:rsidRPr="00DE475B">
        <w:rPr>
          <w:rFonts w:ascii="Arial" w:hAnsi="Arial" w:cs="Arial"/>
          <w:sz w:val="20"/>
          <w:szCs w:val="20"/>
        </w:rPr>
        <w:t>diverse</w:t>
      </w:r>
      <w:proofErr w:type="gramEnd"/>
      <w:r w:rsidRPr="00DE475B">
        <w:rPr>
          <w:rFonts w:ascii="Arial" w:hAnsi="Arial" w:cs="Arial"/>
          <w:sz w:val="20"/>
          <w:szCs w:val="20"/>
        </w:rPr>
        <w:t xml:space="preserve"> audiences should be developed</w:t>
      </w:r>
    </w:p>
    <w:p w:rsidR="00D346B4" w:rsidRPr="00DE475B" w:rsidRDefault="00D346B4">
      <w:pPr>
        <w:spacing w:after="40"/>
        <w:rPr>
          <w:rFonts w:ascii="Arial" w:hAnsi="Arial" w:cs="Arial"/>
          <w:spacing w:val="-2"/>
          <w:sz w:val="20"/>
          <w:szCs w:val="20"/>
        </w:rPr>
      </w:pPr>
      <w:r w:rsidRPr="00DE475B">
        <w:rPr>
          <w:rFonts w:ascii="Arial" w:hAnsi="Arial" w:cs="Arial"/>
          <w:sz w:val="20"/>
          <w:szCs w:val="20"/>
        </w:rPr>
        <w:t xml:space="preserve">(f) </w:t>
      </w:r>
      <w:proofErr w:type="gramStart"/>
      <w:r w:rsidRPr="00DE475B">
        <w:rPr>
          <w:rFonts w:ascii="Arial" w:hAnsi="Arial" w:cs="Arial"/>
          <w:sz w:val="20"/>
          <w:szCs w:val="20"/>
        </w:rPr>
        <w:t>capabilities</w:t>
      </w:r>
      <w:proofErr w:type="gramEnd"/>
      <w:r w:rsidRPr="00DE475B">
        <w:rPr>
          <w:rFonts w:ascii="Arial" w:hAnsi="Arial" w:cs="Arial"/>
          <w:sz w:val="20"/>
          <w:szCs w:val="20"/>
        </w:rPr>
        <w:t xml:space="preserve"> for lifelong learning about library and information services should be developed</w:t>
      </w:r>
    </w:p>
    <w:p w:rsidR="00D346B4" w:rsidRPr="00DE475B" w:rsidRDefault="00D346B4">
      <w:pPr>
        <w:spacing w:after="40"/>
        <w:rPr>
          <w:rFonts w:ascii="Arial" w:hAnsi="Arial" w:cs="Arial"/>
          <w:sz w:val="20"/>
          <w:szCs w:val="20"/>
        </w:rPr>
      </w:pPr>
      <w:r w:rsidRPr="00DE475B">
        <w:rPr>
          <w:rFonts w:ascii="Arial" w:hAnsi="Arial" w:cs="Arial"/>
          <w:spacing w:val="-2"/>
          <w:sz w:val="20"/>
          <w:szCs w:val="20"/>
        </w:rPr>
        <w:t xml:space="preserve">(g) </w:t>
      </w:r>
      <w:proofErr w:type="gramStart"/>
      <w:r w:rsidRPr="00DE475B">
        <w:rPr>
          <w:rFonts w:ascii="Arial" w:hAnsi="Arial" w:cs="Arial"/>
          <w:spacing w:val="-2"/>
          <w:sz w:val="20"/>
          <w:szCs w:val="20"/>
        </w:rPr>
        <w:t>opportunities</w:t>
      </w:r>
      <w:proofErr w:type="gramEnd"/>
      <w:r w:rsidRPr="00DE475B">
        <w:rPr>
          <w:rFonts w:ascii="Arial" w:hAnsi="Arial" w:cs="Arial"/>
          <w:spacing w:val="-2"/>
          <w:sz w:val="20"/>
          <w:szCs w:val="20"/>
        </w:rPr>
        <w:t xml:space="preserve"> should be developed for international collaboration and for cultural exports, especially to the Asia-Pacific region</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(h) </w:t>
      </w:r>
      <w:proofErr w:type="gramStart"/>
      <w:r w:rsidRPr="00DE475B">
        <w:rPr>
          <w:rFonts w:ascii="Arial" w:hAnsi="Arial" w:cs="Arial"/>
          <w:sz w:val="20"/>
          <w:szCs w:val="20"/>
        </w:rPr>
        <w:t>content</w:t>
      </w:r>
      <w:proofErr w:type="gramEnd"/>
      <w:r w:rsidRPr="00DE475B">
        <w:rPr>
          <w:rFonts w:ascii="Arial" w:hAnsi="Arial" w:cs="Arial"/>
          <w:sz w:val="20"/>
          <w:szCs w:val="20"/>
        </w:rPr>
        <w:t xml:space="preserve"> relevant to Queensland should be collected, preserved, promoted and made accessible.</w:t>
      </w:r>
    </w:p>
    <w:p w:rsidR="00D346B4" w:rsidRPr="00DE475B" w:rsidRDefault="00D346B4">
      <w:pPr>
        <w:spacing w:after="120"/>
        <w:rPr>
          <w:rFonts w:ascii="Arial" w:hAnsi="Arial" w:cs="Arial"/>
          <w:sz w:val="20"/>
          <w:szCs w:val="20"/>
        </w:rPr>
      </w:pPr>
      <w:r w:rsidRPr="00DE475B">
        <w:rPr>
          <w:rFonts w:ascii="Arial" w:hAnsi="Arial" w:cs="Arial"/>
          <w:sz w:val="20"/>
          <w:szCs w:val="20"/>
        </w:rPr>
        <w:t xml:space="preserve">The functions and powers of the </w:t>
      </w:r>
      <w:r w:rsidR="004B17A8">
        <w:rPr>
          <w:rFonts w:ascii="Arial" w:hAnsi="Arial" w:cs="Arial"/>
          <w:sz w:val="20"/>
          <w:szCs w:val="20"/>
        </w:rPr>
        <w:t xml:space="preserve">Library </w:t>
      </w:r>
      <w:r w:rsidRPr="00DE475B">
        <w:rPr>
          <w:rFonts w:ascii="Arial" w:hAnsi="Arial" w:cs="Arial"/>
          <w:sz w:val="20"/>
          <w:szCs w:val="20"/>
        </w:rPr>
        <w:t>Board are listed in Appendix A.</w:t>
      </w:r>
    </w:p>
    <w:p w:rsidR="00D346B4" w:rsidRPr="00DE475B" w:rsidRDefault="00D346B4">
      <w:pPr>
        <w:spacing w:after="120"/>
        <w:rPr>
          <w:rFonts w:ascii="Arial" w:hAnsi="Arial" w:cs="Arial"/>
          <w:sz w:val="20"/>
          <w:szCs w:val="20"/>
        </w:rPr>
      </w:pPr>
      <w:r w:rsidRPr="00DE475B">
        <w:rPr>
          <w:rFonts w:ascii="Arial" w:hAnsi="Arial" w:cs="Arial"/>
          <w:sz w:val="20"/>
          <w:szCs w:val="20"/>
        </w:rPr>
        <w:t xml:space="preserve">In addition to regular meetings of the </w:t>
      </w:r>
      <w:r w:rsidR="004B17A8">
        <w:rPr>
          <w:rFonts w:ascii="Arial" w:hAnsi="Arial" w:cs="Arial"/>
          <w:sz w:val="20"/>
          <w:szCs w:val="20"/>
        </w:rPr>
        <w:t xml:space="preserve">Library </w:t>
      </w:r>
      <w:r w:rsidRPr="00DE475B">
        <w:rPr>
          <w:rFonts w:ascii="Arial" w:hAnsi="Arial" w:cs="Arial"/>
          <w:sz w:val="20"/>
          <w:szCs w:val="20"/>
        </w:rPr>
        <w:t>Board, members represented SLQ at conferences, library openings and other official functions throughout 201</w:t>
      </w:r>
      <w:r w:rsidR="008877D9" w:rsidRPr="00DE475B">
        <w:rPr>
          <w:rFonts w:ascii="Arial" w:hAnsi="Arial" w:cs="Arial"/>
          <w:sz w:val="20"/>
          <w:szCs w:val="20"/>
        </w:rPr>
        <w:t>6</w:t>
      </w:r>
      <w:r w:rsidR="00A27D69" w:rsidRPr="00DE475B">
        <w:rPr>
          <w:rFonts w:ascii="Arial" w:hAnsi="Arial" w:cs="Arial"/>
          <w:sz w:val="20"/>
          <w:szCs w:val="20"/>
        </w:rPr>
        <w:t>–1</w:t>
      </w:r>
      <w:r w:rsidR="008877D9" w:rsidRPr="00DE475B">
        <w:rPr>
          <w:rFonts w:ascii="Arial" w:hAnsi="Arial" w:cs="Arial"/>
          <w:sz w:val="20"/>
          <w:szCs w:val="20"/>
        </w:rPr>
        <w:t>7</w:t>
      </w:r>
      <w:r w:rsidRPr="00DE475B">
        <w:rPr>
          <w:rFonts w:ascii="Arial" w:hAnsi="Arial" w:cs="Arial"/>
          <w:sz w:val="20"/>
          <w:szCs w:val="20"/>
        </w:rPr>
        <w:t>.</w:t>
      </w:r>
    </w:p>
    <w:p w:rsidR="00D346B4" w:rsidRPr="00DE475B" w:rsidRDefault="00D346B4">
      <w:pPr>
        <w:spacing w:after="120"/>
        <w:rPr>
          <w:rFonts w:ascii="Arial" w:hAnsi="Arial" w:cs="Arial"/>
          <w:sz w:val="20"/>
          <w:szCs w:val="20"/>
        </w:rPr>
      </w:pPr>
      <w:r w:rsidRPr="00DE475B">
        <w:rPr>
          <w:rFonts w:ascii="Arial" w:hAnsi="Arial" w:cs="Arial"/>
          <w:sz w:val="20"/>
          <w:szCs w:val="20"/>
        </w:rPr>
        <w:t xml:space="preserve">One committee and two advisory groups advise and inform the </w:t>
      </w:r>
      <w:r w:rsidR="004B17A8">
        <w:rPr>
          <w:rFonts w:ascii="Arial" w:hAnsi="Arial" w:cs="Arial"/>
          <w:sz w:val="20"/>
          <w:szCs w:val="20"/>
        </w:rPr>
        <w:t xml:space="preserve">Library </w:t>
      </w:r>
      <w:r w:rsidRPr="00DE475B">
        <w:rPr>
          <w:rFonts w:ascii="Arial" w:hAnsi="Arial" w:cs="Arial"/>
          <w:sz w:val="20"/>
          <w:szCs w:val="20"/>
        </w:rPr>
        <w:t xml:space="preserve">Board on issues that arise within their brief. These bodies also act as important consultative mechanisms with the broader community. The members of the </w:t>
      </w:r>
      <w:r w:rsidR="004B17A8">
        <w:rPr>
          <w:rFonts w:ascii="Arial" w:hAnsi="Arial" w:cs="Arial"/>
          <w:sz w:val="20"/>
          <w:szCs w:val="20"/>
        </w:rPr>
        <w:t xml:space="preserve">Library </w:t>
      </w:r>
      <w:r w:rsidRPr="00DE475B">
        <w:rPr>
          <w:rFonts w:ascii="Arial" w:hAnsi="Arial" w:cs="Arial"/>
          <w:sz w:val="20"/>
          <w:szCs w:val="20"/>
        </w:rPr>
        <w:t>Board committee and advisory groups are listed in Appendix C.</w:t>
      </w:r>
    </w:p>
    <w:p w:rsidR="00D346B4" w:rsidRPr="00DE475B" w:rsidRDefault="00D346B4">
      <w:pPr>
        <w:spacing w:after="120"/>
        <w:rPr>
          <w:rFonts w:ascii="Arial" w:hAnsi="Arial" w:cs="Arial"/>
          <w:sz w:val="20"/>
          <w:szCs w:val="20"/>
        </w:rPr>
      </w:pPr>
      <w:r w:rsidRPr="00DE475B">
        <w:rPr>
          <w:rFonts w:ascii="Arial" w:hAnsi="Arial" w:cs="Arial"/>
          <w:sz w:val="20"/>
          <w:szCs w:val="20"/>
        </w:rPr>
        <w:t xml:space="preserve">The </w:t>
      </w:r>
      <w:r w:rsidR="004B17A8">
        <w:rPr>
          <w:rFonts w:ascii="Arial" w:hAnsi="Arial" w:cs="Arial"/>
          <w:sz w:val="20"/>
          <w:szCs w:val="20"/>
        </w:rPr>
        <w:t xml:space="preserve">Library </w:t>
      </w:r>
      <w:r w:rsidRPr="00DE475B">
        <w:rPr>
          <w:rFonts w:ascii="Arial" w:hAnsi="Arial" w:cs="Arial"/>
          <w:sz w:val="20"/>
          <w:szCs w:val="20"/>
        </w:rPr>
        <w:t>Board periodically meets outside B</w:t>
      </w:r>
      <w:r w:rsidR="00B72AD8" w:rsidRPr="00DE475B">
        <w:rPr>
          <w:rFonts w:ascii="Arial" w:hAnsi="Arial" w:cs="Arial"/>
          <w:sz w:val="20"/>
          <w:szCs w:val="20"/>
        </w:rPr>
        <w:t>risbane to stay informed about regional</w:t>
      </w:r>
      <w:r w:rsidRPr="00DE475B">
        <w:rPr>
          <w:rFonts w:ascii="Arial" w:hAnsi="Arial" w:cs="Arial"/>
          <w:sz w:val="20"/>
          <w:szCs w:val="20"/>
        </w:rPr>
        <w:t xml:space="preserve"> issues and to strengthen its relationsh</w:t>
      </w:r>
      <w:r w:rsidR="00436626" w:rsidRPr="00DE475B">
        <w:rPr>
          <w:rFonts w:ascii="Arial" w:hAnsi="Arial" w:cs="Arial"/>
          <w:sz w:val="20"/>
          <w:szCs w:val="20"/>
        </w:rPr>
        <w:t>ip with local g</w:t>
      </w:r>
      <w:r w:rsidRPr="00DE475B">
        <w:rPr>
          <w:rFonts w:ascii="Arial" w:hAnsi="Arial" w:cs="Arial"/>
          <w:sz w:val="20"/>
          <w:szCs w:val="20"/>
        </w:rPr>
        <w:t>overnment and the community.</w:t>
      </w:r>
    </w:p>
    <w:p w:rsidR="00D346B4" w:rsidRPr="00DE475B" w:rsidRDefault="00D346B4">
      <w:pPr>
        <w:spacing w:after="120"/>
        <w:rPr>
          <w:rFonts w:ascii="Arial" w:hAnsi="Arial" w:cs="Arial"/>
          <w:sz w:val="20"/>
          <w:szCs w:val="20"/>
        </w:rPr>
      </w:pPr>
      <w:r w:rsidRPr="00DE475B">
        <w:rPr>
          <w:rFonts w:ascii="Arial" w:hAnsi="Arial" w:cs="Arial"/>
          <w:sz w:val="20"/>
          <w:szCs w:val="20"/>
        </w:rPr>
        <w:t xml:space="preserve">Under section 7 of the </w:t>
      </w:r>
      <w:r w:rsidRPr="00DE475B">
        <w:rPr>
          <w:rFonts w:ascii="Arial" w:hAnsi="Arial" w:cs="Arial"/>
          <w:i/>
          <w:iCs/>
          <w:sz w:val="20"/>
          <w:szCs w:val="20"/>
        </w:rPr>
        <w:t>Libraries Act</w:t>
      </w:r>
      <w:r w:rsidRPr="00DE475B">
        <w:rPr>
          <w:rFonts w:ascii="Arial" w:hAnsi="Arial" w:cs="Arial"/>
          <w:sz w:val="20"/>
          <w:szCs w:val="20"/>
        </w:rPr>
        <w:t>, in appointing a</w:t>
      </w:r>
      <w:r w:rsidR="004B17A8">
        <w:rPr>
          <w:rFonts w:ascii="Arial" w:hAnsi="Arial" w:cs="Arial"/>
          <w:sz w:val="20"/>
          <w:szCs w:val="20"/>
        </w:rPr>
        <w:t xml:space="preserve"> Library </w:t>
      </w:r>
      <w:r w:rsidRPr="00DE475B">
        <w:rPr>
          <w:rFonts w:ascii="Arial" w:hAnsi="Arial" w:cs="Arial"/>
          <w:sz w:val="20"/>
          <w:szCs w:val="20"/>
        </w:rPr>
        <w:t xml:space="preserve">Board member, regard must be given to the person’s ability to </w:t>
      </w:r>
      <w:r w:rsidRPr="00DE475B">
        <w:rPr>
          <w:rFonts w:ascii="Arial" w:hAnsi="Arial" w:cs="Arial"/>
          <w:sz w:val="20"/>
          <w:szCs w:val="20"/>
        </w:rPr>
        <w:lastRenderedPageBreak/>
        <w:t xml:space="preserve">contribute to the </w:t>
      </w:r>
      <w:r w:rsidR="004B17A8">
        <w:rPr>
          <w:rFonts w:ascii="Arial" w:hAnsi="Arial" w:cs="Arial"/>
          <w:sz w:val="20"/>
          <w:szCs w:val="20"/>
        </w:rPr>
        <w:t xml:space="preserve">Library </w:t>
      </w:r>
      <w:r w:rsidRPr="00DE475B">
        <w:rPr>
          <w:rFonts w:ascii="Arial" w:hAnsi="Arial" w:cs="Arial"/>
          <w:sz w:val="20"/>
          <w:szCs w:val="20"/>
        </w:rPr>
        <w:t>Board’s performance and the implementation of its strategic and operational plans.</w:t>
      </w:r>
    </w:p>
    <w:p w:rsidR="00D346B4" w:rsidRPr="00DE475B" w:rsidRDefault="00D346B4">
      <w:pPr>
        <w:rPr>
          <w:rFonts w:ascii="Arial" w:hAnsi="Arial" w:cs="Arial"/>
          <w:sz w:val="16"/>
          <w:szCs w:val="16"/>
        </w:rPr>
      </w:pPr>
      <w:r w:rsidRPr="00DE475B">
        <w:rPr>
          <w:rFonts w:ascii="Arial" w:hAnsi="Arial" w:cs="Arial"/>
          <w:sz w:val="20"/>
          <w:szCs w:val="20"/>
        </w:rPr>
        <w:t xml:space="preserve">Under section 9 of the </w:t>
      </w:r>
      <w:r w:rsidRPr="00DE475B">
        <w:rPr>
          <w:rFonts w:ascii="Arial" w:hAnsi="Arial" w:cs="Arial"/>
          <w:i/>
          <w:iCs/>
          <w:sz w:val="20"/>
          <w:szCs w:val="20"/>
        </w:rPr>
        <w:t>Libraries Act</w:t>
      </w:r>
      <w:r w:rsidRPr="00DE475B">
        <w:rPr>
          <w:rFonts w:ascii="Arial" w:hAnsi="Arial" w:cs="Arial"/>
          <w:sz w:val="20"/>
          <w:szCs w:val="20"/>
        </w:rPr>
        <w:t xml:space="preserve">, a person is not eligible for appointment as a member if the person is not able to manage a corporation because of the </w:t>
      </w:r>
      <w:r w:rsidRPr="00DE475B">
        <w:rPr>
          <w:rFonts w:ascii="Arial" w:hAnsi="Arial" w:cs="Arial"/>
          <w:i/>
          <w:iCs/>
          <w:sz w:val="20"/>
          <w:szCs w:val="20"/>
        </w:rPr>
        <w:t>Corporations Act 2001</w:t>
      </w:r>
      <w:r w:rsidRPr="00DE475B">
        <w:rPr>
          <w:rFonts w:ascii="Arial" w:hAnsi="Arial" w:cs="Arial"/>
          <w:iCs/>
          <w:sz w:val="20"/>
          <w:szCs w:val="20"/>
        </w:rPr>
        <w:t>, Part 2D.6</w:t>
      </w:r>
      <w:r w:rsidRPr="00DE475B">
        <w:rPr>
          <w:rFonts w:ascii="Arial" w:hAnsi="Arial" w:cs="Arial"/>
          <w:sz w:val="20"/>
          <w:szCs w:val="20"/>
        </w:rPr>
        <w:t>.</w:t>
      </w:r>
    </w:p>
    <w:p w:rsidR="00D346B4" w:rsidRPr="00DE475B" w:rsidRDefault="00D346B4">
      <w:pPr>
        <w:rPr>
          <w:rFonts w:ascii="Arial" w:hAnsi="Arial" w:cs="Arial"/>
          <w:sz w:val="16"/>
          <w:szCs w:val="16"/>
        </w:rPr>
      </w:pPr>
    </w:p>
    <w:p w:rsidR="00D346B4" w:rsidRPr="00DE475B" w:rsidRDefault="00D346B4">
      <w:pPr>
        <w:rPr>
          <w:rFonts w:ascii="Arial" w:hAnsi="Arial" w:cs="Arial"/>
          <w:sz w:val="20"/>
          <w:szCs w:val="20"/>
          <w:shd w:val="clear" w:color="auto" w:fill="FFFF00"/>
        </w:rPr>
      </w:pPr>
      <w:r w:rsidRPr="00DE475B">
        <w:rPr>
          <w:rFonts w:ascii="Arial" w:hAnsi="Arial" w:cs="Arial"/>
          <w:b/>
          <w:bCs/>
          <w:sz w:val="20"/>
          <w:szCs w:val="20"/>
        </w:rPr>
        <w:t>B</w:t>
      </w:r>
      <w:r w:rsidR="00A27D69" w:rsidRPr="00DE475B">
        <w:rPr>
          <w:rFonts w:ascii="Arial" w:hAnsi="Arial" w:cs="Arial"/>
          <w:b/>
          <w:bCs/>
          <w:sz w:val="20"/>
          <w:szCs w:val="20"/>
        </w:rPr>
        <w:t>oard members and attendance</w:t>
      </w:r>
      <w:r w:rsidRPr="00DE475B">
        <w:rPr>
          <w:rFonts w:ascii="Arial" w:hAnsi="Arial" w:cs="Arial"/>
          <w:b/>
          <w:bCs/>
          <w:sz w:val="20"/>
          <w:szCs w:val="20"/>
        </w:rPr>
        <w:t xml:space="preserve">: </w:t>
      </w:r>
    </w:p>
    <w:p w:rsidR="003553B7" w:rsidRPr="00DE475B" w:rsidRDefault="00D346B4" w:rsidP="003553B7">
      <w:pPr>
        <w:spacing w:after="120"/>
        <w:rPr>
          <w:rFonts w:ascii="Arial" w:hAnsi="Arial" w:cs="Arial"/>
          <w:sz w:val="20"/>
          <w:szCs w:val="20"/>
        </w:rPr>
      </w:pPr>
      <w:r w:rsidRPr="00DE475B">
        <w:rPr>
          <w:rFonts w:ascii="Arial" w:hAnsi="Arial" w:cs="Arial"/>
          <w:sz w:val="20"/>
          <w:szCs w:val="20"/>
        </w:rPr>
        <w:t>In 201</w:t>
      </w:r>
      <w:r w:rsidR="008877D9" w:rsidRPr="00DE475B">
        <w:rPr>
          <w:rFonts w:ascii="Arial" w:hAnsi="Arial" w:cs="Arial"/>
          <w:sz w:val="20"/>
          <w:szCs w:val="20"/>
        </w:rPr>
        <w:t>6</w:t>
      </w:r>
      <w:r w:rsidR="00A27D69" w:rsidRPr="00DE475B">
        <w:rPr>
          <w:rFonts w:ascii="Arial" w:hAnsi="Arial" w:cs="Arial"/>
          <w:sz w:val="20"/>
          <w:szCs w:val="20"/>
        </w:rPr>
        <w:t>–1</w:t>
      </w:r>
      <w:r w:rsidR="008877D9" w:rsidRPr="00DE475B">
        <w:rPr>
          <w:rFonts w:ascii="Arial" w:hAnsi="Arial" w:cs="Arial"/>
          <w:sz w:val="20"/>
          <w:szCs w:val="20"/>
        </w:rPr>
        <w:t>7</w:t>
      </w:r>
      <w:r w:rsidRPr="00DE475B">
        <w:rPr>
          <w:rFonts w:ascii="Arial" w:hAnsi="Arial" w:cs="Arial"/>
          <w:sz w:val="20"/>
          <w:szCs w:val="20"/>
        </w:rPr>
        <w:t xml:space="preserve"> there were </w:t>
      </w:r>
      <w:r w:rsidR="00724E6B" w:rsidRPr="00DE475B">
        <w:rPr>
          <w:rFonts w:ascii="Arial" w:hAnsi="Arial" w:cs="Arial"/>
          <w:sz w:val="20"/>
          <w:szCs w:val="20"/>
        </w:rPr>
        <w:t>four</w:t>
      </w:r>
      <w:r w:rsidRPr="00DE475B">
        <w:rPr>
          <w:rFonts w:ascii="Arial" w:hAnsi="Arial" w:cs="Arial"/>
          <w:sz w:val="20"/>
          <w:szCs w:val="20"/>
        </w:rPr>
        <w:t xml:space="preserve"> </w:t>
      </w:r>
      <w:r w:rsidR="004B17A8">
        <w:rPr>
          <w:rFonts w:ascii="Arial" w:hAnsi="Arial" w:cs="Arial"/>
          <w:sz w:val="20"/>
          <w:szCs w:val="20"/>
        </w:rPr>
        <w:t xml:space="preserve">Library </w:t>
      </w:r>
      <w:r w:rsidRPr="00DE475B">
        <w:rPr>
          <w:rFonts w:ascii="Arial" w:hAnsi="Arial" w:cs="Arial"/>
          <w:sz w:val="20"/>
          <w:szCs w:val="20"/>
        </w:rPr>
        <w:t>Board meetings.</w:t>
      </w:r>
      <w:r w:rsidR="00F573AC" w:rsidRPr="00DE475B">
        <w:rPr>
          <w:rFonts w:ascii="Arial" w:hAnsi="Arial" w:cs="Arial"/>
          <w:sz w:val="20"/>
          <w:szCs w:val="20"/>
        </w:rPr>
        <w:t xml:space="preserve"> </w:t>
      </w:r>
      <w:r w:rsidR="003553B7" w:rsidRPr="00DE475B">
        <w:rPr>
          <w:rFonts w:ascii="Arial" w:hAnsi="Arial" w:cs="Arial"/>
          <w:sz w:val="20"/>
          <w:szCs w:val="20"/>
        </w:rPr>
        <w:t>The table on the following page outlines appointment terms and meeting attendance in 201</w:t>
      </w:r>
      <w:r w:rsidR="008877D9" w:rsidRPr="00DE475B">
        <w:rPr>
          <w:rFonts w:ascii="Arial" w:hAnsi="Arial" w:cs="Arial"/>
          <w:sz w:val="20"/>
          <w:szCs w:val="20"/>
        </w:rPr>
        <w:t>6</w:t>
      </w:r>
      <w:r w:rsidR="003553B7" w:rsidRPr="00DE475B">
        <w:rPr>
          <w:rFonts w:ascii="Arial" w:hAnsi="Arial" w:cs="Arial"/>
          <w:sz w:val="20"/>
          <w:szCs w:val="20"/>
        </w:rPr>
        <w:t>–1</w:t>
      </w:r>
      <w:r w:rsidR="008877D9" w:rsidRPr="00DE475B">
        <w:rPr>
          <w:rFonts w:ascii="Arial" w:hAnsi="Arial" w:cs="Arial"/>
          <w:sz w:val="20"/>
          <w:szCs w:val="20"/>
        </w:rPr>
        <w:t>7</w:t>
      </w:r>
      <w:r w:rsidR="003553B7" w:rsidRPr="00DE475B">
        <w:rPr>
          <w:rFonts w:ascii="Arial" w:hAnsi="Arial" w:cs="Arial"/>
          <w:sz w:val="20"/>
          <w:szCs w:val="20"/>
        </w:rPr>
        <w:t>.</w:t>
      </w:r>
    </w:p>
    <w:p w:rsidR="003553B7" w:rsidRPr="00DE475B" w:rsidRDefault="003553B7">
      <w:pPr>
        <w:rPr>
          <w:rFonts w:ascii="Arial" w:hAnsi="Arial" w:cs="Arial"/>
          <w:sz w:val="20"/>
          <w:szCs w:val="20"/>
        </w:rPr>
      </w:pPr>
      <w:r w:rsidRPr="00DE475B">
        <w:rPr>
          <w:rFonts w:ascii="Arial" w:hAnsi="Arial" w:cs="Arial"/>
          <w:sz w:val="20"/>
          <w:szCs w:val="20"/>
        </w:rPr>
        <w:t xml:space="preserve">All </w:t>
      </w:r>
      <w:r w:rsidR="004B17A8">
        <w:rPr>
          <w:rFonts w:ascii="Arial" w:hAnsi="Arial" w:cs="Arial"/>
          <w:sz w:val="20"/>
          <w:szCs w:val="20"/>
        </w:rPr>
        <w:t xml:space="preserve">current Library </w:t>
      </w:r>
      <w:r w:rsidRPr="00DE475B">
        <w:rPr>
          <w:rFonts w:ascii="Arial" w:hAnsi="Arial" w:cs="Arial"/>
          <w:sz w:val="20"/>
          <w:szCs w:val="20"/>
        </w:rPr>
        <w:t xml:space="preserve">Board members are appointed until </w:t>
      </w:r>
      <w:r w:rsidR="00724E6B" w:rsidRPr="00DE475B">
        <w:rPr>
          <w:rFonts w:ascii="Arial" w:hAnsi="Arial" w:cs="Arial"/>
          <w:sz w:val="20"/>
          <w:szCs w:val="20"/>
        </w:rPr>
        <w:t>9</w:t>
      </w:r>
      <w:r w:rsidRPr="00DE475B">
        <w:rPr>
          <w:rFonts w:ascii="Arial" w:hAnsi="Arial" w:cs="Arial"/>
          <w:sz w:val="20"/>
          <w:szCs w:val="20"/>
        </w:rPr>
        <w:t xml:space="preserve"> February 20</w:t>
      </w:r>
      <w:r w:rsidR="00724E6B" w:rsidRPr="00DE475B">
        <w:rPr>
          <w:rFonts w:ascii="Arial" w:hAnsi="Arial" w:cs="Arial"/>
          <w:sz w:val="20"/>
          <w:szCs w:val="20"/>
        </w:rPr>
        <w:t>20</w:t>
      </w:r>
      <w:r w:rsidRPr="00DE475B">
        <w:rPr>
          <w:rFonts w:ascii="Arial" w:hAnsi="Arial" w:cs="Arial"/>
          <w:sz w:val="20"/>
          <w:szCs w:val="20"/>
        </w:rPr>
        <w:t xml:space="preserve">. </w:t>
      </w:r>
      <w:r w:rsidR="00D346B4" w:rsidRPr="00DE475B">
        <w:rPr>
          <w:rFonts w:ascii="Arial" w:hAnsi="Arial" w:cs="Arial"/>
          <w:sz w:val="20"/>
          <w:szCs w:val="20"/>
        </w:rPr>
        <w:t xml:space="preserve">Biographies of </w:t>
      </w:r>
      <w:r w:rsidR="004B17A8">
        <w:rPr>
          <w:rFonts w:ascii="Arial" w:hAnsi="Arial" w:cs="Arial"/>
          <w:sz w:val="20"/>
          <w:szCs w:val="20"/>
        </w:rPr>
        <w:t xml:space="preserve">Library </w:t>
      </w:r>
      <w:r w:rsidR="00D346B4" w:rsidRPr="00DE475B">
        <w:rPr>
          <w:rFonts w:ascii="Arial" w:hAnsi="Arial" w:cs="Arial"/>
          <w:sz w:val="20"/>
          <w:szCs w:val="20"/>
        </w:rPr>
        <w:t>Board members are detailed in Appendix B.</w:t>
      </w:r>
    </w:p>
    <w:p w:rsidR="003553B7" w:rsidRPr="00DE475B" w:rsidRDefault="003553B7">
      <w:pPr>
        <w:rPr>
          <w:rFonts w:ascii="Arial" w:hAnsi="Arial" w:cs="Arial"/>
          <w:sz w:val="20"/>
          <w:szCs w:val="20"/>
        </w:rPr>
      </w:pPr>
    </w:p>
    <w:p w:rsidR="003553B7" w:rsidRPr="00DE475B" w:rsidRDefault="003553B7" w:rsidP="003553B7">
      <w:pPr>
        <w:autoSpaceDN w:val="0"/>
        <w:adjustRightInd w:val="0"/>
        <w:spacing w:after="40"/>
        <w:rPr>
          <w:rFonts w:ascii="Arial" w:hAnsi="Arial" w:cs="Arial"/>
          <w:b/>
          <w:bCs/>
          <w:color w:val="808080"/>
          <w:sz w:val="20"/>
          <w:szCs w:val="20"/>
        </w:rPr>
      </w:pPr>
      <w:r w:rsidRPr="00DE475B">
        <w:rPr>
          <w:rFonts w:ascii="Arial" w:hAnsi="Arial" w:cs="Arial"/>
          <w:b/>
          <w:bCs/>
          <w:color w:val="808080"/>
          <w:sz w:val="20"/>
          <w:szCs w:val="20"/>
        </w:rPr>
        <w:t>Observers</w:t>
      </w:r>
    </w:p>
    <w:p w:rsidR="003553B7" w:rsidRPr="00DE475B" w:rsidRDefault="003553B7" w:rsidP="003553B7">
      <w:pPr>
        <w:autoSpaceDN w:val="0"/>
        <w:adjustRightInd w:val="0"/>
        <w:spacing w:after="120"/>
        <w:rPr>
          <w:rFonts w:ascii="Arial" w:hAnsi="Arial" w:cs="Arial"/>
          <w:sz w:val="20"/>
          <w:szCs w:val="20"/>
        </w:rPr>
      </w:pPr>
      <w:r w:rsidRPr="00DE475B">
        <w:rPr>
          <w:rFonts w:ascii="Arial" w:hAnsi="Arial" w:cs="Arial"/>
          <w:sz w:val="20"/>
          <w:szCs w:val="20"/>
        </w:rPr>
        <w:t>The State Librarian</w:t>
      </w:r>
      <w:r w:rsidR="00D65AAC" w:rsidRPr="00DE475B">
        <w:rPr>
          <w:rFonts w:ascii="Arial" w:hAnsi="Arial" w:cs="Arial"/>
          <w:sz w:val="20"/>
          <w:szCs w:val="20"/>
        </w:rPr>
        <w:t xml:space="preserve"> </w:t>
      </w:r>
      <w:r w:rsidRPr="00DE475B">
        <w:rPr>
          <w:rFonts w:ascii="Arial" w:hAnsi="Arial" w:cs="Arial"/>
          <w:sz w:val="20"/>
          <w:szCs w:val="20"/>
        </w:rPr>
        <w:t xml:space="preserve">attends all meetings of the </w:t>
      </w:r>
      <w:r w:rsidR="004B17A8">
        <w:rPr>
          <w:rFonts w:ascii="Arial" w:hAnsi="Arial" w:cs="Arial"/>
          <w:sz w:val="20"/>
          <w:szCs w:val="20"/>
        </w:rPr>
        <w:t xml:space="preserve">Library </w:t>
      </w:r>
      <w:r w:rsidRPr="00DE475B">
        <w:rPr>
          <w:rFonts w:ascii="Arial" w:hAnsi="Arial" w:cs="Arial"/>
          <w:sz w:val="20"/>
          <w:szCs w:val="20"/>
        </w:rPr>
        <w:t xml:space="preserve">Board as an observer unless excused or precluded by the </w:t>
      </w:r>
      <w:r w:rsidR="004B17A8">
        <w:rPr>
          <w:rFonts w:ascii="Arial" w:hAnsi="Arial" w:cs="Arial"/>
          <w:sz w:val="20"/>
          <w:szCs w:val="20"/>
        </w:rPr>
        <w:t xml:space="preserve">Library </w:t>
      </w:r>
      <w:r w:rsidRPr="00DE475B">
        <w:rPr>
          <w:rFonts w:ascii="Arial" w:hAnsi="Arial" w:cs="Arial"/>
          <w:sz w:val="20"/>
          <w:szCs w:val="20"/>
        </w:rPr>
        <w:t xml:space="preserve">Board as per section 15 of the </w:t>
      </w:r>
      <w:r w:rsidRPr="00DE475B">
        <w:rPr>
          <w:rFonts w:ascii="Arial" w:hAnsi="Arial" w:cs="Arial"/>
          <w:i/>
          <w:iCs/>
          <w:sz w:val="20"/>
          <w:szCs w:val="20"/>
        </w:rPr>
        <w:t>Libraries Act</w:t>
      </w:r>
      <w:r w:rsidRPr="00DE475B">
        <w:rPr>
          <w:rFonts w:ascii="Arial" w:hAnsi="Arial" w:cs="Arial"/>
          <w:sz w:val="20"/>
          <w:szCs w:val="20"/>
        </w:rPr>
        <w:t>.</w:t>
      </w:r>
    </w:p>
    <w:p w:rsidR="00226665" w:rsidRPr="00DE475B" w:rsidRDefault="00424769" w:rsidP="00D50762">
      <w:pPr>
        <w:autoSpaceDN w:val="0"/>
        <w:adjustRightInd w:val="0"/>
        <w:spacing w:after="40"/>
        <w:rPr>
          <w:rFonts w:ascii="Arial" w:hAnsi="Arial" w:cs="Arial"/>
          <w:sz w:val="20"/>
          <w:szCs w:val="20"/>
        </w:rPr>
      </w:pPr>
      <w:r>
        <w:rPr>
          <w:rFonts w:ascii="Arial" w:hAnsi="Arial" w:cs="Arial"/>
          <w:sz w:val="20"/>
          <w:szCs w:val="20"/>
        </w:rPr>
        <w:t xml:space="preserve">Ms </w:t>
      </w:r>
      <w:r w:rsidR="00365274" w:rsidRPr="00DE475B">
        <w:rPr>
          <w:rFonts w:ascii="Arial" w:hAnsi="Arial" w:cs="Arial"/>
          <w:sz w:val="20"/>
          <w:szCs w:val="20"/>
        </w:rPr>
        <w:t>Sonia Cooper, State Librarian</w:t>
      </w:r>
      <w:r w:rsidR="00226665" w:rsidRPr="00DE475B">
        <w:rPr>
          <w:rFonts w:ascii="Arial" w:hAnsi="Arial" w:cs="Arial"/>
          <w:sz w:val="20"/>
          <w:szCs w:val="20"/>
        </w:rPr>
        <w:t xml:space="preserve"> (</w:t>
      </w:r>
      <w:r w:rsidR="008877D9" w:rsidRPr="00DE475B">
        <w:rPr>
          <w:rFonts w:ascii="Arial" w:hAnsi="Arial" w:cs="Arial"/>
          <w:sz w:val="20"/>
          <w:szCs w:val="20"/>
        </w:rPr>
        <w:t>until</w:t>
      </w:r>
      <w:r w:rsidR="00226665" w:rsidRPr="00DE475B">
        <w:rPr>
          <w:rFonts w:ascii="Arial" w:hAnsi="Arial" w:cs="Arial"/>
          <w:sz w:val="20"/>
          <w:szCs w:val="20"/>
        </w:rPr>
        <w:t xml:space="preserve"> </w:t>
      </w:r>
      <w:r w:rsidR="00A1324C" w:rsidRPr="00DE475B">
        <w:rPr>
          <w:rFonts w:ascii="Arial" w:hAnsi="Arial" w:cs="Arial"/>
          <w:sz w:val="20"/>
          <w:szCs w:val="20"/>
        </w:rPr>
        <w:t>September 2016</w:t>
      </w:r>
      <w:r w:rsidR="00226665" w:rsidRPr="00DE475B">
        <w:rPr>
          <w:rFonts w:ascii="Arial" w:hAnsi="Arial" w:cs="Arial"/>
          <w:sz w:val="20"/>
          <w:szCs w:val="20"/>
        </w:rPr>
        <w:t>)</w:t>
      </w:r>
    </w:p>
    <w:p w:rsidR="00A1324C" w:rsidRPr="00DE475B" w:rsidRDefault="00A1324C" w:rsidP="00A1324C">
      <w:pPr>
        <w:spacing w:after="40"/>
        <w:rPr>
          <w:rFonts w:ascii="Arial" w:hAnsi="Arial" w:cs="Arial"/>
          <w:sz w:val="16"/>
          <w:szCs w:val="16"/>
        </w:rPr>
      </w:pPr>
      <w:r w:rsidRPr="00DE475B">
        <w:rPr>
          <w:rFonts w:ascii="Arial" w:hAnsi="Arial" w:cs="Arial"/>
          <w:sz w:val="20"/>
          <w:szCs w:val="20"/>
        </w:rPr>
        <w:t>Ms Vicki McDonald</w:t>
      </w:r>
      <w:r w:rsidR="00424769">
        <w:rPr>
          <w:rFonts w:ascii="Arial" w:hAnsi="Arial" w:cs="Arial"/>
          <w:sz w:val="20"/>
          <w:szCs w:val="20"/>
        </w:rPr>
        <w:t>,</w:t>
      </w:r>
      <w:r w:rsidRPr="00DE475B">
        <w:rPr>
          <w:rFonts w:ascii="Arial" w:hAnsi="Arial" w:cs="Arial"/>
          <w:sz w:val="20"/>
          <w:szCs w:val="20"/>
        </w:rPr>
        <w:t xml:space="preserve"> State Librarian</w:t>
      </w:r>
      <w:r w:rsidR="00424769">
        <w:rPr>
          <w:rFonts w:ascii="Arial" w:hAnsi="Arial" w:cs="Arial"/>
          <w:sz w:val="20"/>
          <w:szCs w:val="20"/>
        </w:rPr>
        <w:t xml:space="preserve"> (</w:t>
      </w:r>
      <w:r w:rsidRPr="00DE475B">
        <w:rPr>
          <w:rFonts w:ascii="Arial" w:hAnsi="Arial" w:cs="Arial"/>
          <w:sz w:val="20"/>
          <w:szCs w:val="20"/>
        </w:rPr>
        <w:t>from September 2016)</w:t>
      </w:r>
    </w:p>
    <w:p w:rsidR="000A1390" w:rsidRPr="00DE475B" w:rsidRDefault="000A1390" w:rsidP="00D50762">
      <w:pPr>
        <w:autoSpaceDN w:val="0"/>
        <w:adjustRightInd w:val="0"/>
        <w:spacing w:after="40"/>
        <w:rPr>
          <w:rFonts w:ascii="Arial" w:hAnsi="Arial" w:cs="Arial"/>
          <w:sz w:val="20"/>
          <w:szCs w:val="20"/>
        </w:rPr>
      </w:pPr>
      <w:r w:rsidRPr="00DE475B">
        <w:rPr>
          <w:rFonts w:ascii="Arial" w:hAnsi="Arial" w:cs="Arial"/>
          <w:sz w:val="20"/>
          <w:szCs w:val="20"/>
        </w:rPr>
        <w:t>Mr Andrew Spina, Assistant Director</w:t>
      </w:r>
      <w:r w:rsidR="005741EE">
        <w:rPr>
          <w:rFonts w:ascii="Arial" w:hAnsi="Arial" w:cs="Arial"/>
          <w:sz w:val="20"/>
          <w:szCs w:val="20"/>
        </w:rPr>
        <w:t>-</w:t>
      </w:r>
      <w:r w:rsidRPr="00DE475B">
        <w:rPr>
          <w:rFonts w:ascii="Arial" w:hAnsi="Arial" w:cs="Arial"/>
          <w:sz w:val="20"/>
          <w:szCs w:val="20"/>
        </w:rPr>
        <w:t>General</w:t>
      </w:r>
      <w:r w:rsidR="005741EE">
        <w:rPr>
          <w:rFonts w:ascii="Arial" w:hAnsi="Arial" w:cs="Arial"/>
          <w:sz w:val="20"/>
          <w:szCs w:val="20"/>
        </w:rPr>
        <w:t>,</w:t>
      </w:r>
      <w:r w:rsidRPr="00DE475B">
        <w:rPr>
          <w:rFonts w:ascii="Arial" w:hAnsi="Arial" w:cs="Arial"/>
          <w:sz w:val="20"/>
          <w:szCs w:val="20"/>
        </w:rPr>
        <w:t xml:space="preserve"> Digital Productivity and Services Division, </w:t>
      </w:r>
      <w:r w:rsidR="00231D83" w:rsidRPr="00DE475B">
        <w:rPr>
          <w:rFonts w:ascii="Arial" w:hAnsi="Arial" w:cs="Arial"/>
          <w:sz w:val="20"/>
          <w:szCs w:val="20"/>
        </w:rPr>
        <w:t xml:space="preserve">Department of Science, Information Technology and Innovation </w:t>
      </w:r>
      <w:r w:rsidR="00424769">
        <w:rPr>
          <w:rFonts w:ascii="Arial" w:hAnsi="Arial" w:cs="Arial"/>
          <w:sz w:val="20"/>
          <w:szCs w:val="20"/>
        </w:rPr>
        <w:t>(</w:t>
      </w:r>
      <w:r w:rsidRPr="00DE475B">
        <w:rPr>
          <w:rFonts w:ascii="Arial" w:hAnsi="Arial" w:cs="Arial"/>
          <w:sz w:val="20"/>
          <w:szCs w:val="20"/>
        </w:rPr>
        <w:t>observer</w:t>
      </w:r>
      <w:r w:rsidR="00DE3BB7" w:rsidRPr="00DE475B">
        <w:rPr>
          <w:rFonts w:ascii="Arial" w:hAnsi="Arial" w:cs="Arial"/>
          <w:sz w:val="20"/>
          <w:szCs w:val="20"/>
        </w:rPr>
        <w:t>)</w:t>
      </w:r>
    </w:p>
    <w:p w:rsidR="0048499C" w:rsidRPr="00DE475B" w:rsidRDefault="0048499C" w:rsidP="00D50762">
      <w:pPr>
        <w:autoSpaceDN w:val="0"/>
        <w:adjustRightInd w:val="0"/>
        <w:spacing w:after="40"/>
        <w:rPr>
          <w:rFonts w:ascii="Arial" w:hAnsi="Arial" w:cs="Arial"/>
          <w:sz w:val="20"/>
          <w:szCs w:val="20"/>
        </w:rPr>
      </w:pPr>
    </w:p>
    <w:p w:rsidR="000A1390" w:rsidRPr="00DE475B" w:rsidRDefault="000A1390" w:rsidP="0048499C">
      <w:pPr>
        <w:autoSpaceDN w:val="0"/>
        <w:adjustRightInd w:val="0"/>
        <w:rPr>
          <w:rFonts w:ascii="Arial" w:hAnsi="Arial" w:cs="Arial"/>
          <w:b/>
          <w:bCs/>
          <w:color w:val="808080"/>
          <w:sz w:val="20"/>
          <w:szCs w:val="20"/>
        </w:rPr>
      </w:pPr>
      <w:r w:rsidRPr="00DE475B">
        <w:rPr>
          <w:rFonts w:ascii="Arial" w:hAnsi="Arial" w:cs="Arial"/>
          <w:b/>
          <w:bCs/>
          <w:color w:val="808080"/>
          <w:sz w:val="20"/>
          <w:szCs w:val="20"/>
        </w:rPr>
        <w:t>Secretariat</w:t>
      </w:r>
    </w:p>
    <w:p w:rsidR="00226665" w:rsidRPr="00DE475B" w:rsidRDefault="00226665" w:rsidP="000C724D">
      <w:pPr>
        <w:autoSpaceDN w:val="0"/>
        <w:adjustRightInd w:val="0"/>
        <w:spacing w:after="40"/>
        <w:rPr>
          <w:rFonts w:ascii="Arial" w:hAnsi="Arial" w:cs="Arial"/>
          <w:sz w:val="20"/>
          <w:szCs w:val="20"/>
        </w:rPr>
      </w:pPr>
      <w:r w:rsidRPr="00DE475B">
        <w:rPr>
          <w:rFonts w:ascii="Arial" w:hAnsi="Arial" w:cs="Arial"/>
          <w:sz w:val="20"/>
          <w:szCs w:val="20"/>
        </w:rPr>
        <w:t>Vanessa McCormack, Acting Manager Office of State Librarian (</w:t>
      </w:r>
      <w:r w:rsidR="008877D9" w:rsidRPr="00DE475B">
        <w:rPr>
          <w:rFonts w:ascii="Arial" w:hAnsi="Arial" w:cs="Arial"/>
          <w:sz w:val="20"/>
          <w:szCs w:val="20"/>
        </w:rPr>
        <w:t xml:space="preserve">until </w:t>
      </w:r>
      <w:r w:rsidR="000E0ADF" w:rsidRPr="00DE475B">
        <w:rPr>
          <w:rFonts w:ascii="Arial" w:hAnsi="Arial" w:cs="Arial"/>
          <w:sz w:val="20"/>
          <w:szCs w:val="20"/>
        </w:rPr>
        <w:t>August 2016</w:t>
      </w:r>
      <w:r w:rsidRPr="00DE475B">
        <w:rPr>
          <w:rFonts w:ascii="Arial" w:hAnsi="Arial" w:cs="Arial"/>
          <w:sz w:val="20"/>
          <w:szCs w:val="20"/>
        </w:rPr>
        <w:t>)</w:t>
      </w:r>
    </w:p>
    <w:p w:rsidR="00D50762" w:rsidRPr="00DE475B" w:rsidRDefault="000E0ADF" w:rsidP="0068074F">
      <w:pPr>
        <w:autoSpaceDN w:val="0"/>
        <w:adjustRightInd w:val="0"/>
        <w:rPr>
          <w:rFonts w:ascii="Arial" w:hAnsi="Arial" w:cs="Arial"/>
          <w:sz w:val="20"/>
          <w:szCs w:val="20"/>
        </w:rPr>
      </w:pPr>
      <w:r w:rsidRPr="00DE475B">
        <w:rPr>
          <w:rFonts w:ascii="Arial" w:hAnsi="Arial" w:cs="Arial"/>
          <w:sz w:val="20"/>
          <w:szCs w:val="20"/>
        </w:rPr>
        <w:t>Ms Jennifer Genrich</w:t>
      </w:r>
      <w:r w:rsidR="008877D9" w:rsidRPr="00DE475B">
        <w:rPr>
          <w:rFonts w:ascii="Arial" w:hAnsi="Arial" w:cs="Arial"/>
          <w:sz w:val="20"/>
          <w:szCs w:val="20"/>
        </w:rPr>
        <w:t xml:space="preserve">, </w:t>
      </w:r>
      <w:r w:rsidRPr="00DE475B">
        <w:rPr>
          <w:rFonts w:ascii="Arial" w:hAnsi="Arial" w:cs="Arial"/>
          <w:sz w:val="20"/>
          <w:szCs w:val="20"/>
        </w:rPr>
        <w:t>Manager</w:t>
      </w:r>
      <w:r w:rsidR="008877D9" w:rsidRPr="00DE475B">
        <w:rPr>
          <w:rFonts w:ascii="Arial" w:hAnsi="Arial" w:cs="Arial"/>
          <w:sz w:val="20"/>
          <w:szCs w:val="20"/>
        </w:rPr>
        <w:t xml:space="preserve"> Office of State Librarian (from </w:t>
      </w:r>
      <w:r w:rsidRPr="00DE475B">
        <w:rPr>
          <w:rFonts w:ascii="Arial" w:hAnsi="Arial" w:cs="Arial"/>
          <w:sz w:val="20"/>
          <w:szCs w:val="20"/>
        </w:rPr>
        <w:t>August 2016</w:t>
      </w:r>
      <w:r w:rsidR="008877D9" w:rsidRPr="00DE475B">
        <w:rPr>
          <w:rFonts w:ascii="Arial" w:hAnsi="Arial" w:cs="Arial"/>
          <w:sz w:val="20"/>
          <w:szCs w:val="20"/>
        </w:rPr>
        <w:t>)</w:t>
      </w:r>
    </w:p>
    <w:p w:rsidR="0068074F" w:rsidRPr="00DE475B" w:rsidRDefault="0068074F" w:rsidP="0084545C">
      <w:pPr>
        <w:autoSpaceDN w:val="0"/>
        <w:adjustRightInd w:val="0"/>
        <w:rPr>
          <w:rFonts w:ascii="Arial" w:hAnsi="Arial" w:cs="Arial"/>
          <w:sz w:val="20"/>
          <w:szCs w:val="20"/>
        </w:rPr>
      </w:pPr>
    </w:p>
    <w:p w:rsidR="00611F33" w:rsidRDefault="00611F33">
      <w:pPr>
        <w:suppressAutoHyphens w:val="0"/>
        <w:autoSpaceDE/>
        <w:rPr>
          <w:rFonts w:ascii="Arial" w:hAnsi="Arial" w:cs="Arial"/>
          <w:sz w:val="20"/>
          <w:szCs w:val="20"/>
        </w:rPr>
      </w:pPr>
      <w:r>
        <w:rPr>
          <w:rFonts w:ascii="Arial" w:hAnsi="Arial" w:cs="Arial"/>
          <w:sz w:val="20"/>
          <w:szCs w:val="20"/>
        </w:rPr>
        <w:br w:type="page"/>
      </w:r>
    </w:p>
    <w:p w:rsidR="00226665" w:rsidRPr="00DE475B" w:rsidRDefault="00226665" w:rsidP="0084545C">
      <w:pPr>
        <w:autoSpaceDN w:val="0"/>
        <w:adjustRightInd w:val="0"/>
        <w:rPr>
          <w:rFonts w:ascii="Arial" w:hAnsi="Arial" w:cs="Arial"/>
          <w:sz w:val="20"/>
          <w:szCs w:val="20"/>
        </w:rPr>
      </w:pPr>
    </w:p>
    <w:p w:rsidR="00D93780" w:rsidRPr="00DE475B" w:rsidRDefault="00D93780" w:rsidP="003553B7">
      <w:pPr>
        <w:rPr>
          <w:rFonts w:ascii="Arial" w:hAnsi="Arial" w:cs="Arial"/>
          <w:sz w:val="20"/>
          <w:szCs w:val="20"/>
        </w:rPr>
        <w:sectPr w:rsidR="00D93780" w:rsidRPr="00DE475B" w:rsidSect="00B53922">
          <w:type w:val="continuous"/>
          <w:pgSz w:w="11906" w:h="16838"/>
          <w:pgMar w:top="1440" w:right="1701" w:bottom="1440" w:left="1701" w:header="709" w:footer="709" w:gutter="0"/>
          <w:cols w:num="2" w:space="567"/>
          <w:docGrid w:linePitch="360"/>
        </w:sectPr>
      </w:pPr>
    </w:p>
    <w:p w:rsidR="00D93780" w:rsidRPr="00DE475B" w:rsidRDefault="00D93780">
      <w:pPr>
        <w:rPr>
          <w:rFonts w:ascii="Arial" w:hAnsi="Arial" w:cs="Arial"/>
          <w:sz w:val="20"/>
          <w:szCs w:val="20"/>
        </w:rPr>
      </w:pPr>
    </w:p>
    <w:p w:rsidR="00D93780" w:rsidRPr="00DE475B" w:rsidRDefault="00D93780">
      <w:pPr>
        <w:rPr>
          <w:rFonts w:ascii="Arial" w:hAnsi="Arial" w:cs="Arial"/>
          <w:sz w:val="20"/>
          <w:szCs w:val="20"/>
        </w:rPr>
        <w:sectPr w:rsidR="00D93780" w:rsidRPr="00DE475B" w:rsidSect="00B53922">
          <w:type w:val="continuous"/>
          <w:pgSz w:w="11906" w:h="16838"/>
          <w:pgMar w:top="1440" w:right="1701" w:bottom="1440" w:left="1701" w:header="709" w:footer="709" w:gutter="0"/>
          <w:cols w:space="567"/>
          <w:docGrid w:linePitch="360"/>
        </w:sectPr>
      </w:pPr>
    </w:p>
    <w:tbl>
      <w:tblPr>
        <w:tblpPr w:leftFromText="180" w:rightFromText="180" w:vertAnchor="text" w:horzAnchor="margin" w:tblpY="-48"/>
        <w:tblW w:w="9010" w:type="dxa"/>
        <w:tblLayout w:type="fixed"/>
        <w:tblCellMar>
          <w:top w:w="57" w:type="dxa"/>
          <w:bottom w:w="57" w:type="dxa"/>
        </w:tblCellMar>
        <w:tblLook w:val="0000" w:firstRow="0" w:lastRow="0" w:firstColumn="0" w:lastColumn="0" w:noHBand="0" w:noVBand="0"/>
      </w:tblPr>
      <w:tblGrid>
        <w:gridCol w:w="3369"/>
        <w:gridCol w:w="1701"/>
        <w:gridCol w:w="1701"/>
        <w:gridCol w:w="1134"/>
        <w:gridCol w:w="1105"/>
      </w:tblGrid>
      <w:tr w:rsidR="00F573AC" w:rsidRPr="00DE475B" w:rsidTr="007C50DC">
        <w:tc>
          <w:tcPr>
            <w:tcW w:w="3369" w:type="dxa"/>
            <w:shd w:val="clear" w:color="auto" w:fill="CCCCCC"/>
          </w:tcPr>
          <w:p w:rsidR="00F573AC" w:rsidRPr="00DE475B" w:rsidRDefault="00F573AC" w:rsidP="00F573AC">
            <w:pPr>
              <w:jc w:val="right"/>
              <w:rPr>
                <w:rFonts w:ascii="Arial" w:hAnsi="Arial" w:cs="Arial"/>
                <w:sz w:val="20"/>
                <w:szCs w:val="20"/>
              </w:rPr>
            </w:pPr>
          </w:p>
        </w:tc>
        <w:tc>
          <w:tcPr>
            <w:tcW w:w="1701" w:type="dxa"/>
            <w:shd w:val="clear" w:color="auto" w:fill="CCCCCC"/>
            <w:vAlign w:val="center"/>
          </w:tcPr>
          <w:p w:rsidR="00F573AC" w:rsidRPr="00DE475B" w:rsidRDefault="00F573AC" w:rsidP="00F573AC">
            <w:pPr>
              <w:rPr>
                <w:rFonts w:ascii="Arial" w:hAnsi="Arial" w:cs="Arial"/>
                <w:b/>
                <w:sz w:val="20"/>
                <w:szCs w:val="20"/>
              </w:rPr>
            </w:pPr>
            <w:r w:rsidRPr="00DE475B">
              <w:rPr>
                <w:rFonts w:ascii="Arial" w:hAnsi="Arial" w:cs="Arial"/>
                <w:b/>
                <w:sz w:val="20"/>
                <w:szCs w:val="20"/>
              </w:rPr>
              <w:t>Member from:</w:t>
            </w:r>
          </w:p>
        </w:tc>
        <w:tc>
          <w:tcPr>
            <w:tcW w:w="1701" w:type="dxa"/>
            <w:shd w:val="clear" w:color="auto" w:fill="CCCCCC"/>
            <w:vAlign w:val="center"/>
          </w:tcPr>
          <w:p w:rsidR="00F573AC" w:rsidRPr="00DE475B" w:rsidRDefault="00F573AC" w:rsidP="00F573AC">
            <w:pPr>
              <w:rPr>
                <w:rFonts w:ascii="Arial" w:hAnsi="Arial" w:cs="Arial"/>
                <w:b/>
                <w:sz w:val="20"/>
                <w:szCs w:val="20"/>
              </w:rPr>
            </w:pPr>
            <w:r w:rsidRPr="00DE475B">
              <w:rPr>
                <w:rFonts w:ascii="Arial" w:hAnsi="Arial" w:cs="Arial"/>
                <w:b/>
                <w:sz w:val="20"/>
                <w:szCs w:val="20"/>
              </w:rPr>
              <w:t xml:space="preserve">Member to: </w:t>
            </w:r>
          </w:p>
        </w:tc>
        <w:tc>
          <w:tcPr>
            <w:tcW w:w="1134" w:type="dxa"/>
            <w:shd w:val="clear" w:color="auto" w:fill="CCCCCC"/>
            <w:vAlign w:val="center"/>
          </w:tcPr>
          <w:p w:rsidR="00F573AC" w:rsidRPr="00DE475B" w:rsidRDefault="00F573AC" w:rsidP="007C50DC">
            <w:pPr>
              <w:rPr>
                <w:rFonts w:ascii="Arial" w:hAnsi="Arial" w:cs="Arial"/>
                <w:b/>
                <w:sz w:val="20"/>
                <w:szCs w:val="20"/>
              </w:rPr>
            </w:pPr>
            <w:r w:rsidRPr="00DE475B">
              <w:rPr>
                <w:rFonts w:ascii="Arial" w:hAnsi="Arial" w:cs="Arial"/>
                <w:b/>
                <w:sz w:val="20"/>
                <w:szCs w:val="20"/>
              </w:rPr>
              <w:t>Eligible meetings 201</w:t>
            </w:r>
            <w:r w:rsidR="007C50DC" w:rsidRPr="00DE475B">
              <w:rPr>
                <w:rFonts w:ascii="Arial" w:hAnsi="Arial" w:cs="Arial"/>
                <w:b/>
                <w:sz w:val="20"/>
                <w:szCs w:val="20"/>
              </w:rPr>
              <w:t>6</w:t>
            </w:r>
            <w:r w:rsidRPr="00DE475B">
              <w:rPr>
                <w:rFonts w:ascii="Arial" w:hAnsi="Arial" w:cs="Arial"/>
                <w:b/>
                <w:sz w:val="20"/>
                <w:szCs w:val="20"/>
              </w:rPr>
              <w:t>–1</w:t>
            </w:r>
            <w:r w:rsidR="007C50DC" w:rsidRPr="00DE475B">
              <w:rPr>
                <w:rFonts w:ascii="Arial" w:hAnsi="Arial" w:cs="Arial"/>
                <w:b/>
                <w:sz w:val="20"/>
                <w:szCs w:val="20"/>
              </w:rPr>
              <w:t>7</w:t>
            </w:r>
            <w:r w:rsidRPr="00DE475B">
              <w:rPr>
                <w:rFonts w:ascii="Arial" w:hAnsi="Arial" w:cs="Arial"/>
                <w:b/>
                <w:sz w:val="20"/>
                <w:szCs w:val="20"/>
              </w:rPr>
              <w:t>:</w:t>
            </w:r>
          </w:p>
        </w:tc>
        <w:tc>
          <w:tcPr>
            <w:tcW w:w="1105" w:type="dxa"/>
            <w:shd w:val="clear" w:color="auto" w:fill="CCCCCC"/>
            <w:vAlign w:val="center"/>
          </w:tcPr>
          <w:p w:rsidR="00F573AC" w:rsidRPr="00DE475B" w:rsidRDefault="007C50DC" w:rsidP="007C50DC">
            <w:pPr>
              <w:rPr>
                <w:rFonts w:ascii="Arial" w:hAnsi="Arial" w:cs="Arial"/>
                <w:b/>
                <w:sz w:val="20"/>
                <w:szCs w:val="20"/>
                <w:shd w:val="clear" w:color="auto" w:fill="FFFF00"/>
              </w:rPr>
            </w:pPr>
            <w:r w:rsidRPr="00DE475B">
              <w:rPr>
                <w:rFonts w:ascii="Arial" w:hAnsi="Arial" w:cs="Arial"/>
                <w:b/>
                <w:sz w:val="20"/>
                <w:szCs w:val="20"/>
              </w:rPr>
              <w:t>Attended meetings 2016</w:t>
            </w:r>
            <w:r w:rsidR="00F573AC" w:rsidRPr="00DE475B">
              <w:rPr>
                <w:rFonts w:ascii="Arial" w:hAnsi="Arial" w:cs="Arial"/>
                <w:b/>
                <w:sz w:val="20"/>
                <w:szCs w:val="20"/>
              </w:rPr>
              <w:t>–1</w:t>
            </w:r>
            <w:r w:rsidRPr="00DE475B">
              <w:rPr>
                <w:rFonts w:ascii="Arial" w:hAnsi="Arial" w:cs="Arial"/>
                <w:b/>
                <w:sz w:val="20"/>
                <w:szCs w:val="20"/>
              </w:rPr>
              <w:t>7</w:t>
            </w:r>
            <w:r w:rsidR="00F573AC" w:rsidRPr="00DE475B">
              <w:rPr>
                <w:rFonts w:ascii="Arial" w:hAnsi="Arial" w:cs="Arial"/>
                <w:b/>
                <w:sz w:val="20"/>
                <w:szCs w:val="20"/>
              </w:rPr>
              <w:t>:</w:t>
            </w:r>
          </w:p>
        </w:tc>
      </w:tr>
      <w:tr w:rsidR="00F573AC" w:rsidRPr="00DE475B" w:rsidTr="008123A0">
        <w:tc>
          <w:tcPr>
            <w:tcW w:w="3369" w:type="dxa"/>
            <w:tcBorders>
              <w:bottom w:val="single" w:sz="6" w:space="0" w:color="000000"/>
            </w:tcBorders>
            <w:shd w:val="clear" w:color="auto" w:fill="auto"/>
          </w:tcPr>
          <w:p w:rsidR="00F573AC" w:rsidRPr="00DE475B" w:rsidRDefault="00F573AC" w:rsidP="00F573AC">
            <w:pPr>
              <w:rPr>
                <w:rFonts w:ascii="Arial" w:hAnsi="Arial" w:cs="Arial"/>
                <w:sz w:val="20"/>
                <w:szCs w:val="20"/>
              </w:rPr>
            </w:pPr>
            <w:r w:rsidRPr="00DE475B">
              <w:rPr>
                <w:rFonts w:ascii="Arial" w:hAnsi="Arial" w:cs="Arial"/>
                <w:sz w:val="20"/>
                <w:szCs w:val="20"/>
              </w:rPr>
              <w:t>Professor Jan Thomas</w:t>
            </w:r>
          </w:p>
          <w:p w:rsidR="00F573AC" w:rsidRPr="00DE475B" w:rsidRDefault="00F573AC" w:rsidP="00F573AC">
            <w:pPr>
              <w:rPr>
                <w:rFonts w:ascii="Arial" w:hAnsi="Arial" w:cs="Arial"/>
                <w:sz w:val="20"/>
                <w:szCs w:val="20"/>
              </w:rPr>
            </w:pPr>
            <w:r w:rsidRPr="00DE475B">
              <w:rPr>
                <w:rFonts w:ascii="Arial" w:hAnsi="Arial" w:cs="Arial"/>
                <w:sz w:val="20"/>
                <w:szCs w:val="20"/>
              </w:rPr>
              <w:t>(Chairperson</w:t>
            </w:r>
            <w:r w:rsidR="008877D9" w:rsidRPr="00DE475B">
              <w:rPr>
                <w:rFonts w:ascii="Arial" w:hAnsi="Arial" w:cs="Arial"/>
                <w:sz w:val="20"/>
                <w:szCs w:val="20"/>
              </w:rPr>
              <w:t xml:space="preserve"> until February 2017</w:t>
            </w:r>
            <w:r w:rsidRPr="00DE475B">
              <w:rPr>
                <w:rFonts w:ascii="Arial" w:hAnsi="Arial" w:cs="Arial"/>
                <w:sz w:val="20"/>
                <w:szCs w:val="20"/>
              </w:rPr>
              <w:t>)</w:t>
            </w:r>
          </w:p>
        </w:tc>
        <w:tc>
          <w:tcPr>
            <w:tcW w:w="1701" w:type="dxa"/>
            <w:tcBorders>
              <w:bottom w:val="single" w:sz="6" w:space="0" w:color="000000"/>
            </w:tcBorders>
            <w:vAlign w:val="center"/>
          </w:tcPr>
          <w:p w:rsidR="00F573AC" w:rsidRPr="00DE475B" w:rsidRDefault="00F573AC" w:rsidP="00F573AC">
            <w:pPr>
              <w:jc w:val="center"/>
              <w:rPr>
                <w:rFonts w:ascii="Arial" w:hAnsi="Arial" w:cs="Arial"/>
                <w:sz w:val="20"/>
                <w:szCs w:val="20"/>
              </w:rPr>
            </w:pPr>
            <w:r w:rsidRPr="00DE475B">
              <w:rPr>
                <w:rFonts w:ascii="Arial" w:hAnsi="Arial" w:cs="Arial"/>
                <w:sz w:val="20"/>
                <w:szCs w:val="20"/>
              </w:rPr>
              <w:t>March 2014</w:t>
            </w:r>
          </w:p>
        </w:tc>
        <w:tc>
          <w:tcPr>
            <w:tcW w:w="1701" w:type="dxa"/>
            <w:tcBorders>
              <w:bottom w:val="single" w:sz="6" w:space="0" w:color="000000"/>
            </w:tcBorders>
            <w:vAlign w:val="center"/>
          </w:tcPr>
          <w:p w:rsidR="00F573AC" w:rsidRPr="00DE475B" w:rsidRDefault="008877D9" w:rsidP="008123A0">
            <w:pPr>
              <w:jc w:val="center"/>
              <w:rPr>
                <w:rFonts w:ascii="Arial" w:hAnsi="Arial" w:cs="Arial"/>
                <w:sz w:val="20"/>
                <w:szCs w:val="20"/>
              </w:rPr>
            </w:pPr>
            <w:r w:rsidRPr="00DE475B">
              <w:rPr>
                <w:rFonts w:ascii="Arial" w:hAnsi="Arial" w:cs="Arial"/>
                <w:sz w:val="20"/>
                <w:szCs w:val="20"/>
              </w:rPr>
              <w:t>February 2017</w:t>
            </w:r>
          </w:p>
        </w:tc>
        <w:tc>
          <w:tcPr>
            <w:tcW w:w="1134" w:type="dxa"/>
            <w:tcBorders>
              <w:bottom w:val="single" w:sz="6" w:space="0" w:color="000000"/>
            </w:tcBorders>
            <w:shd w:val="clear" w:color="auto" w:fill="auto"/>
            <w:vAlign w:val="center"/>
          </w:tcPr>
          <w:p w:rsidR="00F573AC" w:rsidRPr="00DE475B" w:rsidRDefault="000E0ADF" w:rsidP="00F573AC">
            <w:pPr>
              <w:jc w:val="center"/>
              <w:rPr>
                <w:rFonts w:ascii="Arial" w:hAnsi="Arial" w:cs="Arial"/>
                <w:sz w:val="20"/>
                <w:szCs w:val="20"/>
              </w:rPr>
            </w:pPr>
            <w:r w:rsidRPr="00DE475B">
              <w:rPr>
                <w:rFonts w:ascii="Arial" w:hAnsi="Arial" w:cs="Arial"/>
                <w:sz w:val="20"/>
                <w:szCs w:val="20"/>
              </w:rPr>
              <w:t>3</w:t>
            </w:r>
          </w:p>
        </w:tc>
        <w:tc>
          <w:tcPr>
            <w:tcW w:w="1105" w:type="dxa"/>
            <w:tcBorders>
              <w:bottom w:val="single" w:sz="6" w:space="0" w:color="000000"/>
            </w:tcBorders>
            <w:shd w:val="clear" w:color="auto" w:fill="auto"/>
            <w:vAlign w:val="center"/>
          </w:tcPr>
          <w:p w:rsidR="00F573AC" w:rsidRPr="00DE475B" w:rsidRDefault="000E0ADF" w:rsidP="00F573AC">
            <w:pPr>
              <w:jc w:val="center"/>
              <w:rPr>
                <w:rFonts w:ascii="Arial" w:hAnsi="Arial" w:cs="Arial"/>
                <w:sz w:val="20"/>
                <w:szCs w:val="20"/>
              </w:rPr>
            </w:pPr>
            <w:r w:rsidRPr="00DE475B">
              <w:rPr>
                <w:rFonts w:ascii="Arial" w:hAnsi="Arial" w:cs="Arial"/>
                <w:sz w:val="20"/>
                <w:szCs w:val="20"/>
              </w:rPr>
              <w:t>2</w:t>
            </w:r>
          </w:p>
        </w:tc>
      </w:tr>
      <w:tr w:rsidR="00CA0244" w:rsidRPr="00DE475B" w:rsidTr="008123A0">
        <w:tc>
          <w:tcPr>
            <w:tcW w:w="3369" w:type="dxa"/>
            <w:tcBorders>
              <w:top w:val="single" w:sz="6" w:space="0" w:color="000000"/>
              <w:bottom w:val="single" w:sz="6" w:space="0" w:color="000000"/>
            </w:tcBorders>
            <w:shd w:val="clear" w:color="auto" w:fill="auto"/>
          </w:tcPr>
          <w:p w:rsidR="00CA0244" w:rsidRPr="00DE475B" w:rsidRDefault="00CA0244" w:rsidP="00CA0244">
            <w:pPr>
              <w:rPr>
                <w:rFonts w:ascii="Arial" w:hAnsi="Arial" w:cs="Arial"/>
                <w:sz w:val="20"/>
                <w:szCs w:val="20"/>
              </w:rPr>
            </w:pPr>
            <w:r w:rsidRPr="00DE475B">
              <w:rPr>
                <w:rFonts w:ascii="Arial" w:hAnsi="Arial" w:cs="Arial"/>
                <w:sz w:val="20"/>
                <w:szCs w:val="20"/>
              </w:rPr>
              <w:t>Professor Andrew Griffiths (Chairperson from February 2017)</w:t>
            </w:r>
          </w:p>
        </w:tc>
        <w:tc>
          <w:tcPr>
            <w:tcW w:w="1701" w:type="dxa"/>
            <w:tcBorders>
              <w:top w:val="single" w:sz="6" w:space="0" w:color="000000"/>
              <w:bottom w:val="single" w:sz="6" w:space="0" w:color="000000"/>
            </w:tcBorders>
            <w:vAlign w:val="center"/>
          </w:tcPr>
          <w:p w:rsidR="00CA0244" w:rsidRPr="00DE475B" w:rsidRDefault="00CA0244" w:rsidP="00CA0244">
            <w:pPr>
              <w:jc w:val="center"/>
              <w:rPr>
                <w:rFonts w:ascii="Arial" w:hAnsi="Arial" w:cs="Arial"/>
                <w:sz w:val="20"/>
                <w:szCs w:val="20"/>
              </w:rPr>
            </w:pPr>
            <w:r w:rsidRPr="00DE475B">
              <w:rPr>
                <w:rFonts w:ascii="Arial" w:hAnsi="Arial" w:cs="Arial"/>
                <w:sz w:val="20"/>
                <w:szCs w:val="20"/>
              </w:rPr>
              <w:t>March 2014</w:t>
            </w:r>
          </w:p>
        </w:tc>
        <w:tc>
          <w:tcPr>
            <w:tcW w:w="1701" w:type="dxa"/>
            <w:tcBorders>
              <w:top w:val="single" w:sz="6" w:space="0" w:color="000000"/>
              <w:bottom w:val="single" w:sz="6" w:space="0" w:color="000000"/>
            </w:tcBorders>
            <w:vAlign w:val="center"/>
          </w:tcPr>
          <w:p w:rsidR="00CA0244" w:rsidRPr="00DE475B" w:rsidRDefault="00CA0244" w:rsidP="008123A0">
            <w:pPr>
              <w:jc w:val="center"/>
              <w:rPr>
                <w:rFonts w:ascii="Arial" w:hAnsi="Arial" w:cs="Arial"/>
                <w:sz w:val="20"/>
                <w:szCs w:val="20"/>
              </w:rPr>
            </w:pPr>
            <w:r w:rsidRPr="00DE475B">
              <w:rPr>
                <w:rFonts w:ascii="Arial" w:hAnsi="Arial" w:cs="Arial"/>
                <w:sz w:val="20"/>
                <w:szCs w:val="20"/>
              </w:rPr>
              <w:t>—</w:t>
            </w:r>
          </w:p>
        </w:tc>
        <w:tc>
          <w:tcPr>
            <w:tcW w:w="1134" w:type="dxa"/>
            <w:tcBorders>
              <w:top w:val="single" w:sz="6" w:space="0" w:color="000000"/>
              <w:bottom w:val="single" w:sz="6" w:space="0" w:color="000000"/>
            </w:tcBorders>
            <w:shd w:val="clear" w:color="auto" w:fill="auto"/>
            <w:vAlign w:val="center"/>
          </w:tcPr>
          <w:p w:rsidR="00CA0244" w:rsidRPr="00DE475B" w:rsidRDefault="000E0ADF" w:rsidP="00CA0244">
            <w:pPr>
              <w:jc w:val="center"/>
              <w:rPr>
                <w:rFonts w:ascii="Arial" w:hAnsi="Arial" w:cs="Arial"/>
                <w:sz w:val="20"/>
                <w:szCs w:val="20"/>
              </w:rPr>
            </w:pPr>
            <w:r w:rsidRPr="00DE475B">
              <w:rPr>
                <w:rFonts w:ascii="Arial" w:hAnsi="Arial" w:cs="Arial"/>
                <w:sz w:val="20"/>
                <w:szCs w:val="20"/>
              </w:rPr>
              <w:t>4</w:t>
            </w:r>
          </w:p>
        </w:tc>
        <w:tc>
          <w:tcPr>
            <w:tcW w:w="1105" w:type="dxa"/>
            <w:tcBorders>
              <w:top w:val="single" w:sz="6" w:space="0" w:color="000000"/>
              <w:bottom w:val="single" w:sz="6" w:space="0" w:color="000000"/>
            </w:tcBorders>
            <w:shd w:val="clear" w:color="auto" w:fill="auto"/>
            <w:vAlign w:val="center"/>
          </w:tcPr>
          <w:p w:rsidR="00CA0244" w:rsidRPr="00DE475B" w:rsidRDefault="000E0ADF" w:rsidP="00CA0244">
            <w:pPr>
              <w:jc w:val="center"/>
              <w:rPr>
                <w:rFonts w:ascii="Arial" w:hAnsi="Arial" w:cs="Arial"/>
                <w:sz w:val="20"/>
                <w:szCs w:val="20"/>
              </w:rPr>
            </w:pPr>
            <w:r w:rsidRPr="00DE475B">
              <w:rPr>
                <w:rFonts w:ascii="Arial" w:hAnsi="Arial" w:cs="Arial"/>
                <w:sz w:val="20"/>
                <w:szCs w:val="20"/>
              </w:rPr>
              <w:t>1</w:t>
            </w:r>
          </w:p>
        </w:tc>
      </w:tr>
      <w:tr w:rsidR="00F573AC" w:rsidRPr="00DE475B" w:rsidTr="008123A0">
        <w:tc>
          <w:tcPr>
            <w:tcW w:w="3369" w:type="dxa"/>
            <w:tcBorders>
              <w:bottom w:val="single" w:sz="6" w:space="0" w:color="000000"/>
            </w:tcBorders>
            <w:shd w:val="clear" w:color="auto" w:fill="auto"/>
          </w:tcPr>
          <w:p w:rsidR="00F573AC" w:rsidRPr="00DE475B" w:rsidRDefault="00F573AC" w:rsidP="00F573AC">
            <w:pPr>
              <w:rPr>
                <w:rFonts w:ascii="Arial" w:hAnsi="Arial" w:cs="Arial"/>
                <w:sz w:val="20"/>
                <w:szCs w:val="20"/>
              </w:rPr>
            </w:pPr>
            <w:r w:rsidRPr="00DE475B">
              <w:rPr>
                <w:rFonts w:ascii="Arial" w:hAnsi="Arial" w:cs="Arial"/>
                <w:sz w:val="20"/>
                <w:szCs w:val="20"/>
              </w:rPr>
              <w:t xml:space="preserve">Professor Emeritus Roland Sussex </w:t>
            </w:r>
            <w:proofErr w:type="spellStart"/>
            <w:r w:rsidRPr="00DE475B">
              <w:rPr>
                <w:rFonts w:ascii="Arial" w:hAnsi="Arial" w:cs="Arial"/>
                <w:smallCaps/>
                <w:sz w:val="20"/>
                <w:szCs w:val="20"/>
              </w:rPr>
              <w:t>oam</w:t>
            </w:r>
            <w:proofErr w:type="spellEnd"/>
            <w:r w:rsidRPr="00DE475B">
              <w:rPr>
                <w:rFonts w:ascii="Arial" w:hAnsi="Arial" w:cs="Arial"/>
                <w:smallCaps/>
                <w:sz w:val="20"/>
                <w:szCs w:val="20"/>
              </w:rPr>
              <w:t xml:space="preserve"> </w:t>
            </w:r>
            <w:r w:rsidRPr="00DE475B">
              <w:rPr>
                <w:rFonts w:ascii="Arial" w:hAnsi="Arial" w:cs="Arial"/>
                <w:sz w:val="20"/>
                <w:szCs w:val="20"/>
              </w:rPr>
              <w:t>(Deputy Chairperson)</w:t>
            </w:r>
          </w:p>
        </w:tc>
        <w:tc>
          <w:tcPr>
            <w:tcW w:w="1701" w:type="dxa"/>
            <w:tcBorders>
              <w:bottom w:val="single" w:sz="6" w:space="0" w:color="000000"/>
            </w:tcBorders>
            <w:vAlign w:val="center"/>
          </w:tcPr>
          <w:p w:rsidR="00F573AC" w:rsidRPr="00DE475B" w:rsidRDefault="00F573AC" w:rsidP="00F573AC">
            <w:pPr>
              <w:jc w:val="center"/>
              <w:rPr>
                <w:rFonts w:ascii="Arial" w:hAnsi="Arial" w:cs="Arial"/>
                <w:sz w:val="20"/>
                <w:szCs w:val="20"/>
              </w:rPr>
            </w:pPr>
            <w:r w:rsidRPr="00DE475B">
              <w:rPr>
                <w:rFonts w:ascii="Arial" w:hAnsi="Arial" w:cs="Arial"/>
                <w:sz w:val="20"/>
                <w:szCs w:val="20"/>
              </w:rPr>
              <w:t>November 2009</w:t>
            </w:r>
          </w:p>
        </w:tc>
        <w:tc>
          <w:tcPr>
            <w:tcW w:w="1701" w:type="dxa"/>
            <w:tcBorders>
              <w:bottom w:val="single" w:sz="6" w:space="0" w:color="000000"/>
            </w:tcBorders>
            <w:vAlign w:val="center"/>
          </w:tcPr>
          <w:p w:rsidR="00F573AC" w:rsidRPr="00DE475B" w:rsidRDefault="008877D9" w:rsidP="008123A0">
            <w:pPr>
              <w:jc w:val="center"/>
              <w:rPr>
                <w:rFonts w:ascii="Arial" w:hAnsi="Arial" w:cs="Arial"/>
                <w:sz w:val="20"/>
                <w:szCs w:val="20"/>
              </w:rPr>
            </w:pPr>
            <w:r w:rsidRPr="00DE475B">
              <w:rPr>
                <w:rFonts w:ascii="Arial" w:hAnsi="Arial" w:cs="Arial"/>
                <w:sz w:val="20"/>
                <w:szCs w:val="20"/>
              </w:rPr>
              <w:t>February 2017</w:t>
            </w:r>
          </w:p>
        </w:tc>
        <w:tc>
          <w:tcPr>
            <w:tcW w:w="1134" w:type="dxa"/>
            <w:tcBorders>
              <w:bottom w:val="single" w:sz="6" w:space="0" w:color="000000"/>
            </w:tcBorders>
            <w:shd w:val="clear" w:color="auto" w:fill="auto"/>
            <w:vAlign w:val="center"/>
          </w:tcPr>
          <w:p w:rsidR="00F573AC" w:rsidRPr="00DE475B" w:rsidRDefault="000E0ADF" w:rsidP="00F573AC">
            <w:pPr>
              <w:jc w:val="center"/>
              <w:rPr>
                <w:rFonts w:ascii="Arial" w:hAnsi="Arial" w:cs="Arial"/>
                <w:sz w:val="20"/>
                <w:szCs w:val="20"/>
              </w:rPr>
            </w:pPr>
            <w:r w:rsidRPr="00DE475B">
              <w:rPr>
                <w:rFonts w:ascii="Arial" w:hAnsi="Arial" w:cs="Arial"/>
                <w:sz w:val="20"/>
                <w:szCs w:val="20"/>
              </w:rPr>
              <w:t>3</w:t>
            </w:r>
          </w:p>
        </w:tc>
        <w:tc>
          <w:tcPr>
            <w:tcW w:w="1105" w:type="dxa"/>
            <w:tcBorders>
              <w:bottom w:val="single" w:sz="6" w:space="0" w:color="000000"/>
            </w:tcBorders>
            <w:shd w:val="clear" w:color="auto" w:fill="auto"/>
            <w:vAlign w:val="center"/>
          </w:tcPr>
          <w:p w:rsidR="00F573AC" w:rsidRPr="00DE475B" w:rsidRDefault="000E0ADF" w:rsidP="00F573AC">
            <w:pPr>
              <w:jc w:val="center"/>
              <w:rPr>
                <w:rFonts w:ascii="Arial" w:hAnsi="Arial" w:cs="Arial"/>
                <w:sz w:val="20"/>
                <w:szCs w:val="20"/>
              </w:rPr>
            </w:pPr>
            <w:r w:rsidRPr="00DE475B">
              <w:rPr>
                <w:rFonts w:ascii="Arial" w:hAnsi="Arial" w:cs="Arial"/>
                <w:sz w:val="20"/>
                <w:szCs w:val="20"/>
              </w:rPr>
              <w:t>3</w:t>
            </w:r>
          </w:p>
        </w:tc>
      </w:tr>
      <w:tr w:rsidR="007C50DC" w:rsidRPr="00DE475B" w:rsidTr="008123A0">
        <w:tc>
          <w:tcPr>
            <w:tcW w:w="3369" w:type="dxa"/>
            <w:tcBorders>
              <w:top w:val="single" w:sz="6" w:space="0" w:color="000000"/>
              <w:bottom w:val="single" w:sz="6" w:space="0" w:color="000000"/>
            </w:tcBorders>
            <w:shd w:val="clear" w:color="auto" w:fill="auto"/>
          </w:tcPr>
          <w:p w:rsidR="007C50DC" w:rsidRPr="00DE475B" w:rsidRDefault="007C50DC" w:rsidP="00F358C3">
            <w:pPr>
              <w:rPr>
                <w:rFonts w:ascii="Arial" w:hAnsi="Arial" w:cs="Arial"/>
                <w:sz w:val="20"/>
                <w:szCs w:val="20"/>
              </w:rPr>
            </w:pPr>
            <w:r w:rsidRPr="00DE475B">
              <w:rPr>
                <w:rFonts w:ascii="Arial" w:hAnsi="Arial" w:cs="Arial"/>
                <w:sz w:val="20"/>
                <w:szCs w:val="20"/>
              </w:rPr>
              <w:t xml:space="preserve">Ms Linda </w:t>
            </w:r>
            <w:proofErr w:type="spellStart"/>
            <w:r w:rsidRPr="00DE475B">
              <w:rPr>
                <w:rFonts w:ascii="Arial" w:hAnsi="Arial" w:cs="Arial"/>
                <w:sz w:val="20"/>
                <w:szCs w:val="20"/>
              </w:rPr>
              <w:t>Apelt</w:t>
            </w:r>
            <w:proofErr w:type="spellEnd"/>
            <w:r w:rsidR="00353B62">
              <w:rPr>
                <w:rFonts w:ascii="Arial" w:hAnsi="Arial" w:cs="Arial"/>
                <w:sz w:val="20"/>
                <w:szCs w:val="20"/>
              </w:rPr>
              <w:t xml:space="preserve"> </w:t>
            </w:r>
            <w:r w:rsidR="00353B62" w:rsidRPr="00DE475B">
              <w:rPr>
                <w:rFonts w:ascii="Arial" w:hAnsi="Arial" w:cs="Arial"/>
                <w:sz w:val="20"/>
                <w:szCs w:val="20"/>
              </w:rPr>
              <w:t>(Deputy Chairperson)</w:t>
            </w:r>
          </w:p>
        </w:tc>
        <w:tc>
          <w:tcPr>
            <w:tcW w:w="1701" w:type="dxa"/>
            <w:tcBorders>
              <w:top w:val="single" w:sz="6" w:space="0" w:color="000000"/>
              <w:bottom w:val="single" w:sz="6" w:space="0" w:color="000000"/>
            </w:tcBorders>
            <w:vAlign w:val="center"/>
          </w:tcPr>
          <w:p w:rsidR="007C50DC" w:rsidRPr="00DE475B" w:rsidRDefault="007C50DC" w:rsidP="00F573AC">
            <w:pPr>
              <w:jc w:val="center"/>
              <w:rPr>
                <w:rFonts w:ascii="Arial" w:hAnsi="Arial" w:cs="Arial"/>
                <w:sz w:val="20"/>
                <w:szCs w:val="20"/>
              </w:rPr>
            </w:pPr>
            <w:r w:rsidRPr="00DE475B">
              <w:rPr>
                <w:rFonts w:ascii="Arial" w:hAnsi="Arial" w:cs="Arial"/>
                <w:sz w:val="20"/>
                <w:szCs w:val="20"/>
              </w:rPr>
              <w:t>March 2017</w:t>
            </w:r>
          </w:p>
        </w:tc>
        <w:tc>
          <w:tcPr>
            <w:tcW w:w="1701" w:type="dxa"/>
            <w:tcBorders>
              <w:top w:val="single" w:sz="6" w:space="0" w:color="000000"/>
              <w:bottom w:val="single" w:sz="6" w:space="0" w:color="000000"/>
            </w:tcBorders>
            <w:vAlign w:val="center"/>
          </w:tcPr>
          <w:p w:rsidR="007C50DC" w:rsidRPr="00DE475B" w:rsidRDefault="008123A0" w:rsidP="008123A0">
            <w:pPr>
              <w:jc w:val="center"/>
              <w:rPr>
                <w:rFonts w:ascii="Arial" w:hAnsi="Arial" w:cs="Arial"/>
                <w:sz w:val="20"/>
                <w:szCs w:val="20"/>
              </w:rPr>
            </w:pPr>
            <w:r w:rsidRPr="00DE475B">
              <w:rPr>
                <w:rFonts w:ascii="Arial" w:hAnsi="Arial" w:cs="Arial"/>
                <w:sz w:val="20"/>
                <w:szCs w:val="20"/>
              </w:rPr>
              <w:t>—</w:t>
            </w:r>
          </w:p>
        </w:tc>
        <w:tc>
          <w:tcPr>
            <w:tcW w:w="1134" w:type="dxa"/>
            <w:tcBorders>
              <w:top w:val="single" w:sz="6" w:space="0" w:color="000000"/>
              <w:bottom w:val="single" w:sz="6" w:space="0" w:color="000000"/>
            </w:tcBorders>
            <w:shd w:val="clear" w:color="auto" w:fill="auto"/>
            <w:vAlign w:val="center"/>
          </w:tcPr>
          <w:p w:rsidR="007C50DC" w:rsidRPr="00DE475B" w:rsidRDefault="000E0ADF" w:rsidP="00F573AC">
            <w:pPr>
              <w:jc w:val="center"/>
              <w:rPr>
                <w:rFonts w:ascii="Arial" w:hAnsi="Arial" w:cs="Arial"/>
                <w:sz w:val="20"/>
                <w:szCs w:val="20"/>
              </w:rPr>
            </w:pPr>
            <w:r w:rsidRPr="00DE475B">
              <w:rPr>
                <w:rFonts w:ascii="Arial" w:hAnsi="Arial" w:cs="Arial"/>
                <w:sz w:val="20"/>
                <w:szCs w:val="20"/>
              </w:rPr>
              <w:t>1</w:t>
            </w:r>
          </w:p>
        </w:tc>
        <w:tc>
          <w:tcPr>
            <w:tcW w:w="1105" w:type="dxa"/>
            <w:tcBorders>
              <w:top w:val="single" w:sz="6" w:space="0" w:color="000000"/>
              <w:bottom w:val="single" w:sz="6" w:space="0" w:color="000000"/>
            </w:tcBorders>
            <w:shd w:val="clear" w:color="auto" w:fill="auto"/>
            <w:vAlign w:val="center"/>
          </w:tcPr>
          <w:p w:rsidR="007C50DC" w:rsidRPr="00DE475B" w:rsidRDefault="000E0ADF" w:rsidP="00F573AC">
            <w:pPr>
              <w:jc w:val="center"/>
              <w:rPr>
                <w:rFonts w:ascii="Arial" w:hAnsi="Arial" w:cs="Arial"/>
                <w:sz w:val="20"/>
                <w:szCs w:val="20"/>
              </w:rPr>
            </w:pPr>
            <w:r w:rsidRPr="00DE475B">
              <w:rPr>
                <w:rFonts w:ascii="Arial" w:hAnsi="Arial" w:cs="Arial"/>
                <w:sz w:val="20"/>
                <w:szCs w:val="20"/>
              </w:rPr>
              <w:t>1</w:t>
            </w:r>
          </w:p>
        </w:tc>
      </w:tr>
      <w:tr w:rsidR="007C50DC" w:rsidRPr="00DE475B" w:rsidTr="008123A0">
        <w:tc>
          <w:tcPr>
            <w:tcW w:w="3369" w:type="dxa"/>
            <w:tcBorders>
              <w:top w:val="single" w:sz="6" w:space="0" w:color="000000"/>
              <w:bottom w:val="single" w:sz="6" w:space="0" w:color="000000"/>
            </w:tcBorders>
            <w:shd w:val="clear" w:color="auto" w:fill="auto"/>
          </w:tcPr>
          <w:p w:rsidR="007C50DC" w:rsidRPr="00DE475B" w:rsidRDefault="000E0ADF" w:rsidP="00F358C3">
            <w:pPr>
              <w:rPr>
                <w:rFonts w:ascii="Arial" w:hAnsi="Arial" w:cs="Arial"/>
                <w:sz w:val="20"/>
                <w:szCs w:val="20"/>
              </w:rPr>
            </w:pPr>
            <w:r w:rsidRPr="00DE475B">
              <w:rPr>
                <w:rFonts w:ascii="Arial" w:hAnsi="Arial" w:cs="Arial"/>
                <w:sz w:val="20"/>
                <w:szCs w:val="20"/>
              </w:rPr>
              <w:t xml:space="preserve">Emeritus </w:t>
            </w:r>
            <w:r w:rsidR="007C50DC" w:rsidRPr="00DE475B">
              <w:rPr>
                <w:rFonts w:ascii="Arial" w:hAnsi="Arial" w:cs="Arial"/>
                <w:sz w:val="20"/>
                <w:szCs w:val="20"/>
              </w:rPr>
              <w:t xml:space="preserve">Professor Tom Cochrane </w:t>
            </w:r>
            <w:r w:rsidR="00F358C3" w:rsidRPr="00DE475B">
              <w:rPr>
                <w:rFonts w:ascii="Arial" w:hAnsi="Arial" w:cs="Arial"/>
                <w:smallCaps/>
                <w:sz w:val="20"/>
                <w:szCs w:val="20"/>
              </w:rPr>
              <w:t>am</w:t>
            </w:r>
          </w:p>
        </w:tc>
        <w:tc>
          <w:tcPr>
            <w:tcW w:w="1701" w:type="dxa"/>
            <w:tcBorders>
              <w:top w:val="single" w:sz="6" w:space="0" w:color="000000"/>
              <w:bottom w:val="single" w:sz="6" w:space="0" w:color="000000"/>
            </w:tcBorders>
            <w:vAlign w:val="center"/>
          </w:tcPr>
          <w:p w:rsidR="007C50DC" w:rsidRPr="00DE475B" w:rsidRDefault="007C50DC" w:rsidP="00F573AC">
            <w:pPr>
              <w:jc w:val="center"/>
              <w:rPr>
                <w:rFonts w:ascii="Arial" w:hAnsi="Arial" w:cs="Arial"/>
                <w:sz w:val="20"/>
                <w:szCs w:val="20"/>
              </w:rPr>
            </w:pPr>
            <w:r w:rsidRPr="00DE475B">
              <w:rPr>
                <w:rFonts w:ascii="Arial" w:hAnsi="Arial" w:cs="Arial"/>
                <w:sz w:val="20"/>
                <w:szCs w:val="20"/>
              </w:rPr>
              <w:t>March 2017</w:t>
            </w:r>
          </w:p>
        </w:tc>
        <w:tc>
          <w:tcPr>
            <w:tcW w:w="1701" w:type="dxa"/>
            <w:tcBorders>
              <w:top w:val="single" w:sz="6" w:space="0" w:color="000000"/>
              <w:bottom w:val="single" w:sz="6" w:space="0" w:color="000000"/>
            </w:tcBorders>
            <w:vAlign w:val="center"/>
          </w:tcPr>
          <w:p w:rsidR="007C50DC" w:rsidRPr="00DE475B" w:rsidRDefault="008123A0" w:rsidP="008123A0">
            <w:pPr>
              <w:jc w:val="center"/>
              <w:rPr>
                <w:rFonts w:ascii="Arial" w:hAnsi="Arial" w:cs="Arial"/>
                <w:sz w:val="20"/>
                <w:szCs w:val="20"/>
              </w:rPr>
            </w:pPr>
            <w:r w:rsidRPr="00DE475B">
              <w:rPr>
                <w:rFonts w:ascii="Arial" w:hAnsi="Arial" w:cs="Arial"/>
                <w:sz w:val="20"/>
                <w:szCs w:val="20"/>
              </w:rPr>
              <w:t>—</w:t>
            </w:r>
          </w:p>
        </w:tc>
        <w:tc>
          <w:tcPr>
            <w:tcW w:w="1134" w:type="dxa"/>
            <w:tcBorders>
              <w:top w:val="single" w:sz="6" w:space="0" w:color="000000"/>
              <w:bottom w:val="single" w:sz="6" w:space="0" w:color="000000"/>
            </w:tcBorders>
            <w:shd w:val="clear" w:color="auto" w:fill="auto"/>
            <w:vAlign w:val="center"/>
          </w:tcPr>
          <w:p w:rsidR="007C50DC" w:rsidRPr="00DE475B" w:rsidRDefault="000E0ADF" w:rsidP="00F573AC">
            <w:pPr>
              <w:jc w:val="center"/>
              <w:rPr>
                <w:rFonts w:ascii="Arial" w:hAnsi="Arial" w:cs="Arial"/>
                <w:sz w:val="20"/>
                <w:szCs w:val="20"/>
              </w:rPr>
            </w:pPr>
            <w:r w:rsidRPr="00DE475B">
              <w:rPr>
                <w:rFonts w:ascii="Arial" w:hAnsi="Arial" w:cs="Arial"/>
                <w:sz w:val="20"/>
                <w:szCs w:val="20"/>
              </w:rPr>
              <w:t>1</w:t>
            </w:r>
          </w:p>
        </w:tc>
        <w:tc>
          <w:tcPr>
            <w:tcW w:w="1105" w:type="dxa"/>
            <w:tcBorders>
              <w:top w:val="single" w:sz="6" w:space="0" w:color="000000"/>
              <w:bottom w:val="single" w:sz="6" w:space="0" w:color="000000"/>
            </w:tcBorders>
            <w:shd w:val="clear" w:color="auto" w:fill="auto"/>
            <w:vAlign w:val="center"/>
          </w:tcPr>
          <w:p w:rsidR="007C50DC" w:rsidRPr="00DE475B" w:rsidRDefault="000E0ADF" w:rsidP="00F573AC">
            <w:pPr>
              <w:jc w:val="center"/>
              <w:rPr>
                <w:rFonts w:ascii="Arial" w:hAnsi="Arial" w:cs="Arial"/>
                <w:sz w:val="20"/>
                <w:szCs w:val="20"/>
              </w:rPr>
            </w:pPr>
            <w:r w:rsidRPr="00DE475B">
              <w:rPr>
                <w:rFonts w:ascii="Arial" w:hAnsi="Arial" w:cs="Arial"/>
                <w:sz w:val="20"/>
                <w:szCs w:val="20"/>
              </w:rPr>
              <w:t>1</w:t>
            </w:r>
          </w:p>
        </w:tc>
      </w:tr>
      <w:tr w:rsidR="007C50DC" w:rsidRPr="00DE475B" w:rsidTr="008123A0">
        <w:tc>
          <w:tcPr>
            <w:tcW w:w="3369" w:type="dxa"/>
            <w:tcBorders>
              <w:top w:val="single" w:sz="6" w:space="0" w:color="000000"/>
              <w:bottom w:val="single" w:sz="6" w:space="0" w:color="000000"/>
            </w:tcBorders>
            <w:shd w:val="clear" w:color="auto" w:fill="auto"/>
          </w:tcPr>
          <w:p w:rsidR="007C50DC" w:rsidRPr="00DE475B" w:rsidRDefault="007C50DC" w:rsidP="00F358C3">
            <w:pPr>
              <w:rPr>
                <w:rFonts w:ascii="Arial" w:hAnsi="Arial" w:cs="Arial"/>
                <w:sz w:val="20"/>
                <w:szCs w:val="20"/>
              </w:rPr>
            </w:pPr>
            <w:r w:rsidRPr="00DE475B">
              <w:rPr>
                <w:rFonts w:ascii="Arial" w:hAnsi="Arial" w:cs="Arial"/>
                <w:sz w:val="20"/>
                <w:szCs w:val="20"/>
              </w:rPr>
              <w:t xml:space="preserve">Dr Anita </w:t>
            </w:r>
            <w:proofErr w:type="spellStart"/>
            <w:r w:rsidRPr="00DE475B">
              <w:rPr>
                <w:rFonts w:ascii="Arial" w:hAnsi="Arial" w:cs="Arial"/>
                <w:sz w:val="20"/>
                <w:szCs w:val="20"/>
              </w:rPr>
              <w:t>Heiss</w:t>
            </w:r>
            <w:proofErr w:type="spellEnd"/>
          </w:p>
        </w:tc>
        <w:tc>
          <w:tcPr>
            <w:tcW w:w="1701" w:type="dxa"/>
            <w:tcBorders>
              <w:top w:val="single" w:sz="6" w:space="0" w:color="000000"/>
              <w:bottom w:val="single" w:sz="6" w:space="0" w:color="000000"/>
            </w:tcBorders>
            <w:vAlign w:val="center"/>
          </w:tcPr>
          <w:p w:rsidR="007C50DC" w:rsidRPr="00DE475B" w:rsidRDefault="007C50DC" w:rsidP="00F573AC">
            <w:pPr>
              <w:jc w:val="center"/>
              <w:rPr>
                <w:rFonts w:ascii="Arial" w:hAnsi="Arial" w:cs="Arial"/>
                <w:sz w:val="20"/>
                <w:szCs w:val="20"/>
              </w:rPr>
            </w:pPr>
            <w:r w:rsidRPr="00DE475B">
              <w:rPr>
                <w:rFonts w:ascii="Arial" w:hAnsi="Arial" w:cs="Arial"/>
                <w:sz w:val="20"/>
                <w:szCs w:val="20"/>
              </w:rPr>
              <w:t>March 2017</w:t>
            </w:r>
          </w:p>
        </w:tc>
        <w:tc>
          <w:tcPr>
            <w:tcW w:w="1701" w:type="dxa"/>
            <w:tcBorders>
              <w:top w:val="single" w:sz="6" w:space="0" w:color="000000"/>
              <w:bottom w:val="single" w:sz="6" w:space="0" w:color="000000"/>
            </w:tcBorders>
            <w:vAlign w:val="center"/>
          </w:tcPr>
          <w:p w:rsidR="007C50DC" w:rsidRPr="00DE475B" w:rsidRDefault="008123A0" w:rsidP="008123A0">
            <w:pPr>
              <w:jc w:val="center"/>
              <w:rPr>
                <w:rFonts w:ascii="Arial" w:hAnsi="Arial" w:cs="Arial"/>
                <w:sz w:val="20"/>
                <w:szCs w:val="20"/>
              </w:rPr>
            </w:pPr>
            <w:r w:rsidRPr="00DE475B">
              <w:rPr>
                <w:rFonts w:ascii="Arial" w:hAnsi="Arial" w:cs="Arial"/>
                <w:sz w:val="20"/>
                <w:szCs w:val="20"/>
              </w:rPr>
              <w:t>—</w:t>
            </w:r>
          </w:p>
        </w:tc>
        <w:tc>
          <w:tcPr>
            <w:tcW w:w="1134" w:type="dxa"/>
            <w:tcBorders>
              <w:top w:val="single" w:sz="6" w:space="0" w:color="000000"/>
              <w:bottom w:val="single" w:sz="6" w:space="0" w:color="000000"/>
            </w:tcBorders>
            <w:shd w:val="clear" w:color="auto" w:fill="auto"/>
            <w:vAlign w:val="center"/>
          </w:tcPr>
          <w:p w:rsidR="007C50DC" w:rsidRPr="00DE475B" w:rsidRDefault="000E0ADF" w:rsidP="00F573AC">
            <w:pPr>
              <w:jc w:val="center"/>
              <w:rPr>
                <w:rFonts w:ascii="Arial" w:hAnsi="Arial" w:cs="Arial"/>
                <w:sz w:val="20"/>
                <w:szCs w:val="20"/>
              </w:rPr>
            </w:pPr>
            <w:r w:rsidRPr="00DE475B">
              <w:rPr>
                <w:rFonts w:ascii="Arial" w:hAnsi="Arial" w:cs="Arial"/>
                <w:sz w:val="20"/>
                <w:szCs w:val="20"/>
              </w:rPr>
              <w:t>1</w:t>
            </w:r>
          </w:p>
        </w:tc>
        <w:tc>
          <w:tcPr>
            <w:tcW w:w="1105" w:type="dxa"/>
            <w:tcBorders>
              <w:top w:val="single" w:sz="6" w:space="0" w:color="000000"/>
              <w:bottom w:val="single" w:sz="6" w:space="0" w:color="000000"/>
            </w:tcBorders>
            <w:shd w:val="clear" w:color="auto" w:fill="auto"/>
            <w:vAlign w:val="center"/>
          </w:tcPr>
          <w:p w:rsidR="007C50DC" w:rsidRPr="00DE475B" w:rsidRDefault="000E0ADF" w:rsidP="00F573AC">
            <w:pPr>
              <w:jc w:val="center"/>
              <w:rPr>
                <w:rFonts w:ascii="Arial" w:hAnsi="Arial" w:cs="Arial"/>
                <w:sz w:val="20"/>
                <w:szCs w:val="20"/>
              </w:rPr>
            </w:pPr>
            <w:r w:rsidRPr="00DE475B">
              <w:rPr>
                <w:rFonts w:ascii="Arial" w:hAnsi="Arial" w:cs="Arial"/>
                <w:sz w:val="20"/>
                <w:szCs w:val="20"/>
              </w:rPr>
              <w:t>1</w:t>
            </w:r>
          </w:p>
        </w:tc>
      </w:tr>
      <w:tr w:rsidR="007C50DC" w:rsidRPr="00DE475B" w:rsidTr="008123A0">
        <w:tc>
          <w:tcPr>
            <w:tcW w:w="3369" w:type="dxa"/>
            <w:tcBorders>
              <w:top w:val="single" w:sz="6" w:space="0" w:color="000000"/>
              <w:bottom w:val="single" w:sz="6" w:space="0" w:color="000000"/>
            </w:tcBorders>
            <w:shd w:val="clear" w:color="auto" w:fill="auto"/>
          </w:tcPr>
          <w:p w:rsidR="007C50DC" w:rsidRPr="00DE475B" w:rsidRDefault="007C50DC" w:rsidP="00F358C3">
            <w:pPr>
              <w:rPr>
                <w:rFonts w:ascii="Arial" w:hAnsi="Arial" w:cs="Arial"/>
                <w:sz w:val="20"/>
                <w:szCs w:val="20"/>
              </w:rPr>
            </w:pPr>
            <w:r w:rsidRPr="00DE475B">
              <w:rPr>
                <w:rFonts w:ascii="Arial" w:hAnsi="Arial" w:cs="Arial"/>
                <w:sz w:val="20"/>
                <w:szCs w:val="20"/>
              </w:rPr>
              <w:t xml:space="preserve">Professor Marek </w:t>
            </w:r>
            <w:proofErr w:type="spellStart"/>
            <w:r w:rsidRPr="00DE475B">
              <w:rPr>
                <w:rFonts w:ascii="Arial" w:hAnsi="Arial" w:cs="Arial"/>
                <w:sz w:val="20"/>
                <w:szCs w:val="20"/>
              </w:rPr>
              <w:t>Kowalkiewicz</w:t>
            </w:r>
            <w:proofErr w:type="spellEnd"/>
          </w:p>
        </w:tc>
        <w:tc>
          <w:tcPr>
            <w:tcW w:w="1701" w:type="dxa"/>
            <w:tcBorders>
              <w:top w:val="single" w:sz="6" w:space="0" w:color="000000"/>
              <w:bottom w:val="single" w:sz="6" w:space="0" w:color="000000"/>
            </w:tcBorders>
            <w:vAlign w:val="center"/>
          </w:tcPr>
          <w:p w:rsidR="007C50DC" w:rsidRPr="00DE475B" w:rsidRDefault="007C50DC" w:rsidP="00F573AC">
            <w:pPr>
              <w:jc w:val="center"/>
              <w:rPr>
                <w:rFonts w:ascii="Arial" w:hAnsi="Arial" w:cs="Arial"/>
                <w:sz w:val="20"/>
                <w:szCs w:val="20"/>
              </w:rPr>
            </w:pPr>
            <w:r w:rsidRPr="00DE475B">
              <w:rPr>
                <w:rFonts w:ascii="Arial" w:hAnsi="Arial" w:cs="Arial"/>
                <w:sz w:val="20"/>
                <w:szCs w:val="20"/>
              </w:rPr>
              <w:t>March 2017</w:t>
            </w:r>
          </w:p>
        </w:tc>
        <w:tc>
          <w:tcPr>
            <w:tcW w:w="1701" w:type="dxa"/>
            <w:tcBorders>
              <w:top w:val="single" w:sz="6" w:space="0" w:color="000000"/>
              <w:bottom w:val="single" w:sz="6" w:space="0" w:color="000000"/>
            </w:tcBorders>
            <w:vAlign w:val="center"/>
          </w:tcPr>
          <w:p w:rsidR="007C50DC" w:rsidRPr="00DE475B" w:rsidRDefault="008123A0" w:rsidP="008123A0">
            <w:pPr>
              <w:jc w:val="center"/>
              <w:rPr>
                <w:rFonts w:ascii="Arial" w:hAnsi="Arial" w:cs="Arial"/>
                <w:sz w:val="20"/>
                <w:szCs w:val="20"/>
              </w:rPr>
            </w:pPr>
            <w:r w:rsidRPr="00DE475B">
              <w:rPr>
                <w:rFonts w:ascii="Arial" w:hAnsi="Arial" w:cs="Arial"/>
                <w:sz w:val="20"/>
                <w:szCs w:val="20"/>
              </w:rPr>
              <w:t>—</w:t>
            </w:r>
          </w:p>
        </w:tc>
        <w:tc>
          <w:tcPr>
            <w:tcW w:w="1134" w:type="dxa"/>
            <w:tcBorders>
              <w:top w:val="single" w:sz="6" w:space="0" w:color="000000"/>
              <w:bottom w:val="single" w:sz="6" w:space="0" w:color="000000"/>
            </w:tcBorders>
            <w:shd w:val="clear" w:color="auto" w:fill="auto"/>
            <w:vAlign w:val="center"/>
          </w:tcPr>
          <w:p w:rsidR="007C50DC" w:rsidRPr="00DE475B" w:rsidRDefault="000E0ADF" w:rsidP="00F573AC">
            <w:pPr>
              <w:jc w:val="center"/>
              <w:rPr>
                <w:rFonts w:ascii="Arial" w:hAnsi="Arial" w:cs="Arial"/>
                <w:sz w:val="20"/>
                <w:szCs w:val="20"/>
              </w:rPr>
            </w:pPr>
            <w:r w:rsidRPr="00DE475B">
              <w:rPr>
                <w:rFonts w:ascii="Arial" w:hAnsi="Arial" w:cs="Arial"/>
                <w:sz w:val="20"/>
                <w:szCs w:val="20"/>
              </w:rPr>
              <w:t>1</w:t>
            </w:r>
          </w:p>
        </w:tc>
        <w:tc>
          <w:tcPr>
            <w:tcW w:w="1105" w:type="dxa"/>
            <w:tcBorders>
              <w:top w:val="single" w:sz="6" w:space="0" w:color="000000"/>
              <w:bottom w:val="single" w:sz="6" w:space="0" w:color="000000"/>
            </w:tcBorders>
            <w:shd w:val="clear" w:color="auto" w:fill="auto"/>
            <w:vAlign w:val="center"/>
          </w:tcPr>
          <w:p w:rsidR="007C50DC" w:rsidRPr="00DE475B" w:rsidRDefault="000E0ADF" w:rsidP="00F573AC">
            <w:pPr>
              <w:jc w:val="center"/>
              <w:rPr>
                <w:rFonts w:ascii="Arial" w:hAnsi="Arial" w:cs="Arial"/>
                <w:sz w:val="20"/>
                <w:szCs w:val="20"/>
              </w:rPr>
            </w:pPr>
            <w:r w:rsidRPr="00DE475B">
              <w:rPr>
                <w:rFonts w:ascii="Arial" w:hAnsi="Arial" w:cs="Arial"/>
                <w:sz w:val="20"/>
                <w:szCs w:val="20"/>
              </w:rPr>
              <w:t>1</w:t>
            </w:r>
          </w:p>
        </w:tc>
      </w:tr>
      <w:tr w:rsidR="007C50DC" w:rsidRPr="00DE475B" w:rsidTr="008123A0">
        <w:tc>
          <w:tcPr>
            <w:tcW w:w="3369" w:type="dxa"/>
            <w:tcBorders>
              <w:top w:val="single" w:sz="6" w:space="0" w:color="000000"/>
              <w:bottom w:val="single" w:sz="6" w:space="0" w:color="000000"/>
            </w:tcBorders>
            <w:shd w:val="clear" w:color="auto" w:fill="auto"/>
          </w:tcPr>
          <w:p w:rsidR="007C50DC" w:rsidRPr="00DE475B" w:rsidRDefault="007C50DC" w:rsidP="00F358C3">
            <w:pPr>
              <w:rPr>
                <w:rFonts w:ascii="Arial" w:hAnsi="Arial" w:cs="Arial"/>
                <w:sz w:val="20"/>
                <w:szCs w:val="20"/>
              </w:rPr>
            </w:pPr>
            <w:r w:rsidRPr="00DE475B">
              <w:rPr>
                <w:rFonts w:ascii="Arial" w:hAnsi="Arial" w:cs="Arial"/>
                <w:sz w:val="20"/>
                <w:szCs w:val="20"/>
              </w:rPr>
              <w:t xml:space="preserve">Cr Julia </w:t>
            </w:r>
            <w:proofErr w:type="spellStart"/>
            <w:r w:rsidRPr="00DE475B">
              <w:rPr>
                <w:rFonts w:ascii="Arial" w:hAnsi="Arial" w:cs="Arial"/>
                <w:sz w:val="20"/>
                <w:szCs w:val="20"/>
              </w:rPr>
              <w:t>Leu</w:t>
            </w:r>
            <w:proofErr w:type="spellEnd"/>
          </w:p>
        </w:tc>
        <w:tc>
          <w:tcPr>
            <w:tcW w:w="1701" w:type="dxa"/>
            <w:tcBorders>
              <w:top w:val="single" w:sz="6" w:space="0" w:color="000000"/>
              <w:bottom w:val="single" w:sz="6" w:space="0" w:color="000000"/>
            </w:tcBorders>
            <w:vAlign w:val="center"/>
          </w:tcPr>
          <w:p w:rsidR="007C50DC" w:rsidRPr="00DE475B" w:rsidRDefault="000E0ADF" w:rsidP="00F573AC">
            <w:pPr>
              <w:jc w:val="center"/>
              <w:rPr>
                <w:rFonts w:ascii="Arial" w:hAnsi="Arial" w:cs="Arial"/>
                <w:sz w:val="20"/>
                <w:szCs w:val="20"/>
              </w:rPr>
            </w:pPr>
            <w:r w:rsidRPr="00DE475B">
              <w:rPr>
                <w:rFonts w:ascii="Arial" w:hAnsi="Arial" w:cs="Arial"/>
                <w:sz w:val="20"/>
                <w:szCs w:val="20"/>
              </w:rPr>
              <w:t>August 2016</w:t>
            </w:r>
          </w:p>
        </w:tc>
        <w:tc>
          <w:tcPr>
            <w:tcW w:w="1701" w:type="dxa"/>
            <w:tcBorders>
              <w:top w:val="single" w:sz="6" w:space="0" w:color="000000"/>
              <w:bottom w:val="single" w:sz="6" w:space="0" w:color="000000"/>
            </w:tcBorders>
            <w:vAlign w:val="center"/>
          </w:tcPr>
          <w:p w:rsidR="007C50DC" w:rsidRPr="00DE475B" w:rsidRDefault="008123A0" w:rsidP="008123A0">
            <w:pPr>
              <w:jc w:val="center"/>
              <w:rPr>
                <w:rFonts w:ascii="Arial" w:hAnsi="Arial" w:cs="Arial"/>
                <w:sz w:val="20"/>
                <w:szCs w:val="20"/>
              </w:rPr>
            </w:pPr>
            <w:r w:rsidRPr="00DE475B">
              <w:rPr>
                <w:rFonts w:ascii="Arial" w:hAnsi="Arial" w:cs="Arial"/>
                <w:sz w:val="20"/>
                <w:szCs w:val="20"/>
              </w:rPr>
              <w:t>—</w:t>
            </w:r>
          </w:p>
        </w:tc>
        <w:tc>
          <w:tcPr>
            <w:tcW w:w="1134" w:type="dxa"/>
            <w:tcBorders>
              <w:top w:val="single" w:sz="6" w:space="0" w:color="000000"/>
              <w:bottom w:val="single" w:sz="6" w:space="0" w:color="000000"/>
            </w:tcBorders>
            <w:shd w:val="clear" w:color="auto" w:fill="auto"/>
            <w:vAlign w:val="center"/>
          </w:tcPr>
          <w:p w:rsidR="007C50DC" w:rsidRPr="00DE475B" w:rsidRDefault="000E0ADF" w:rsidP="00F573AC">
            <w:pPr>
              <w:jc w:val="center"/>
              <w:rPr>
                <w:rFonts w:ascii="Arial" w:hAnsi="Arial" w:cs="Arial"/>
                <w:sz w:val="20"/>
                <w:szCs w:val="20"/>
              </w:rPr>
            </w:pPr>
            <w:r w:rsidRPr="00DE475B">
              <w:rPr>
                <w:rFonts w:ascii="Arial" w:hAnsi="Arial" w:cs="Arial"/>
                <w:sz w:val="20"/>
                <w:szCs w:val="20"/>
              </w:rPr>
              <w:t>4</w:t>
            </w:r>
          </w:p>
        </w:tc>
        <w:tc>
          <w:tcPr>
            <w:tcW w:w="1105" w:type="dxa"/>
            <w:tcBorders>
              <w:top w:val="single" w:sz="6" w:space="0" w:color="000000"/>
              <w:bottom w:val="single" w:sz="6" w:space="0" w:color="000000"/>
            </w:tcBorders>
            <w:shd w:val="clear" w:color="auto" w:fill="auto"/>
            <w:vAlign w:val="center"/>
          </w:tcPr>
          <w:p w:rsidR="007C50DC" w:rsidRPr="00DE475B" w:rsidRDefault="000E0ADF" w:rsidP="00F573AC">
            <w:pPr>
              <w:jc w:val="center"/>
              <w:rPr>
                <w:rFonts w:ascii="Arial" w:hAnsi="Arial" w:cs="Arial"/>
                <w:sz w:val="20"/>
                <w:szCs w:val="20"/>
              </w:rPr>
            </w:pPr>
            <w:r w:rsidRPr="00DE475B">
              <w:rPr>
                <w:rFonts w:ascii="Arial" w:hAnsi="Arial" w:cs="Arial"/>
                <w:sz w:val="20"/>
                <w:szCs w:val="20"/>
              </w:rPr>
              <w:t>3</w:t>
            </w:r>
          </w:p>
        </w:tc>
      </w:tr>
      <w:tr w:rsidR="00F573AC" w:rsidRPr="00DE475B" w:rsidTr="008123A0">
        <w:tc>
          <w:tcPr>
            <w:tcW w:w="3369" w:type="dxa"/>
            <w:tcBorders>
              <w:top w:val="single" w:sz="6" w:space="0" w:color="000000"/>
              <w:bottom w:val="single" w:sz="6" w:space="0" w:color="000000"/>
            </w:tcBorders>
            <w:shd w:val="clear" w:color="auto" w:fill="auto"/>
          </w:tcPr>
          <w:p w:rsidR="00F573AC" w:rsidRPr="00DE475B" w:rsidRDefault="00F573AC" w:rsidP="00F573AC">
            <w:pPr>
              <w:rPr>
                <w:rFonts w:ascii="Arial" w:hAnsi="Arial" w:cs="Arial"/>
                <w:sz w:val="20"/>
                <w:szCs w:val="20"/>
              </w:rPr>
            </w:pPr>
            <w:r w:rsidRPr="00DE475B">
              <w:rPr>
                <w:rFonts w:ascii="Arial" w:hAnsi="Arial" w:cs="Arial"/>
                <w:sz w:val="20"/>
                <w:szCs w:val="20"/>
              </w:rPr>
              <w:t>Ms Heather Linaker</w:t>
            </w:r>
          </w:p>
        </w:tc>
        <w:tc>
          <w:tcPr>
            <w:tcW w:w="1701" w:type="dxa"/>
            <w:tcBorders>
              <w:top w:val="single" w:sz="6" w:space="0" w:color="000000"/>
              <w:bottom w:val="single" w:sz="6" w:space="0" w:color="000000"/>
            </w:tcBorders>
            <w:vAlign w:val="center"/>
          </w:tcPr>
          <w:p w:rsidR="00F573AC" w:rsidRPr="00DE475B" w:rsidRDefault="00F573AC" w:rsidP="00F573AC">
            <w:pPr>
              <w:jc w:val="center"/>
              <w:rPr>
                <w:rFonts w:ascii="Arial" w:hAnsi="Arial" w:cs="Arial"/>
                <w:sz w:val="20"/>
                <w:szCs w:val="20"/>
              </w:rPr>
            </w:pPr>
            <w:r w:rsidRPr="00DE475B">
              <w:rPr>
                <w:rFonts w:ascii="Arial" w:hAnsi="Arial" w:cs="Arial"/>
                <w:sz w:val="20"/>
                <w:szCs w:val="20"/>
              </w:rPr>
              <w:t>March 2014</w:t>
            </w:r>
          </w:p>
        </w:tc>
        <w:tc>
          <w:tcPr>
            <w:tcW w:w="1701" w:type="dxa"/>
            <w:tcBorders>
              <w:top w:val="single" w:sz="6" w:space="0" w:color="000000"/>
              <w:bottom w:val="single" w:sz="6" w:space="0" w:color="000000"/>
            </w:tcBorders>
            <w:vAlign w:val="center"/>
          </w:tcPr>
          <w:p w:rsidR="00F573AC" w:rsidRPr="00DE475B" w:rsidRDefault="008877D9" w:rsidP="008123A0">
            <w:pPr>
              <w:jc w:val="center"/>
              <w:rPr>
                <w:rFonts w:ascii="Arial" w:hAnsi="Arial" w:cs="Arial"/>
                <w:sz w:val="20"/>
                <w:szCs w:val="20"/>
              </w:rPr>
            </w:pPr>
            <w:r w:rsidRPr="00DE475B">
              <w:rPr>
                <w:rFonts w:ascii="Arial" w:hAnsi="Arial" w:cs="Arial"/>
                <w:sz w:val="20"/>
                <w:szCs w:val="20"/>
              </w:rPr>
              <w:t>February 2017</w:t>
            </w:r>
          </w:p>
        </w:tc>
        <w:tc>
          <w:tcPr>
            <w:tcW w:w="1134" w:type="dxa"/>
            <w:tcBorders>
              <w:top w:val="single" w:sz="6" w:space="0" w:color="000000"/>
              <w:bottom w:val="single" w:sz="6" w:space="0" w:color="000000"/>
            </w:tcBorders>
            <w:shd w:val="clear" w:color="auto" w:fill="auto"/>
            <w:vAlign w:val="center"/>
          </w:tcPr>
          <w:p w:rsidR="00F573AC" w:rsidRPr="00DE475B" w:rsidRDefault="000E0ADF" w:rsidP="00F573AC">
            <w:pPr>
              <w:jc w:val="center"/>
              <w:rPr>
                <w:rFonts w:ascii="Arial" w:hAnsi="Arial" w:cs="Arial"/>
                <w:sz w:val="20"/>
                <w:szCs w:val="20"/>
              </w:rPr>
            </w:pPr>
            <w:r w:rsidRPr="00DE475B">
              <w:rPr>
                <w:rFonts w:ascii="Arial" w:hAnsi="Arial" w:cs="Arial"/>
                <w:sz w:val="20"/>
                <w:szCs w:val="20"/>
              </w:rPr>
              <w:t>3</w:t>
            </w:r>
          </w:p>
        </w:tc>
        <w:tc>
          <w:tcPr>
            <w:tcW w:w="1105" w:type="dxa"/>
            <w:tcBorders>
              <w:top w:val="single" w:sz="6" w:space="0" w:color="000000"/>
              <w:bottom w:val="single" w:sz="6" w:space="0" w:color="000000"/>
            </w:tcBorders>
            <w:shd w:val="clear" w:color="auto" w:fill="auto"/>
            <w:vAlign w:val="center"/>
          </w:tcPr>
          <w:p w:rsidR="00F573AC" w:rsidRPr="00DE475B" w:rsidRDefault="000E0ADF" w:rsidP="00F573AC">
            <w:pPr>
              <w:jc w:val="center"/>
              <w:rPr>
                <w:rFonts w:ascii="Arial" w:hAnsi="Arial" w:cs="Arial"/>
                <w:sz w:val="20"/>
                <w:szCs w:val="20"/>
              </w:rPr>
            </w:pPr>
            <w:r w:rsidRPr="00DE475B">
              <w:rPr>
                <w:rFonts w:ascii="Arial" w:hAnsi="Arial" w:cs="Arial"/>
                <w:sz w:val="20"/>
                <w:szCs w:val="20"/>
              </w:rPr>
              <w:t>3</w:t>
            </w:r>
          </w:p>
        </w:tc>
      </w:tr>
      <w:tr w:rsidR="00F573AC" w:rsidRPr="00DE475B" w:rsidTr="008123A0">
        <w:tc>
          <w:tcPr>
            <w:tcW w:w="3369" w:type="dxa"/>
            <w:tcBorders>
              <w:top w:val="single" w:sz="6" w:space="0" w:color="000000"/>
              <w:bottom w:val="single" w:sz="6" w:space="0" w:color="000000"/>
            </w:tcBorders>
            <w:shd w:val="clear" w:color="auto" w:fill="auto"/>
          </w:tcPr>
          <w:p w:rsidR="00F573AC" w:rsidRPr="00DE475B" w:rsidRDefault="00F573AC" w:rsidP="00F573AC">
            <w:pPr>
              <w:rPr>
                <w:rFonts w:ascii="Arial" w:hAnsi="Arial" w:cs="Arial"/>
                <w:sz w:val="20"/>
                <w:szCs w:val="20"/>
              </w:rPr>
            </w:pPr>
            <w:r w:rsidRPr="00DE475B">
              <w:rPr>
                <w:rFonts w:ascii="Arial" w:hAnsi="Arial" w:cs="Arial"/>
                <w:sz w:val="20"/>
                <w:szCs w:val="20"/>
              </w:rPr>
              <w:t>Mr Matthew McDonnell</w:t>
            </w:r>
          </w:p>
        </w:tc>
        <w:tc>
          <w:tcPr>
            <w:tcW w:w="1701" w:type="dxa"/>
            <w:tcBorders>
              <w:top w:val="single" w:sz="6" w:space="0" w:color="000000"/>
              <w:bottom w:val="single" w:sz="6" w:space="0" w:color="000000"/>
            </w:tcBorders>
            <w:vAlign w:val="center"/>
          </w:tcPr>
          <w:p w:rsidR="00F573AC" w:rsidRPr="00DE475B" w:rsidRDefault="00F573AC" w:rsidP="00F573AC">
            <w:pPr>
              <w:jc w:val="center"/>
              <w:rPr>
                <w:rFonts w:ascii="Arial" w:hAnsi="Arial" w:cs="Arial"/>
                <w:sz w:val="20"/>
                <w:szCs w:val="20"/>
              </w:rPr>
            </w:pPr>
            <w:r w:rsidRPr="00DE475B">
              <w:rPr>
                <w:rFonts w:ascii="Arial" w:hAnsi="Arial" w:cs="Arial"/>
                <w:sz w:val="20"/>
                <w:szCs w:val="20"/>
              </w:rPr>
              <w:t>April 2008</w:t>
            </w:r>
          </w:p>
        </w:tc>
        <w:tc>
          <w:tcPr>
            <w:tcW w:w="1701" w:type="dxa"/>
            <w:tcBorders>
              <w:top w:val="single" w:sz="6" w:space="0" w:color="000000"/>
              <w:bottom w:val="single" w:sz="6" w:space="0" w:color="000000"/>
            </w:tcBorders>
            <w:vAlign w:val="center"/>
          </w:tcPr>
          <w:p w:rsidR="00F573AC" w:rsidRPr="00DE475B" w:rsidRDefault="008877D9" w:rsidP="008123A0">
            <w:pPr>
              <w:jc w:val="center"/>
              <w:rPr>
                <w:rFonts w:ascii="Arial" w:hAnsi="Arial" w:cs="Arial"/>
                <w:sz w:val="20"/>
                <w:szCs w:val="20"/>
              </w:rPr>
            </w:pPr>
            <w:r w:rsidRPr="00DE475B">
              <w:rPr>
                <w:rFonts w:ascii="Arial" w:hAnsi="Arial" w:cs="Arial"/>
                <w:sz w:val="20"/>
                <w:szCs w:val="20"/>
              </w:rPr>
              <w:t>February 2017</w:t>
            </w:r>
          </w:p>
        </w:tc>
        <w:tc>
          <w:tcPr>
            <w:tcW w:w="1134" w:type="dxa"/>
            <w:tcBorders>
              <w:top w:val="single" w:sz="6" w:space="0" w:color="000000"/>
              <w:bottom w:val="single" w:sz="6" w:space="0" w:color="000000"/>
            </w:tcBorders>
            <w:shd w:val="clear" w:color="auto" w:fill="auto"/>
            <w:vAlign w:val="center"/>
          </w:tcPr>
          <w:p w:rsidR="00F573AC" w:rsidRPr="00DE475B" w:rsidRDefault="000E0ADF" w:rsidP="00F573AC">
            <w:pPr>
              <w:jc w:val="center"/>
              <w:rPr>
                <w:rFonts w:ascii="Arial" w:hAnsi="Arial" w:cs="Arial"/>
                <w:sz w:val="20"/>
                <w:szCs w:val="20"/>
              </w:rPr>
            </w:pPr>
            <w:r w:rsidRPr="00DE475B">
              <w:rPr>
                <w:rFonts w:ascii="Arial" w:hAnsi="Arial" w:cs="Arial"/>
                <w:sz w:val="20"/>
                <w:szCs w:val="20"/>
              </w:rPr>
              <w:t>3</w:t>
            </w:r>
          </w:p>
        </w:tc>
        <w:tc>
          <w:tcPr>
            <w:tcW w:w="1105" w:type="dxa"/>
            <w:tcBorders>
              <w:top w:val="single" w:sz="6" w:space="0" w:color="000000"/>
              <w:bottom w:val="single" w:sz="6" w:space="0" w:color="000000"/>
            </w:tcBorders>
            <w:shd w:val="clear" w:color="auto" w:fill="auto"/>
            <w:vAlign w:val="center"/>
          </w:tcPr>
          <w:p w:rsidR="00F573AC" w:rsidRPr="00DE475B" w:rsidRDefault="000E0ADF" w:rsidP="00F573AC">
            <w:pPr>
              <w:jc w:val="center"/>
              <w:rPr>
                <w:rFonts w:ascii="Arial" w:hAnsi="Arial" w:cs="Arial"/>
                <w:sz w:val="20"/>
                <w:szCs w:val="20"/>
              </w:rPr>
            </w:pPr>
            <w:r w:rsidRPr="00DE475B">
              <w:rPr>
                <w:rFonts w:ascii="Arial" w:hAnsi="Arial" w:cs="Arial"/>
                <w:sz w:val="20"/>
                <w:szCs w:val="20"/>
              </w:rPr>
              <w:t>3</w:t>
            </w:r>
          </w:p>
        </w:tc>
      </w:tr>
      <w:tr w:rsidR="007C50DC" w:rsidRPr="00DE475B" w:rsidTr="008123A0">
        <w:tc>
          <w:tcPr>
            <w:tcW w:w="3369" w:type="dxa"/>
            <w:tcBorders>
              <w:top w:val="single" w:sz="6" w:space="0" w:color="000000"/>
              <w:bottom w:val="single" w:sz="6" w:space="0" w:color="000000"/>
            </w:tcBorders>
            <w:shd w:val="clear" w:color="auto" w:fill="auto"/>
          </w:tcPr>
          <w:p w:rsidR="007C50DC" w:rsidRPr="00DE475B" w:rsidRDefault="007C50DC" w:rsidP="00F358C3">
            <w:pPr>
              <w:rPr>
                <w:rFonts w:ascii="Arial" w:hAnsi="Arial" w:cs="Arial"/>
                <w:sz w:val="20"/>
                <w:szCs w:val="20"/>
              </w:rPr>
            </w:pPr>
            <w:r w:rsidRPr="00DE475B">
              <w:rPr>
                <w:rFonts w:ascii="Arial" w:hAnsi="Arial" w:cs="Arial"/>
                <w:sz w:val="20"/>
                <w:szCs w:val="20"/>
              </w:rPr>
              <w:t>Mr Malcolm McMillan</w:t>
            </w:r>
          </w:p>
        </w:tc>
        <w:tc>
          <w:tcPr>
            <w:tcW w:w="1701" w:type="dxa"/>
            <w:tcBorders>
              <w:top w:val="single" w:sz="6" w:space="0" w:color="000000"/>
              <w:bottom w:val="single" w:sz="6" w:space="0" w:color="000000"/>
            </w:tcBorders>
            <w:vAlign w:val="center"/>
          </w:tcPr>
          <w:p w:rsidR="007C50DC" w:rsidRPr="00DE475B" w:rsidRDefault="007C50DC" w:rsidP="00F573AC">
            <w:pPr>
              <w:jc w:val="center"/>
              <w:rPr>
                <w:rFonts w:ascii="Arial" w:hAnsi="Arial" w:cs="Arial"/>
                <w:sz w:val="20"/>
                <w:szCs w:val="20"/>
              </w:rPr>
            </w:pPr>
            <w:r w:rsidRPr="00DE475B">
              <w:rPr>
                <w:rFonts w:ascii="Arial" w:hAnsi="Arial" w:cs="Arial"/>
                <w:sz w:val="20"/>
                <w:szCs w:val="20"/>
              </w:rPr>
              <w:t>March 2017</w:t>
            </w:r>
          </w:p>
        </w:tc>
        <w:tc>
          <w:tcPr>
            <w:tcW w:w="1701" w:type="dxa"/>
            <w:tcBorders>
              <w:top w:val="single" w:sz="6" w:space="0" w:color="000000"/>
              <w:bottom w:val="single" w:sz="6" w:space="0" w:color="000000"/>
            </w:tcBorders>
            <w:vAlign w:val="center"/>
          </w:tcPr>
          <w:p w:rsidR="007C50DC" w:rsidRPr="00DE475B" w:rsidRDefault="008123A0" w:rsidP="008123A0">
            <w:pPr>
              <w:jc w:val="center"/>
              <w:rPr>
                <w:rFonts w:ascii="Arial" w:hAnsi="Arial" w:cs="Arial"/>
                <w:sz w:val="20"/>
                <w:szCs w:val="20"/>
              </w:rPr>
            </w:pPr>
            <w:r w:rsidRPr="00DE475B">
              <w:rPr>
                <w:rFonts w:ascii="Arial" w:hAnsi="Arial" w:cs="Arial"/>
                <w:sz w:val="20"/>
                <w:szCs w:val="20"/>
              </w:rPr>
              <w:t>—</w:t>
            </w:r>
          </w:p>
        </w:tc>
        <w:tc>
          <w:tcPr>
            <w:tcW w:w="1134" w:type="dxa"/>
            <w:tcBorders>
              <w:top w:val="single" w:sz="6" w:space="0" w:color="000000"/>
              <w:bottom w:val="single" w:sz="6" w:space="0" w:color="000000"/>
            </w:tcBorders>
            <w:shd w:val="clear" w:color="auto" w:fill="auto"/>
            <w:vAlign w:val="center"/>
          </w:tcPr>
          <w:p w:rsidR="007C50DC" w:rsidRPr="00DE475B" w:rsidRDefault="000E0ADF" w:rsidP="00F573AC">
            <w:pPr>
              <w:jc w:val="center"/>
              <w:rPr>
                <w:rFonts w:ascii="Arial" w:hAnsi="Arial" w:cs="Arial"/>
                <w:sz w:val="20"/>
                <w:szCs w:val="20"/>
              </w:rPr>
            </w:pPr>
            <w:r w:rsidRPr="00DE475B">
              <w:rPr>
                <w:rFonts w:ascii="Arial" w:hAnsi="Arial" w:cs="Arial"/>
                <w:sz w:val="20"/>
                <w:szCs w:val="20"/>
              </w:rPr>
              <w:t>1</w:t>
            </w:r>
          </w:p>
        </w:tc>
        <w:tc>
          <w:tcPr>
            <w:tcW w:w="1105" w:type="dxa"/>
            <w:tcBorders>
              <w:top w:val="single" w:sz="6" w:space="0" w:color="000000"/>
              <w:bottom w:val="single" w:sz="6" w:space="0" w:color="000000"/>
            </w:tcBorders>
            <w:shd w:val="clear" w:color="auto" w:fill="auto"/>
            <w:vAlign w:val="center"/>
          </w:tcPr>
          <w:p w:rsidR="007C50DC" w:rsidRPr="00DE475B" w:rsidRDefault="000E0ADF" w:rsidP="00F573AC">
            <w:pPr>
              <w:jc w:val="center"/>
              <w:rPr>
                <w:rFonts w:ascii="Arial" w:hAnsi="Arial" w:cs="Arial"/>
                <w:sz w:val="20"/>
                <w:szCs w:val="20"/>
              </w:rPr>
            </w:pPr>
            <w:r w:rsidRPr="00DE475B">
              <w:rPr>
                <w:rFonts w:ascii="Arial" w:hAnsi="Arial" w:cs="Arial"/>
                <w:sz w:val="20"/>
                <w:szCs w:val="20"/>
              </w:rPr>
              <w:t>1</w:t>
            </w:r>
          </w:p>
        </w:tc>
      </w:tr>
      <w:tr w:rsidR="007C50DC" w:rsidRPr="00DE475B" w:rsidTr="008123A0">
        <w:tc>
          <w:tcPr>
            <w:tcW w:w="3369" w:type="dxa"/>
            <w:tcBorders>
              <w:top w:val="single" w:sz="6" w:space="0" w:color="000000"/>
              <w:bottom w:val="single" w:sz="6" w:space="0" w:color="000000"/>
            </w:tcBorders>
            <w:shd w:val="clear" w:color="auto" w:fill="auto"/>
          </w:tcPr>
          <w:p w:rsidR="007C50DC" w:rsidRPr="00DE475B" w:rsidRDefault="007C50DC" w:rsidP="00F358C3">
            <w:pPr>
              <w:rPr>
                <w:rFonts w:ascii="Arial" w:hAnsi="Arial" w:cs="Arial"/>
                <w:sz w:val="20"/>
                <w:szCs w:val="20"/>
              </w:rPr>
            </w:pPr>
            <w:r w:rsidRPr="00DE475B">
              <w:rPr>
                <w:rFonts w:ascii="Arial" w:hAnsi="Arial" w:cs="Arial"/>
                <w:sz w:val="20"/>
                <w:szCs w:val="20"/>
              </w:rPr>
              <w:t>Dr Sandra Phil</w:t>
            </w:r>
            <w:r w:rsidR="00585810">
              <w:rPr>
                <w:rFonts w:ascii="Arial" w:hAnsi="Arial" w:cs="Arial"/>
                <w:sz w:val="20"/>
                <w:szCs w:val="20"/>
              </w:rPr>
              <w:t>l</w:t>
            </w:r>
            <w:r w:rsidRPr="00DE475B">
              <w:rPr>
                <w:rFonts w:ascii="Arial" w:hAnsi="Arial" w:cs="Arial"/>
                <w:sz w:val="20"/>
                <w:szCs w:val="20"/>
              </w:rPr>
              <w:t>ips</w:t>
            </w:r>
          </w:p>
        </w:tc>
        <w:tc>
          <w:tcPr>
            <w:tcW w:w="1701" w:type="dxa"/>
            <w:tcBorders>
              <w:top w:val="single" w:sz="6" w:space="0" w:color="000000"/>
              <w:bottom w:val="single" w:sz="6" w:space="0" w:color="000000"/>
            </w:tcBorders>
            <w:vAlign w:val="center"/>
          </w:tcPr>
          <w:p w:rsidR="007C50DC" w:rsidRPr="00DE475B" w:rsidRDefault="007C50DC" w:rsidP="00F573AC">
            <w:pPr>
              <w:jc w:val="center"/>
              <w:rPr>
                <w:rFonts w:ascii="Arial" w:hAnsi="Arial" w:cs="Arial"/>
                <w:sz w:val="20"/>
                <w:szCs w:val="20"/>
              </w:rPr>
            </w:pPr>
            <w:r w:rsidRPr="00DE475B">
              <w:rPr>
                <w:rFonts w:ascii="Arial" w:hAnsi="Arial" w:cs="Arial"/>
                <w:sz w:val="20"/>
                <w:szCs w:val="20"/>
              </w:rPr>
              <w:t>March 2017</w:t>
            </w:r>
          </w:p>
        </w:tc>
        <w:tc>
          <w:tcPr>
            <w:tcW w:w="1701" w:type="dxa"/>
            <w:tcBorders>
              <w:top w:val="single" w:sz="6" w:space="0" w:color="000000"/>
              <w:bottom w:val="single" w:sz="6" w:space="0" w:color="000000"/>
            </w:tcBorders>
            <w:vAlign w:val="center"/>
          </w:tcPr>
          <w:p w:rsidR="007C50DC" w:rsidRPr="00DE475B" w:rsidRDefault="008123A0" w:rsidP="008123A0">
            <w:pPr>
              <w:jc w:val="center"/>
              <w:rPr>
                <w:rFonts w:ascii="Arial" w:hAnsi="Arial" w:cs="Arial"/>
                <w:sz w:val="20"/>
                <w:szCs w:val="20"/>
              </w:rPr>
            </w:pPr>
            <w:r w:rsidRPr="00DE475B">
              <w:rPr>
                <w:rFonts w:ascii="Arial" w:hAnsi="Arial" w:cs="Arial"/>
                <w:sz w:val="20"/>
                <w:szCs w:val="20"/>
              </w:rPr>
              <w:t>—</w:t>
            </w:r>
          </w:p>
        </w:tc>
        <w:tc>
          <w:tcPr>
            <w:tcW w:w="1134" w:type="dxa"/>
            <w:tcBorders>
              <w:top w:val="single" w:sz="6" w:space="0" w:color="000000"/>
              <w:bottom w:val="single" w:sz="6" w:space="0" w:color="000000"/>
            </w:tcBorders>
            <w:shd w:val="clear" w:color="auto" w:fill="auto"/>
            <w:vAlign w:val="center"/>
          </w:tcPr>
          <w:p w:rsidR="007C50DC" w:rsidRPr="00DE475B" w:rsidRDefault="000E0ADF" w:rsidP="00F573AC">
            <w:pPr>
              <w:jc w:val="center"/>
              <w:rPr>
                <w:rFonts w:ascii="Arial" w:hAnsi="Arial" w:cs="Arial"/>
                <w:sz w:val="20"/>
                <w:szCs w:val="20"/>
              </w:rPr>
            </w:pPr>
            <w:r w:rsidRPr="00DE475B">
              <w:rPr>
                <w:rFonts w:ascii="Arial" w:hAnsi="Arial" w:cs="Arial"/>
                <w:sz w:val="20"/>
                <w:szCs w:val="20"/>
              </w:rPr>
              <w:t>1</w:t>
            </w:r>
          </w:p>
        </w:tc>
        <w:tc>
          <w:tcPr>
            <w:tcW w:w="1105" w:type="dxa"/>
            <w:tcBorders>
              <w:top w:val="single" w:sz="6" w:space="0" w:color="000000"/>
              <w:bottom w:val="single" w:sz="6" w:space="0" w:color="000000"/>
            </w:tcBorders>
            <w:shd w:val="clear" w:color="auto" w:fill="auto"/>
            <w:vAlign w:val="center"/>
          </w:tcPr>
          <w:p w:rsidR="007C50DC" w:rsidRPr="00DE475B" w:rsidRDefault="000E0ADF" w:rsidP="00F573AC">
            <w:pPr>
              <w:jc w:val="center"/>
              <w:rPr>
                <w:rFonts w:ascii="Arial" w:hAnsi="Arial" w:cs="Arial"/>
                <w:sz w:val="20"/>
                <w:szCs w:val="20"/>
              </w:rPr>
            </w:pPr>
            <w:r w:rsidRPr="00DE475B">
              <w:rPr>
                <w:rFonts w:ascii="Arial" w:hAnsi="Arial" w:cs="Arial"/>
                <w:sz w:val="20"/>
                <w:szCs w:val="20"/>
              </w:rPr>
              <w:t>0</w:t>
            </w:r>
          </w:p>
        </w:tc>
      </w:tr>
      <w:tr w:rsidR="00F573AC" w:rsidRPr="00DE475B" w:rsidTr="008123A0">
        <w:tc>
          <w:tcPr>
            <w:tcW w:w="3369" w:type="dxa"/>
            <w:tcBorders>
              <w:top w:val="single" w:sz="6" w:space="0" w:color="000000"/>
              <w:bottom w:val="single" w:sz="6" w:space="0" w:color="000000"/>
            </w:tcBorders>
            <w:shd w:val="clear" w:color="auto" w:fill="auto"/>
          </w:tcPr>
          <w:p w:rsidR="00F573AC" w:rsidRPr="00DE475B" w:rsidRDefault="00F573AC" w:rsidP="00F573AC">
            <w:pPr>
              <w:rPr>
                <w:rFonts w:ascii="Arial" w:hAnsi="Arial" w:cs="Arial"/>
                <w:sz w:val="20"/>
                <w:szCs w:val="20"/>
              </w:rPr>
            </w:pPr>
            <w:r w:rsidRPr="00DE475B">
              <w:rPr>
                <w:rFonts w:ascii="Arial" w:hAnsi="Arial" w:cs="Arial"/>
                <w:sz w:val="20"/>
                <w:szCs w:val="20"/>
              </w:rPr>
              <w:t>Mr Scott Reid</w:t>
            </w:r>
          </w:p>
        </w:tc>
        <w:tc>
          <w:tcPr>
            <w:tcW w:w="1701" w:type="dxa"/>
            <w:tcBorders>
              <w:top w:val="single" w:sz="6" w:space="0" w:color="000000"/>
              <w:bottom w:val="single" w:sz="6" w:space="0" w:color="000000"/>
            </w:tcBorders>
            <w:vAlign w:val="center"/>
          </w:tcPr>
          <w:p w:rsidR="00F573AC" w:rsidRPr="00DE475B" w:rsidRDefault="00F573AC" w:rsidP="00F573AC">
            <w:pPr>
              <w:jc w:val="center"/>
              <w:rPr>
                <w:rFonts w:ascii="Arial" w:hAnsi="Arial" w:cs="Arial"/>
                <w:sz w:val="20"/>
                <w:szCs w:val="20"/>
              </w:rPr>
            </w:pPr>
            <w:r w:rsidRPr="00DE475B">
              <w:rPr>
                <w:rFonts w:ascii="Arial" w:hAnsi="Arial" w:cs="Arial"/>
                <w:sz w:val="20"/>
                <w:szCs w:val="20"/>
              </w:rPr>
              <w:t>February 2011</w:t>
            </w:r>
          </w:p>
        </w:tc>
        <w:tc>
          <w:tcPr>
            <w:tcW w:w="1701" w:type="dxa"/>
            <w:tcBorders>
              <w:top w:val="single" w:sz="6" w:space="0" w:color="000000"/>
              <w:bottom w:val="single" w:sz="6" w:space="0" w:color="000000"/>
            </w:tcBorders>
            <w:vAlign w:val="center"/>
          </w:tcPr>
          <w:p w:rsidR="00F573AC" w:rsidRPr="00DE475B" w:rsidRDefault="008877D9" w:rsidP="008123A0">
            <w:pPr>
              <w:jc w:val="center"/>
              <w:rPr>
                <w:rFonts w:ascii="Arial" w:hAnsi="Arial" w:cs="Arial"/>
                <w:sz w:val="20"/>
                <w:szCs w:val="20"/>
              </w:rPr>
            </w:pPr>
            <w:r w:rsidRPr="00DE475B">
              <w:rPr>
                <w:rFonts w:ascii="Arial" w:hAnsi="Arial" w:cs="Arial"/>
                <w:sz w:val="20"/>
                <w:szCs w:val="20"/>
              </w:rPr>
              <w:t>February 2017</w:t>
            </w:r>
          </w:p>
        </w:tc>
        <w:tc>
          <w:tcPr>
            <w:tcW w:w="1134" w:type="dxa"/>
            <w:tcBorders>
              <w:top w:val="single" w:sz="6" w:space="0" w:color="000000"/>
              <w:bottom w:val="single" w:sz="6" w:space="0" w:color="000000"/>
            </w:tcBorders>
            <w:shd w:val="clear" w:color="auto" w:fill="auto"/>
            <w:vAlign w:val="center"/>
          </w:tcPr>
          <w:p w:rsidR="00F573AC" w:rsidRPr="00DE475B" w:rsidRDefault="000E0ADF" w:rsidP="00F573AC">
            <w:pPr>
              <w:jc w:val="center"/>
              <w:rPr>
                <w:rFonts w:ascii="Arial" w:hAnsi="Arial" w:cs="Arial"/>
                <w:sz w:val="20"/>
                <w:szCs w:val="20"/>
              </w:rPr>
            </w:pPr>
            <w:r w:rsidRPr="00DE475B">
              <w:rPr>
                <w:rFonts w:ascii="Arial" w:hAnsi="Arial" w:cs="Arial"/>
                <w:sz w:val="20"/>
                <w:szCs w:val="20"/>
              </w:rPr>
              <w:t>3</w:t>
            </w:r>
          </w:p>
        </w:tc>
        <w:tc>
          <w:tcPr>
            <w:tcW w:w="1105" w:type="dxa"/>
            <w:tcBorders>
              <w:top w:val="single" w:sz="6" w:space="0" w:color="000000"/>
              <w:bottom w:val="single" w:sz="6" w:space="0" w:color="000000"/>
            </w:tcBorders>
            <w:shd w:val="clear" w:color="auto" w:fill="auto"/>
            <w:vAlign w:val="center"/>
          </w:tcPr>
          <w:p w:rsidR="00F573AC" w:rsidRPr="00DE475B" w:rsidRDefault="000E0ADF" w:rsidP="00F573AC">
            <w:pPr>
              <w:jc w:val="center"/>
              <w:rPr>
                <w:rFonts w:ascii="Arial" w:hAnsi="Arial" w:cs="Arial"/>
                <w:sz w:val="20"/>
                <w:szCs w:val="20"/>
              </w:rPr>
            </w:pPr>
            <w:r w:rsidRPr="00DE475B">
              <w:rPr>
                <w:rFonts w:ascii="Arial" w:hAnsi="Arial" w:cs="Arial"/>
                <w:sz w:val="20"/>
                <w:szCs w:val="20"/>
              </w:rPr>
              <w:t>2</w:t>
            </w:r>
          </w:p>
        </w:tc>
      </w:tr>
      <w:tr w:rsidR="00F573AC" w:rsidRPr="00DE475B" w:rsidTr="008123A0">
        <w:tc>
          <w:tcPr>
            <w:tcW w:w="3369" w:type="dxa"/>
            <w:tcBorders>
              <w:top w:val="single" w:sz="6" w:space="0" w:color="000000"/>
              <w:bottom w:val="single" w:sz="6" w:space="0" w:color="000000"/>
            </w:tcBorders>
            <w:shd w:val="clear" w:color="auto" w:fill="auto"/>
          </w:tcPr>
          <w:p w:rsidR="00F573AC" w:rsidRPr="00DE475B" w:rsidRDefault="00F573AC" w:rsidP="00F573AC">
            <w:pPr>
              <w:rPr>
                <w:rFonts w:ascii="Arial" w:hAnsi="Arial" w:cs="Arial"/>
                <w:sz w:val="20"/>
                <w:szCs w:val="20"/>
              </w:rPr>
            </w:pPr>
            <w:r w:rsidRPr="00DE475B">
              <w:rPr>
                <w:rFonts w:ascii="Arial" w:hAnsi="Arial" w:cs="Arial"/>
                <w:sz w:val="20"/>
                <w:szCs w:val="20"/>
              </w:rPr>
              <w:t xml:space="preserve">Associate Professor Grace </w:t>
            </w:r>
            <w:proofErr w:type="spellStart"/>
            <w:r w:rsidRPr="00DE475B">
              <w:rPr>
                <w:rFonts w:ascii="Arial" w:hAnsi="Arial" w:cs="Arial"/>
                <w:sz w:val="20"/>
                <w:szCs w:val="20"/>
              </w:rPr>
              <w:t>Sarra</w:t>
            </w:r>
            <w:proofErr w:type="spellEnd"/>
          </w:p>
        </w:tc>
        <w:tc>
          <w:tcPr>
            <w:tcW w:w="1701" w:type="dxa"/>
            <w:tcBorders>
              <w:top w:val="single" w:sz="6" w:space="0" w:color="000000"/>
              <w:bottom w:val="single" w:sz="6" w:space="0" w:color="000000"/>
            </w:tcBorders>
            <w:vAlign w:val="center"/>
          </w:tcPr>
          <w:p w:rsidR="00F573AC" w:rsidRPr="00DE475B" w:rsidRDefault="00F573AC" w:rsidP="00F573AC">
            <w:pPr>
              <w:jc w:val="center"/>
              <w:rPr>
                <w:rFonts w:ascii="Arial" w:hAnsi="Arial" w:cs="Arial"/>
                <w:sz w:val="20"/>
                <w:szCs w:val="20"/>
              </w:rPr>
            </w:pPr>
            <w:r w:rsidRPr="00DE475B">
              <w:rPr>
                <w:rFonts w:ascii="Arial" w:hAnsi="Arial" w:cs="Arial"/>
                <w:sz w:val="20"/>
                <w:szCs w:val="20"/>
              </w:rPr>
              <w:t>February 2008</w:t>
            </w:r>
          </w:p>
        </w:tc>
        <w:tc>
          <w:tcPr>
            <w:tcW w:w="1701" w:type="dxa"/>
            <w:tcBorders>
              <w:top w:val="single" w:sz="6" w:space="0" w:color="000000"/>
              <w:bottom w:val="single" w:sz="6" w:space="0" w:color="000000"/>
            </w:tcBorders>
            <w:vAlign w:val="center"/>
          </w:tcPr>
          <w:p w:rsidR="00F573AC" w:rsidRPr="00DE475B" w:rsidRDefault="008877D9" w:rsidP="008123A0">
            <w:pPr>
              <w:jc w:val="center"/>
              <w:rPr>
                <w:rFonts w:ascii="Arial" w:hAnsi="Arial" w:cs="Arial"/>
                <w:sz w:val="20"/>
                <w:szCs w:val="20"/>
              </w:rPr>
            </w:pPr>
            <w:r w:rsidRPr="00DE475B">
              <w:rPr>
                <w:rFonts w:ascii="Arial" w:hAnsi="Arial" w:cs="Arial"/>
                <w:sz w:val="20"/>
                <w:szCs w:val="20"/>
              </w:rPr>
              <w:t>February 2017</w:t>
            </w:r>
          </w:p>
        </w:tc>
        <w:tc>
          <w:tcPr>
            <w:tcW w:w="1134" w:type="dxa"/>
            <w:tcBorders>
              <w:top w:val="single" w:sz="6" w:space="0" w:color="000000"/>
              <w:bottom w:val="single" w:sz="6" w:space="0" w:color="000000"/>
            </w:tcBorders>
            <w:shd w:val="clear" w:color="auto" w:fill="auto"/>
            <w:vAlign w:val="center"/>
          </w:tcPr>
          <w:p w:rsidR="00F573AC" w:rsidRPr="00DE475B" w:rsidRDefault="000E0ADF" w:rsidP="00F573AC">
            <w:pPr>
              <w:jc w:val="center"/>
              <w:rPr>
                <w:rFonts w:ascii="Arial" w:hAnsi="Arial" w:cs="Arial"/>
                <w:sz w:val="20"/>
                <w:szCs w:val="20"/>
              </w:rPr>
            </w:pPr>
            <w:r w:rsidRPr="00DE475B">
              <w:rPr>
                <w:rFonts w:ascii="Arial" w:hAnsi="Arial" w:cs="Arial"/>
                <w:sz w:val="20"/>
                <w:szCs w:val="20"/>
              </w:rPr>
              <w:t>3</w:t>
            </w:r>
          </w:p>
        </w:tc>
        <w:tc>
          <w:tcPr>
            <w:tcW w:w="1105" w:type="dxa"/>
            <w:tcBorders>
              <w:top w:val="single" w:sz="6" w:space="0" w:color="000000"/>
              <w:bottom w:val="single" w:sz="6" w:space="0" w:color="000000"/>
            </w:tcBorders>
            <w:shd w:val="clear" w:color="auto" w:fill="auto"/>
            <w:vAlign w:val="center"/>
          </w:tcPr>
          <w:p w:rsidR="00F573AC" w:rsidRPr="00DE475B" w:rsidRDefault="000E0ADF" w:rsidP="00F573AC">
            <w:pPr>
              <w:jc w:val="center"/>
              <w:rPr>
                <w:rFonts w:ascii="Arial" w:hAnsi="Arial" w:cs="Arial"/>
                <w:sz w:val="20"/>
                <w:szCs w:val="20"/>
              </w:rPr>
            </w:pPr>
            <w:r w:rsidRPr="00DE475B">
              <w:rPr>
                <w:rFonts w:ascii="Arial" w:hAnsi="Arial" w:cs="Arial"/>
                <w:sz w:val="20"/>
                <w:szCs w:val="20"/>
              </w:rPr>
              <w:t>1</w:t>
            </w:r>
          </w:p>
        </w:tc>
      </w:tr>
      <w:tr w:rsidR="007C50DC" w:rsidRPr="00DE475B" w:rsidTr="008123A0">
        <w:tc>
          <w:tcPr>
            <w:tcW w:w="3369" w:type="dxa"/>
            <w:tcBorders>
              <w:top w:val="single" w:sz="6" w:space="0" w:color="000000"/>
              <w:bottom w:val="single" w:sz="4" w:space="0" w:color="000000"/>
            </w:tcBorders>
            <w:shd w:val="clear" w:color="auto" w:fill="auto"/>
          </w:tcPr>
          <w:p w:rsidR="007C50DC" w:rsidRPr="00DE475B" w:rsidRDefault="007C50DC" w:rsidP="00F358C3">
            <w:pPr>
              <w:rPr>
                <w:rFonts w:ascii="Arial" w:hAnsi="Arial" w:cs="Arial"/>
                <w:sz w:val="20"/>
                <w:szCs w:val="20"/>
              </w:rPr>
            </w:pPr>
            <w:r w:rsidRPr="00DE475B">
              <w:rPr>
                <w:rFonts w:ascii="Arial" w:hAnsi="Arial" w:cs="Arial"/>
                <w:sz w:val="20"/>
                <w:szCs w:val="20"/>
              </w:rPr>
              <w:t xml:space="preserve">Mr Bob </w:t>
            </w:r>
            <w:proofErr w:type="spellStart"/>
            <w:r w:rsidRPr="00DE475B">
              <w:rPr>
                <w:rFonts w:ascii="Arial" w:hAnsi="Arial" w:cs="Arial"/>
                <w:sz w:val="20"/>
                <w:szCs w:val="20"/>
              </w:rPr>
              <w:t>Shead</w:t>
            </w:r>
            <w:proofErr w:type="spellEnd"/>
          </w:p>
        </w:tc>
        <w:tc>
          <w:tcPr>
            <w:tcW w:w="1701" w:type="dxa"/>
            <w:tcBorders>
              <w:top w:val="single" w:sz="6" w:space="0" w:color="000000"/>
              <w:bottom w:val="single" w:sz="4" w:space="0" w:color="000000"/>
            </w:tcBorders>
            <w:vAlign w:val="center"/>
          </w:tcPr>
          <w:p w:rsidR="007C50DC" w:rsidRPr="00DE475B" w:rsidRDefault="007C50DC" w:rsidP="00F573AC">
            <w:pPr>
              <w:jc w:val="center"/>
              <w:rPr>
                <w:rFonts w:ascii="Arial" w:hAnsi="Arial" w:cs="Arial"/>
                <w:sz w:val="20"/>
                <w:szCs w:val="20"/>
              </w:rPr>
            </w:pPr>
            <w:r w:rsidRPr="00DE475B">
              <w:rPr>
                <w:rFonts w:ascii="Arial" w:hAnsi="Arial" w:cs="Arial"/>
                <w:sz w:val="20"/>
                <w:szCs w:val="20"/>
              </w:rPr>
              <w:t>March 2017</w:t>
            </w:r>
          </w:p>
        </w:tc>
        <w:tc>
          <w:tcPr>
            <w:tcW w:w="1701" w:type="dxa"/>
            <w:tcBorders>
              <w:top w:val="single" w:sz="6" w:space="0" w:color="000000"/>
              <w:bottom w:val="single" w:sz="4" w:space="0" w:color="000000"/>
            </w:tcBorders>
            <w:vAlign w:val="center"/>
          </w:tcPr>
          <w:p w:rsidR="007C50DC" w:rsidRPr="00DE475B" w:rsidRDefault="008123A0" w:rsidP="008123A0">
            <w:pPr>
              <w:jc w:val="center"/>
              <w:rPr>
                <w:rFonts w:ascii="Arial" w:hAnsi="Arial" w:cs="Arial"/>
                <w:sz w:val="20"/>
                <w:szCs w:val="20"/>
              </w:rPr>
            </w:pPr>
            <w:r w:rsidRPr="00DE475B">
              <w:rPr>
                <w:rFonts w:ascii="Arial" w:hAnsi="Arial" w:cs="Arial"/>
                <w:sz w:val="20"/>
                <w:szCs w:val="20"/>
              </w:rPr>
              <w:t>—</w:t>
            </w:r>
          </w:p>
        </w:tc>
        <w:tc>
          <w:tcPr>
            <w:tcW w:w="1134" w:type="dxa"/>
            <w:tcBorders>
              <w:top w:val="single" w:sz="6" w:space="0" w:color="000000"/>
              <w:bottom w:val="single" w:sz="4" w:space="0" w:color="000000"/>
            </w:tcBorders>
            <w:shd w:val="clear" w:color="auto" w:fill="auto"/>
            <w:vAlign w:val="center"/>
          </w:tcPr>
          <w:p w:rsidR="007C50DC" w:rsidRPr="00DE475B" w:rsidRDefault="000E0ADF" w:rsidP="00F573AC">
            <w:pPr>
              <w:jc w:val="center"/>
              <w:rPr>
                <w:rFonts w:ascii="Arial" w:hAnsi="Arial" w:cs="Arial"/>
                <w:sz w:val="20"/>
                <w:szCs w:val="20"/>
              </w:rPr>
            </w:pPr>
            <w:r w:rsidRPr="00DE475B">
              <w:rPr>
                <w:rFonts w:ascii="Arial" w:hAnsi="Arial" w:cs="Arial"/>
                <w:sz w:val="20"/>
                <w:szCs w:val="20"/>
              </w:rPr>
              <w:t>1</w:t>
            </w:r>
          </w:p>
        </w:tc>
        <w:tc>
          <w:tcPr>
            <w:tcW w:w="1105" w:type="dxa"/>
            <w:tcBorders>
              <w:top w:val="single" w:sz="6" w:space="0" w:color="000000"/>
              <w:bottom w:val="single" w:sz="4" w:space="0" w:color="000000"/>
            </w:tcBorders>
            <w:shd w:val="clear" w:color="auto" w:fill="auto"/>
            <w:vAlign w:val="center"/>
          </w:tcPr>
          <w:p w:rsidR="007C50DC" w:rsidRPr="00DE475B" w:rsidRDefault="000E0ADF" w:rsidP="00F573AC">
            <w:pPr>
              <w:jc w:val="center"/>
              <w:rPr>
                <w:rFonts w:ascii="Arial" w:hAnsi="Arial" w:cs="Arial"/>
                <w:sz w:val="20"/>
                <w:szCs w:val="20"/>
              </w:rPr>
            </w:pPr>
            <w:r w:rsidRPr="00DE475B">
              <w:rPr>
                <w:rFonts w:ascii="Arial" w:hAnsi="Arial" w:cs="Arial"/>
                <w:sz w:val="20"/>
                <w:szCs w:val="20"/>
              </w:rPr>
              <w:t>1</w:t>
            </w:r>
          </w:p>
        </w:tc>
      </w:tr>
      <w:tr w:rsidR="00F573AC" w:rsidRPr="00DE475B" w:rsidTr="008123A0">
        <w:tc>
          <w:tcPr>
            <w:tcW w:w="3369" w:type="dxa"/>
            <w:tcBorders>
              <w:top w:val="single" w:sz="6" w:space="0" w:color="000000"/>
              <w:bottom w:val="single" w:sz="4" w:space="0" w:color="000000"/>
            </w:tcBorders>
            <w:shd w:val="clear" w:color="auto" w:fill="auto"/>
          </w:tcPr>
          <w:p w:rsidR="00F573AC" w:rsidRPr="00DE475B" w:rsidRDefault="00F573AC" w:rsidP="00F573AC">
            <w:pPr>
              <w:rPr>
                <w:rFonts w:ascii="Arial" w:hAnsi="Arial" w:cs="Arial"/>
                <w:sz w:val="20"/>
                <w:szCs w:val="20"/>
              </w:rPr>
            </w:pPr>
            <w:r w:rsidRPr="00DE475B">
              <w:rPr>
                <w:rFonts w:ascii="Arial" w:hAnsi="Arial" w:cs="Arial"/>
                <w:sz w:val="20"/>
                <w:szCs w:val="20"/>
              </w:rPr>
              <w:t>Adjunct Professor Joan Sheldon</w:t>
            </w:r>
            <w:r w:rsidRPr="00DE475B">
              <w:rPr>
                <w:smallCaps/>
                <w:color w:val="808080"/>
              </w:rPr>
              <w:t xml:space="preserve"> </w:t>
            </w:r>
            <w:r w:rsidRPr="00DE475B">
              <w:rPr>
                <w:rFonts w:ascii="Arial" w:hAnsi="Arial" w:cs="Arial"/>
                <w:smallCaps/>
                <w:sz w:val="20"/>
                <w:szCs w:val="20"/>
              </w:rPr>
              <w:t>am</w:t>
            </w:r>
          </w:p>
        </w:tc>
        <w:tc>
          <w:tcPr>
            <w:tcW w:w="1701" w:type="dxa"/>
            <w:tcBorders>
              <w:top w:val="single" w:sz="6" w:space="0" w:color="000000"/>
              <w:bottom w:val="single" w:sz="4" w:space="0" w:color="000000"/>
            </w:tcBorders>
            <w:vAlign w:val="center"/>
          </w:tcPr>
          <w:p w:rsidR="00F573AC" w:rsidRPr="00DE475B" w:rsidRDefault="00F573AC" w:rsidP="00F573AC">
            <w:pPr>
              <w:jc w:val="center"/>
              <w:rPr>
                <w:rFonts w:ascii="Arial" w:hAnsi="Arial" w:cs="Arial"/>
                <w:sz w:val="20"/>
                <w:szCs w:val="20"/>
              </w:rPr>
            </w:pPr>
            <w:r w:rsidRPr="00DE475B">
              <w:rPr>
                <w:rFonts w:ascii="Arial" w:hAnsi="Arial" w:cs="Arial"/>
                <w:sz w:val="20"/>
                <w:szCs w:val="20"/>
              </w:rPr>
              <w:t>March 2014</w:t>
            </w:r>
          </w:p>
        </w:tc>
        <w:tc>
          <w:tcPr>
            <w:tcW w:w="1701" w:type="dxa"/>
            <w:tcBorders>
              <w:top w:val="single" w:sz="6" w:space="0" w:color="000000"/>
              <w:bottom w:val="single" w:sz="4" w:space="0" w:color="000000"/>
            </w:tcBorders>
            <w:vAlign w:val="center"/>
          </w:tcPr>
          <w:p w:rsidR="00F573AC" w:rsidRPr="00DE475B" w:rsidRDefault="008877D9" w:rsidP="008123A0">
            <w:pPr>
              <w:jc w:val="center"/>
              <w:rPr>
                <w:rFonts w:ascii="Arial" w:hAnsi="Arial" w:cs="Arial"/>
                <w:sz w:val="20"/>
                <w:szCs w:val="20"/>
              </w:rPr>
            </w:pPr>
            <w:r w:rsidRPr="00DE475B">
              <w:rPr>
                <w:rFonts w:ascii="Arial" w:hAnsi="Arial" w:cs="Arial"/>
                <w:sz w:val="20"/>
                <w:szCs w:val="20"/>
              </w:rPr>
              <w:t>February 2017</w:t>
            </w:r>
          </w:p>
        </w:tc>
        <w:tc>
          <w:tcPr>
            <w:tcW w:w="1134" w:type="dxa"/>
            <w:tcBorders>
              <w:top w:val="single" w:sz="6" w:space="0" w:color="000000"/>
              <w:bottom w:val="single" w:sz="4" w:space="0" w:color="000000"/>
            </w:tcBorders>
            <w:shd w:val="clear" w:color="auto" w:fill="auto"/>
            <w:vAlign w:val="center"/>
          </w:tcPr>
          <w:p w:rsidR="00F573AC" w:rsidRPr="00DE475B" w:rsidRDefault="000E0ADF" w:rsidP="00F573AC">
            <w:pPr>
              <w:jc w:val="center"/>
              <w:rPr>
                <w:rFonts w:ascii="Arial" w:hAnsi="Arial" w:cs="Arial"/>
                <w:sz w:val="20"/>
                <w:szCs w:val="20"/>
              </w:rPr>
            </w:pPr>
            <w:r w:rsidRPr="00DE475B">
              <w:rPr>
                <w:rFonts w:ascii="Arial" w:hAnsi="Arial" w:cs="Arial"/>
                <w:sz w:val="20"/>
                <w:szCs w:val="20"/>
              </w:rPr>
              <w:t>3</w:t>
            </w:r>
          </w:p>
        </w:tc>
        <w:tc>
          <w:tcPr>
            <w:tcW w:w="1105" w:type="dxa"/>
            <w:tcBorders>
              <w:top w:val="single" w:sz="6" w:space="0" w:color="000000"/>
              <w:bottom w:val="single" w:sz="4" w:space="0" w:color="000000"/>
            </w:tcBorders>
            <w:shd w:val="clear" w:color="auto" w:fill="auto"/>
            <w:vAlign w:val="center"/>
          </w:tcPr>
          <w:p w:rsidR="00F573AC" w:rsidRPr="00DE475B" w:rsidRDefault="000E0ADF" w:rsidP="00F573AC">
            <w:pPr>
              <w:jc w:val="center"/>
              <w:rPr>
                <w:rFonts w:ascii="Arial" w:hAnsi="Arial" w:cs="Arial"/>
                <w:sz w:val="20"/>
                <w:szCs w:val="20"/>
              </w:rPr>
            </w:pPr>
            <w:r w:rsidRPr="00DE475B">
              <w:rPr>
                <w:rFonts w:ascii="Arial" w:hAnsi="Arial" w:cs="Arial"/>
                <w:sz w:val="20"/>
                <w:szCs w:val="20"/>
              </w:rPr>
              <w:t>3</w:t>
            </w:r>
          </w:p>
        </w:tc>
      </w:tr>
    </w:tbl>
    <w:p w:rsidR="00D346B4" w:rsidRPr="00DE475B" w:rsidRDefault="00D346B4" w:rsidP="00890C5A">
      <w:pPr>
        <w:rPr>
          <w:rFonts w:ascii="Arial" w:hAnsi="Arial" w:cs="Arial"/>
          <w:sz w:val="20"/>
          <w:szCs w:val="20"/>
        </w:rPr>
      </w:pPr>
    </w:p>
    <w:p w:rsidR="00D346B4" w:rsidRPr="00DE475B" w:rsidRDefault="00D346B4">
      <w:pPr>
        <w:pStyle w:val="ARHeading1"/>
        <w:pageBreakBefore/>
        <w:rPr>
          <w:sz w:val="20"/>
          <w:szCs w:val="20"/>
        </w:rPr>
      </w:pPr>
      <w:r w:rsidRPr="00DE475B">
        <w:lastRenderedPageBreak/>
        <w:t>Queensland Library Foundation</w:t>
      </w:r>
    </w:p>
    <w:p w:rsidR="00D346B4" w:rsidRPr="00DE475B" w:rsidRDefault="00D346B4">
      <w:pPr>
        <w:pStyle w:val="ARHeading1"/>
        <w:rPr>
          <w:sz w:val="24"/>
          <w:szCs w:val="24"/>
        </w:rPr>
      </w:pPr>
    </w:p>
    <w:p w:rsidR="00D346B4" w:rsidRPr="00DE475B" w:rsidRDefault="00D346B4">
      <w:pPr>
        <w:rPr>
          <w:rFonts w:ascii="Arial" w:hAnsi="Arial" w:cs="Arial"/>
          <w:color w:val="F04023"/>
          <w:sz w:val="22"/>
          <w:szCs w:val="22"/>
        </w:rPr>
      </w:pPr>
      <w:r w:rsidRPr="00DE475B">
        <w:rPr>
          <w:rFonts w:ascii="Arial" w:hAnsi="Arial" w:cs="Arial"/>
          <w:i/>
          <w:sz w:val="20"/>
          <w:szCs w:val="20"/>
        </w:rPr>
        <w:t xml:space="preserve">Queensland Library Foundation (the Foundation) supports </w:t>
      </w:r>
      <w:proofErr w:type="spellStart"/>
      <w:r w:rsidRPr="00DE475B">
        <w:rPr>
          <w:rFonts w:ascii="Arial" w:hAnsi="Arial" w:cs="Arial"/>
          <w:i/>
          <w:sz w:val="20"/>
          <w:szCs w:val="20"/>
        </w:rPr>
        <w:t>SLQ’s</w:t>
      </w:r>
      <w:proofErr w:type="spellEnd"/>
      <w:r w:rsidRPr="00DE475B">
        <w:rPr>
          <w:rFonts w:ascii="Arial" w:hAnsi="Arial" w:cs="Arial"/>
          <w:i/>
          <w:sz w:val="20"/>
          <w:szCs w:val="20"/>
        </w:rPr>
        <w:t xml:space="preserve"> fundraising endeavours, specifically in the philanthropic and corporate sectors. </w:t>
      </w:r>
      <w:r w:rsidR="00852CE2" w:rsidRPr="00DE475B">
        <w:rPr>
          <w:rFonts w:ascii="Arial" w:hAnsi="Arial" w:cs="Arial"/>
          <w:i/>
          <w:sz w:val="20"/>
          <w:szCs w:val="20"/>
        </w:rPr>
        <w:t>It was e</w:t>
      </w:r>
      <w:r w:rsidRPr="00DE475B">
        <w:rPr>
          <w:rFonts w:ascii="Arial" w:hAnsi="Arial" w:cs="Arial"/>
          <w:i/>
          <w:sz w:val="20"/>
          <w:szCs w:val="20"/>
        </w:rPr>
        <w:t xml:space="preserve">stablished by the Library Board under the powers as defined by the </w:t>
      </w:r>
      <w:r w:rsidRPr="00DE475B">
        <w:rPr>
          <w:rFonts w:ascii="Arial" w:hAnsi="Arial" w:cs="Arial"/>
          <w:iCs/>
          <w:sz w:val="20"/>
          <w:szCs w:val="20"/>
        </w:rPr>
        <w:t>Libraries Act 1988</w:t>
      </w:r>
      <w:r w:rsidRPr="00DE475B">
        <w:rPr>
          <w:rFonts w:ascii="Arial" w:hAnsi="Arial" w:cs="Arial"/>
          <w:i/>
          <w:sz w:val="20"/>
          <w:szCs w:val="20"/>
        </w:rPr>
        <w:t>.</w:t>
      </w:r>
    </w:p>
    <w:p w:rsidR="00D346B4" w:rsidRPr="00DE475B" w:rsidRDefault="00D346B4">
      <w:pPr>
        <w:rPr>
          <w:rFonts w:ascii="Arial" w:hAnsi="Arial" w:cs="Arial"/>
          <w:color w:val="F04023"/>
          <w:sz w:val="22"/>
          <w:szCs w:val="22"/>
        </w:rPr>
      </w:pPr>
    </w:p>
    <w:p w:rsidR="00D346B4" w:rsidRPr="00DE475B" w:rsidRDefault="00D346B4">
      <w:pPr>
        <w:sectPr w:rsidR="00D346B4" w:rsidRPr="00DE475B" w:rsidSect="00B53922">
          <w:type w:val="continuous"/>
          <w:pgSz w:w="11906" w:h="16838"/>
          <w:pgMar w:top="1440" w:right="1701" w:bottom="1440" w:left="1701" w:header="709" w:footer="709" w:gutter="0"/>
          <w:cols w:space="720"/>
          <w:docGrid w:linePitch="360"/>
        </w:sectPr>
      </w:pPr>
    </w:p>
    <w:p w:rsidR="00D346B4" w:rsidRPr="00DE475B" w:rsidRDefault="00D346B4">
      <w:pPr>
        <w:spacing w:after="120"/>
        <w:rPr>
          <w:rFonts w:ascii="Arial" w:hAnsi="Arial" w:cs="Arial"/>
          <w:sz w:val="20"/>
          <w:szCs w:val="20"/>
        </w:rPr>
      </w:pPr>
      <w:r w:rsidRPr="00DE475B">
        <w:rPr>
          <w:rFonts w:ascii="Arial" w:hAnsi="Arial" w:cs="Arial"/>
          <w:sz w:val="20"/>
          <w:szCs w:val="20"/>
        </w:rPr>
        <w:lastRenderedPageBreak/>
        <w:t xml:space="preserve">The Foundation is a not-for-profit company, Limited by Guarantee, registered under the </w:t>
      </w:r>
      <w:r w:rsidRPr="00DE475B">
        <w:rPr>
          <w:rFonts w:ascii="Arial" w:hAnsi="Arial" w:cs="Arial"/>
          <w:i/>
          <w:sz w:val="20"/>
          <w:szCs w:val="20"/>
        </w:rPr>
        <w:t>Corporations Act 2001</w:t>
      </w:r>
      <w:r w:rsidRPr="00DE475B">
        <w:rPr>
          <w:rFonts w:ascii="Arial" w:hAnsi="Arial" w:cs="Arial"/>
          <w:sz w:val="20"/>
          <w:szCs w:val="20"/>
        </w:rPr>
        <w:t xml:space="preserve">. In keeping with the Act, the Foundation produces its own annual report and associated audited financial statements, which are available online at </w:t>
      </w:r>
      <w:r w:rsidR="00C0413A" w:rsidRPr="00DE475B">
        <w:rPr>
          <w:rFonts w:ascii="Arial" w:hAnsi="Arial" w:cs="Arial"/>
          <w:sz w:val="20"/>
          <w:szCs w:val="20"/>
        </w:rPr>
        <w:t>www.</w:t>
      </w:r>
      <w:r w:rsidRPr="00DE475B">
        <w:rPr>
          <w:rFonts w:ascii="Arial" w:hAnsi="Arial" w:cs="Arial"/>
          <w:sz w:val="20"/>
          <w:szCs w:val="20"/>
        </w:rPr>
        <w:t>slq.qld.gov.au/about-us/queensland-library-foundation/annual-report or from the Foundation office.</w:t>
      </w:r>
    </w:p>
    <w:p w:rsidR="00D346B4" w:rsidRPr="00DE475B" w:rsidRDefault="00D346B4">
      <w:pPr>
        <w:spacing w:after="120"/>
        <w:rPr>
          <w:rFonts w:ascii="Arial" w:hAnsi="Arial" w:cs="Arial"/>
          <w:sz w:val="20"/>
          <w:szCs w:val="20"/>
        </w:rPr>
      </w:pPr>
      <w:r w:rsidRPr="00DE475B">
        <w:rPr>
          <w:rFonts w:ascii="Arial" w:hAnsi="Arial" w:cs="Arial"/>
          <w:sz w:val="20"/>
          <w:szCs w:val="20"/>
        </w:rPr>
        <w:t xml:space="preserve">Since 2002–03, the Foundation’s financial statements have been consolidated into those of the parent entity, the Library Board, </w:t>
      </w:r>
      <w:r w:rsidR="00BC08C2" w:rsidRPr="00DE475B">
        <w:rPr>
          <w:rFonts w:ascii="Arial" w:hAnsi="Arial" w:cs="Arial"/>
          <w:sz w:val="20"/>
          <w:szCs w:val="20"/>
        </w:rPr>
        <w:t xml:space="preserve">in accordance with </w:t>
      </w:r>
      <w:r w:rsidRPr="00DE475B">
        <w:rPr>
          <w:rFonts w:ascii="Arial" w:hAnsi="Arial" w:cs="Arial"/>
          <w:sz w:val="20"/>
          <w:szCs w:val="20"/>
        </w:rPr>
        <w:t>Australian accounting standards.</w:t>
      </w:r>
    </w:p>
    <w:p w:rsidR="00D346B4" w:rsidRPr="00DE475B" w:rsidRDefault="00D346B4">
      <w:pPr>
        <w:spacing w:after="40"/>
        <w:rPr>
          <w:rFonts w:ascii="Arial" w:hAnsi="Arial" w:cs="Arial"/>
          <w:sz w:val="20"/>
          <w:szCs w:val="20"/>
          <w:shd w:val="clear" w:color="auto" w:fill="FFFF00"/>
        </w:rPr>
      </w:pPr>
      <w:r w:rsidRPr="00DE475B">
        <w:rPr>
          <w:rFonts w:ascii="Arial" w:hAnsi="Arial" w:cs="Arial"/>
          <w:sz w:val="20"/>
          <w:szCs w:val="20"/>
        </w:rPr>
        <w:t>Through the generosity of sponsors and donors, the Foundation supported and enabled a range of projects in 201</w:t>
      </w:r>
      <w:r w:rsidR="00B75140" w:rsidRPr="00DE475B">
        <w:rPr>
          <w:rFonts w:ascii="Arial" w:hAnsi="Arial" w:cs="Arial"/>
          <w:sz w:val="20"/>
          <w:szCs w:val="20"/>
        </w:rPr>
        <w:t>6</w:t>
      </w:r>
      <w:r w:rsidRPr="00DE475B">
        <w:rPr>
          <w:rFonts w:ascii="Arial" w:hAnsi="Arial" w:cs="Arial"/>
          <w:sz w:val="20"/>
          <w:szCs w:val="20"/>
        </w:rPr>
        <w:t>–1</w:t>
      </w:r>
      <w:r w:rsidR="00B75140" w:rsidRPr="00DE475B">
        <w:rPr>
          <w:rFonts w:ascii="Arial" w:hAnsi="Arial" w:cs="Arial"/>
          <w:sz w:val="20"/>
          <w:szCs w:val="20"/>
        </w:rPr>
        <w:t>7</w:t>
      </w:r>
      <w:r w:rsidR="00A01865" w:rsidRPr="00DE475B">
        <w:rPr>
          <w:rFonts w:ascii="Arial" w:hAnsi="Arial" w:cs="Arial"/>
          <w:sz w:val="20"/>
          <w:szCs w:val="20"/>
        </w:rPr>
        <w:t>, including:</w:t>
      </w:r>
    </w:p>
    <w:p w:rsidR="00B56E7F" w:rsidRPr="00DE475B" w:rsidRDefault="00B56E7F" w:rsidP="00B56E7F">
      <w:pPr>
        <w:numPr>
          <w:ilvl w:val="0"/>
          <w:numId w:val="7"/>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 xml:space="preserve">the prestigious John Oxley Fellowship, awarded to </w:t>
      </w:r>
      <w:r w:rsidRPr="00DE475B">
        <w:rPr>
          <w:rFonts w:ascii="Arial" w:hAnsi="Arial" w:cs="Arial"/>
          <w:color w:val="242424"/>
          <w:sz w:val="20"/>
          <w:szCs w:val="20"/>
        </w:rPr>
        <w:t xml:space="preserve">Dr Lauren </w:t>
      </w:r>
      <w:proofErr w:type="spellStart"/>
      <w:r w:rsidRPr="00DE475B">
        <w:rPr>
          <w:rFonts w:ascii="Arial" w:hAnsi="Arial" w:cs="Arial"/>
          <w:color w:val="242424"/>
          <w:sz w:val="20"/>
          <w:szCs w:val="20"/>
        </w:rPr>
        <w:t>Istvandity</w:t>
      </w:r>
      <w:proofErr w:type="spellEnd"/>
      <w:r w:rsidRPr="00DE475B">
        <w:rPr>
          <w:rFonts w:ascii="Arial" w:hAnsi="Arial" w:cs="Arial"/>
          <w:color w:val="242424"/>
          <w:sz w:val="20"/>
          <w:szCs w:val="20"/>
        </w:rPr>
        <w:t xml:space="preserve"> for her project </w:t>
      </w:r>
      <w:r w:rsidRPr="00DE475B">
        <w:rPr>
          <w:rFonts w:ascii="Arial" w:hAnsi="Arial" w:cs="Arial"/>
          <w:i/>
          <w:color w:val="242424"/>
          <w:sz w:val="20"/>
          <w:szCs w:val="20"/>
        </w:rPr>
        <w:t>Reminiscing about jazz in Queensland: Preserving pre-1965 oral histories for the Queensland Jazz Archive Collection</w:t>
      </w:r>
      <w:r w:rsidR="00C91718">
        <w:rPr>
          <w:rFonts w:ascii="Arial" w:hAnsi="Arial" w:cs="Arial"/>
          <w:i/>
          <w:color w:val="242424"/>
          <w:sz w:val="20"/>
          <w:szCs w:val="20"/>
        </w:rPr>
        <w:t xml:space="preserve"> </w:t>
      </w:r>
      <w:r w:rsidR="00C91718" w:rsidRPr="00C91718">
        <w:rPr>
          <w:rFonts w:ascii="Arial" w:hAnsi="Arial" w:cs="Arial"/>
          <w:color w:val="242424"/>
          <w:sz w:val="20"/>
          <w:szCs w:val="20"/>
        </w:rPr>
        <w:t>(page 26)</w:t>
      </w:r>
    </w:p>
    <w:p w:rsidR="00B56E7F" w:rsidRPr="0083566D" w:rsidRDefault="00B56E7F" w:rsidP="00B56E7F">
      <w:pPr>
        <w:numPr>
          <w:ilvl w:val="0"/>
          <w:numId w:val="7"/>
        </w:numPr>
        <w:tabs>
          <w:tab w:val="left" w:pos="284"/>
          <w:tab w:val="left" w:pos="360"/>
        </w:tabs>
        <w:spacing w:after="40"/>
        <w:ind w:left="284" w:hanging="284"/>
        <w:rPr>
          <w:rFonts w:ascii="Arial" w:hAnsi="Arial" w:cs="Arial"/>
          <w:i/>
          <w:sz w:val="20"/>
          <w:szCs w:val="20"/>
        </w:rPr>
      </w:pPr>
      <w:r w:rsidRPr="00DE475B">
        <w:rPr>
          <w:rFonts w:ascii="Arial" w:hAnsi="Arial" w:cs="Arial"/>
          <w:color w:val="242424"/>
          <w:sz w:val="20"/>
          <w:szCs w:val="20"/>
        </w:rPr>
        <w:t xml:space="preserve">the John Oxley Library Community History Award, presented to the Annerley-Stephens History Group for their continued and highly successful community project: </w:t>
      </w:r>
      <w:r w:rsidRPr="0083566D">
        <w:rPr>
          <w:rFonts w:ascii="Arial" w:hAnsi="Arial" w:cs="Arial"/>
          <w:i/>
          <w:color w:val="242424"/>
          <w:sz w:val="20"/>
          <w:szCs w:val="20"/>
        </w:rPr>
        <w:t xml:space="preserve">The Frank Corley House Photo </w:t>
      </w:r>
      <w:r w:rsidR="0083566D">
        <w:rPr>
          <w:rFonts w:ascii="Arial" w:hAnsi="Arial" w:cs="Arial"/>
          <w:i/>
          <w:color w:val="242424"/>
          <w:sz w:val="20"/>
          <w:szCs w:val="20"/>
        </w:rPr>
        <w:t>P</w:t>
      </w:r>
      <w:r w:rsidRPr="0083566D">
        <w:rPr>
          <w:rFonts w:ascii="Arial" w:hAnsi="Arial" w:cs="Arial"/>
          <w:i/>
          <w:color w:val="242424"/>
          <w:sz w:val="20"/>
          <w:szCs w:val="20"/>
        </w:rPr>
        <w:t>roject</w:t>
      </w:r>
    </w:p>
    <w:p w:rsidR="00B56E7F" w:rsidRPr="00DE475B" w:rsidRDefault="00B56E7F" w:rsidP="00B56E7F">
      <w:pPr>
        <w:numPr>
          <w:ilvl w:val="0"/>
          <w:numId w:val="7"/>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 xml:space="preserve">music research entitled </w:t>
      </w:r>
      <w:r w:rsidRPr="00DE475B">
        <w:rPr>
          <w:rStyle w:val="Emphasis"/>
          <w:rFonts w:ascii="Arial" w:hAnsi="Arial" w:cs="Arial"/>
          <w:color w:val="242424"/>
          <w:sz w:val="20"/>
          <w:szCs w:val="20"/>
        </w:rPr>
        <w:t>Street life: posters and their role in the Brisbane music scene 1975–1995</w:t>
      </w:r>
      <w:r w:rsidRPr="00DE475B">
        <w:rPr>
          <w:rFonts w:ascii="Arial" w:hAnsi="Arial" w:cs="Arial"/>
          <w:sz w:val="20"/>
          <w:szCs w:val="20"/>
        </w:rPr>
        <w:t xml:space="preserve"> by Queensland musician John </w:t>
      </w:r>
      <w:proofErr w:type="spellStart"/>
      <w:r w:rsidRPr="00DE475B">
        <w:rPr>
          <w:rFonts w:ascii="Arial" w:hAnsi="Arial" w:cs="Arial"/>
          <w:sz w:val="20"/>
          <w:szCs w:val="20"/>
        </w:rPr>
        <w:t>Willsteed</w:t>
      </w:r>
      <w:proofErr w:type="spellEnd"/>
      <w:r w:rsidRPr="00DE475B">
        <w:rPr>
          <w:rFonts w:ascii="Arial" w:hAnsi="Arial" w:cs="Arial"/>
          <w:sz w:val="20"/>
          <w:szCs w:val="20"/>
        </w:rPr>
        <w:t xml:space="preserve">, inaugural winner of the </w:t>
      </w:r>
      <w:r w:rsidRPr="00DE475B">
        <w:rPr>
          <w:rFonts w:ascii="Arial" w:hAnsi="Arial" w:cs="Arial"/>
          <w:i/>
          <w:sz w:val="20"/>
          <w:szCs w:val="20"/>
        </w:rPr>
        <w:t xml:space="preserve">Letty </w:t>
      </w:r>
      <w:proofErr w:type="spellStart"/>
      <w:r w:rsidRPr="00DE475B">
        <w:rPr>
          <w:rFonts w:ascii="Arial" w:hAnsi="Arial" w:cs="Arial"/>
          <w:i/>
          <w:sz w:val="20"/>
          <w:szCs w:val="20"/>
        </w:rPr>
        <w:t>Katts</w:t>
      </w:r>
      <w:proofErr w:type="spellEnd"/>
      <w:r w:rsidRPr="00DE475B">
        <w:rPr>
          <w:rFonts w:ascii="Arial" w:hAnsi="Arial" w:cs="Arial"/>
          <w:i/>
          <w:sz w:val="20"/>
          <w:szCs w:val="20"/>
        </w:rPr>
        <w:t xml:space="preserve"> Award</w:t>
      </w:r>
    </w:p>
    <w:p w:rsidR="00B56E7F" w:rsidRPr="00DE475B" w:rsidRDefault="00B56E7F" w:rsidP="00B56E7F">
      <w:pPr>
        <w:numPr>
          <w:ilvl w:val="0"/>
          <w:numId w:val="7"/>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the acquisition of Australia’s largest and most comprehensive Bee Gees collection of Australian recordings, enabled by the generosity of the Dowling Family</w:t>
      </w:r>
    </w:p>
    <w:p w:rsidR="00B56E7F" w:rsidRPr="00DE475B" w:rsidRDefault="0043174D" w:rsidP="00B56E7F">
      <w:pPr>
        <w:numPr>
          <w:ilvl w:val="0"/>
          <w:numId w:val="7"/>
        </w:numPr>
        <w:tabs>
          <w:tab w:val="left" w:pos="284"/>
          <w:tab w:val="left" w:pos="360"/>
        </w:tabs>
        <w:spacing w:after="40"/>
        <w:ind w:left="284" w:hanging="284"/>
        <w:rPr>
          <w:rFonts w:ascii="Arial" w:hAnsi="Arial" w:cs="Arial"/>
          <w:sz w:val="20"/>
          <w:szCs w:val="20"/>
        </w:rPr>
      </w:pPr>
      <w:r>
        <w:rPr>
          <w:rFonts w:ascii="Arial" w:hAnsi="Arial" w:cs="Arial"/>
          <w:sz w:val="20"/>
          <w:szCs w:val="20"/>
        </w:rPr>
        <w:t>in</w:t>
      </w:r>
      <w:r w:rsidR="00B56E7F" w:rsidRPr="00DE475B">
        <w:rPr>
          <w:rFonts w:ascii="Arial" w:hAnsi="Arial" w:cs="Arial"/>
          <w:sz w:val="20"/>
          <w:szCs w:val="20"/>
        </w:rPr>
        <w:t xml:space="preserve">duction of new recipients of the </w:t>
      </w:r>
      <w:proofErr w:type="spellStart"/>
      <w:r w:rsidR="00B56E7F" w:rsidRPr="00DE475B">
        <w:rPr>
          <w:rFonts w:ascii="Arial" w:hAnsi="Arial" w:cs="Arial"/>
          <w:i/>
          <w:sz w:val="20"/>
          <w:szCs w:val="20"/>
        </w:rPr>
        <w:t>Mittelheuser</w:t>
      </w:r>
      <w:proofErr w:type="spellEnd"/>
      <w:r w:rsidR="00C91718">
        <w:rPr>
          <w:rFonts w:ascii="Arial" w:hAnsi="Arial" w:cs="Arial"/>
          <w:i/>
          <w:sz w:val="20"/>
          <w:szCs w:val="20"/>
        </w:rPr>
        <w:t xml:space="preserve"> Scholar-in-</w:t>
      </w:r>
      <w:r w:rsidR="00B56E7F" w:rsidRPr="00DE475B">
        <w:rPr>
          <w:rFonts w:ascii="Arial" w:hAnsi="Arial" w:cs="Arial"/>
          <w:i/>
          <w:sz w:val="20"/>
          <w:szCs w:val="20"/>
        </w:rPr>
        <w:t>Residence and Student Internship Program</w:t>
      </w:r>
      <w:r w:rsidR="00B56E7F" w:rsidRPr="00DE475B">
        <w:rPr>
          <w:rFonts w:ascii="Arial" w:hAnsi="Arial" w:cs="Arial"/>
          <w:sz w:val="20"/>
          <w:szCs w:val="20"/>
        </w:rPr>
        <w:t xml:space="preserve">, supported by Dr </w:t>
      </w:r>
      <w:proofErr w:type="spellStart"/>
      <w:r w:rsidR="00B56E7F" w:rsidRPr="00DE475B">
        <w:rPr>
          <w:rFonts w:ascii="Arial" w:hAnsi="Arial" w:cs="Arial"/>
          <w:sz w:val="20"/>
          <w:szCs w:val="20"/>
        </w:rPr>
        <w:t>Cathryn</w:t>
      </w:r>
      <w:proofErr w:type="spellEnd"/>
      <w:r w:rsidR="00B56E7F" w:rsidRPr="00DE475B">
        <w:rPr>
          <w:rFonts w:ascii="Arial" w:hAnsi="Arial" w:cs="Arial"/>
          <w:sz w:val="20"/>
          <w:szCs w:val="20"/>
        </w:rPr>
        <w:t xml:space="preserve"> </w:t>
      </w:r>
      <w:proofErr w:type="spellStart"/>
      <w:r w:rsidR="00B56E7F" w:rsidRPr="00DE475B">
        <w:rPr>
          <w:rFonts w:ascii="Arial" w:hAnsi="Arial" w:cs="Arial"/>
          <w:sz w:val="20"/>
          <w:szCs w:val="20"/>
        </w:rPr>
        <w:t>Mittelheuser</w:t>
      </w:r>
      <w:proofErr w:type="spellEnd"/>
      <w:r w:rsidR="00B56E7F" w:rsidRPr="00DE475B">
        <w:rPr>
          <w:rFonts w:ascii="Arial" w:hAnsi="Arial" w:cs="Arial"/>
          <w:smallCaps/>
          <w:sz w:val="20"/>
          <w:szCs w:val="20"/>
        </w:rPr>
        <w:t xml:space="preserve"> am</w:t>
      </w:r>
    </w:p>
    <w:p w:rsidR="00B56E7F" w:rsidRPr="00DE475B" w:rsidRDefault="00B56E7F" w:rsidP="00B56E7F">
      <w:pPr>
        <w:numPr>
          <w:ilvl w:val="0"/>
          <w:numId w:val="7"/>
        </w:numPr>
        <w:tabs>
          <w:tab w:val="left" w:pos="284"/>
          <w:tab w:val="left" w:pos="360"/>
        </w:tabs>
        <w:spacing w:after="40"/>
        <w:ind w:left="284" w:hanging="284"/>
        <w:rPr>
          <w:rFonts w:ascii="Arial" w:hAnsi="Arial" w:cs="Arial"/>
          <w:i/>
          <w:sz w:val="20"/>
          <w:szCs w:val="20"/>
        </w:rPr>
      </w:pPr>
      <w:r w:rsidRPr="00DE475B">
        <w:rPr>
          <w:rFonts w:ascii="Arial" w:hAnsi="Arial" w:cs="Arial"/>
          <w:sz w:val="20"/>
          <w:szCs w:val="20"/>
        </w:rPr>
        <w:t xml:space="preserve">new interviews added to </w:t>
      </w:r>
      <w:r w:rsidRPr="00DE475B">
        <w:rPr>
          <w:rFonts w:ascii="Arial" w:hAnsi="Arial" w:cs="Arial"/>
          <w:i/>
          <w:sz w:val="20"/>
          <w:szCs w:val="20"/>
        </w:rPr>
        <w:t xml:space="preserve">The James C </w:t>
      </w:r>
      <w:proofErr w:type="spellStart"/>
      <w:r w:rsidRPr="00DE475B">
        <w:rPr>
          <w:rFonts w:ascii="Arial" w:hAnsi="Arial" w:cs="Arial"/>
          <w:i/>
          <w:sz w:val="20"/>
          <w:szCs w:val="20"/>
        </w:rPr>
        <w:t>Sourris</w:t>
      </w:r>
      <w:proofErr w:type="spellEnd"/>
      <w:r w:rsidRPr="00DE475B">
        <w:rPr>
          <w:rFonts w:ascii="Arial" w:hAnsi="Arial" w:cs="Arial"/>
          <w:i/>
          <w:sz w:val="20"/>
          <w:szCs w:val="20"/>
        </w:rPr>
        <w:t xml:space="preserve"> </w:t>
      </w:r>
      <w:r w:rsidRPr="00DE475B">
        <w:rPr>
          <w:rFonts w:ascii="Arial" w:hAnsi="Arial" w:cs="Arial"/>
          <w:i/>
          <w:smallCaps/>
          <w:sz w:val="20"/>
          <w:szCs w:val="20"/>
        </w:rPr>
        <w:t>am</w:t>
      </w:r>
      <w:r w:rsidRPr="00DE475B">
        <w:rPr>
          <w:rFonts w:ascii="Arial" w:hAnsi="Arial" w:cs="Arial"/>
          <w:i/>
          <w:sz w:val="20"/>
          <w:szCs w:val="20"/>
        </w:rPr>
        <w:t xml:space="preserve"> Collection, </w:t>
      </w:r>
      <w:r w:rsidRPr="00DE475B">
        <w:rPr>
          <w:rFonts w:ascii="Arial" w:hAnsi="Arial" w:cs="Arial"/>
          <w:sz w:val="20"/>
          <w:szCs w:val="20"/>
        </w:rPr>
        <w:t>which captures the voice of contemporary Australian artists for current and future generations</w:t>
      </w:r>
    </w:p>
    <w:p w:rsidR="00B56E7F" w:rsidRPr="00DD6CD8" w:rsidRDefault="00B56E7F" w:rsidP="00B56E7F">
      <w:pPr>
        <w:numPr>
          <w:ilvl w:val="0"/>
          <w:numId w:val="7"/>
        </w:numPr>
        <w:tabs>
          <w:tab w:val="left" w:pos="284"/>
          <w:tab w:val="left" w:pos="360"/>
        </w:tabs>
        <w:spacing w:after="40"/>
        <w:ind w:left="284" w:hanging="284"/>
        <w:rPr>
          <w:rFonts w:ascii="Arial" w:hAnsi="Arial" w:cs="Arial"/>
          <w:spacing w:val="-2"/>
          <w:sz w:val="20"/>
          <w:szCs w:val="20"/>
        </w:rPr>
      </w:pPr>
      <w:r w:rsidRPr="00DD6CD8">
        <w:rPr>
          <w:rFonts w:ascii="Arial" w:hAnsi="Arial" w:cs="Arial"/>
          <w:spacing w:val="-2"/>
          <w:sz w:val="20"/>
          <w:szCs w:val="20"/>
        </w:rPr>
        <w:t>inclusion of new inductees into the Queensland Business Leaders Hall o</w:t>
      </w:r>
      <w:r w:rsidR="00DD6CD8" w:rsidRPr="00DD6CD8">
        <w:rPr>
          <w:rFonts w:ascii="Arial" w:hAnsi="Arial" w:cs="Arial"/>
          <w:spacing w:val="-2"/>
          <w:sz w:val="20"/>
          <w:szCs w:val="20"/>
        </w:rPr>
        <w:t xml:space="preserve">f </w:t>
      </w:r>
      <w:r w:rsidR="00DD6CD8" w:rsidRPr="00DD6CD8">
        <w:rPr>
          <w:rFonts w:ascii="Arial" w:hAnsi="Arial" w:cs="Arial"/>
          <w:spacing w:val="-2"/>
          <w:sz w:val="20"/>
          <w:szCs w:val="20"/>
        </w:rPr>
        <w:lastRenderedPageBreak/>
        <w:t>Fame, and related activities i</w:t>
      </w:r>
      <w:r w:rsidRPr="00DD6CD8">
        <w:rPr>
          <w:rFonts w:ascii="Arial" w:hAnsi="Arial" w:cs="Arial"/>
          <w:spacing w:val="-2"/>
          <w:sz w:val="20"/>
          <w:szCs w:val="20"/>
        </w:rPr>
        <w:t xml:space="preserve">n partnership with </w:t>
      </w:r>
      <w:proofErr w:type="spellStart"/>
      <w:r w:rsidRPr="00DD6CD8">
        <w:rPr>
          <w:rFonts w:ascii="Arial" w:hAnsi="Arial" w:cs="Arial"/>
          <w:spacing w:val="-2"/>
          <w:sz w:val="20"/>
          <w:szCs w:val="20"/>
        </w:rPr>
        <w:t>QUT</w:t>
      </w:r>
      <w:proofErr w:type="spellEnd"/>
      <w:r w:rsidRPr="00DD6CD8">
        <w:rPr>
          <w:rFonts w:ascii="Arial" w:hAnsi="Arial" w:cs="Arial"/>
          <w:spacing w:val="-2"/>
          <w:sz w:val="20"/>
          <w:szCs w:val="20"/>
        </w:rPr>
        <w:t xml:space="preserve"> Business School</w:t>
      </w:r>
    </w:p>
    <w:p w:rsidR="00B56E7F" w:rsidRPr="00DE475B" w:rsidRDefault="00B56E7F" w:rsidP="009A77CB">
      <w:pPr>
        <w:numPr>
          <w:ilvl w:val="0"/>
          <w:numId w:val="7"/>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 xml:space="preserve">the 2016 </w:t>
      </w:r>
      <w:proofErr w:type="spellStart"/>
      <w:r w:rsidRPr="00DE475B">
        <w:rPr>
          <w:rFonts w:ascii="Arial" w:hAnsi="Arial" w:cs="Arial"/>
          <w:sz w:val="20"/>
          <w:szCs w:val="20"/>
        </w:rPr>
        <w:t>Siganto</w:t>
      </w:r>
      <w:proofErr w:type="spellEnd"/>
      <w:r w:rsidRPr="00DE475B">
        <w:rPr>
          <w:rFonts w:ascii="Arial" w:hAnsi="Arial" w:cs="Arial"/>
          <w:sz w:val="20"/>
          <w:szCs w:val="20"/>
        </w:rPr>
        <w:t xml:space="preserve"> Foundation Artists’ Books Fellowship, awarded to Peter </w:t>
      </w:r>
      <w:proofErr w:type="spellStart"/>
      <w:r w:rsidRPr="00DE475B">
        <w:rPr>
          <w:rFonts w:ascii="Arial" w:hAnsi="Arial" w:cs="Arial"/>
          <w:sz w:val="20"/>
          <w:szCs w:val="20"/>
        </w:rPr>
        <w:t>Charuk</w:t>
      </w:r>
      <w:proofErr w:type="spellEnd"/>
      <w:r w:rsidRPr="00DE475B">
        <w:rPr>
          <w:rFonts w:ascii="Arial" w:hAnsi="Arial" w:cs="Arial"/>
          <w:sz w:val="20"/>
          <w:szCs w:val="20"/>
        </w:rPr>
        <w:t xml:space="preserve"> </w:t>
      </w:r>
      <w:r w:rsidRPr="00DE475B">
        <w:rPr>
          <w:rFonts w:ascii="Arial" w:hAnsi="Arial" w:cs="Arial"/>
          <w:color w:val="242424"/>
          <w:sz w:val="20"/>
          <w:szCs w:val="20"/>
        </w:rPr>
        <w:t xml:space="preserve">and culminating in the </w:t>
      </w:r>
      <w:proofErr w:type="spellStart"/>
      <w:r w:rsidRPr="00DE475B">
        <w:rPr>
          <w:rFonts w:ascii="Arial" w:hAnsi="Arial" w:cs="Arial"/>
          <w:color w:val="242424"/>
          <w:sz w:val="20"/>
          <w:szCs w:val="20"/>
        </w:rPr>
        <w:t>Siganto</w:t>
      </w:r>
      <w:proofErr w:type="spellEnd"/>
      <w:r w:rsidRPr="00DE475B">
        <w:rPr>
          <w:rFonts w:ascii="Arial" w:hAnsi="Arial" w:cs="Arial"/>
          <w:color w:val="242424"/>
          <w:sz w:val="20"/>
          <w:szCs w:val="20"/>
        </w:rPr>
        <w:t xml:space="preserve"> Lecture Serie</w:t>
      </w:r>
      <w:r w:rsidR="0079562F">
        <w:rPr>
          <w:rFonts w:ascii="Arial" w:hAnsi="Arial" w:cs="Arial"/>
          <w:color w:val="242424"/>
          <w:sz w:val="20"/>
          <w:szCs w:val="20"/>
        </w:rPr>
        <w:t>s and Workshop le</w:t>
      </w:r>
      <w:r w:rsidRPr="00DE475B">
        <w:rPr>
          <w:rFonts w:ascii="Arial" w:hAnsi="Arial" w:cs="Arial"/>
          <w:color w:val="242424"/>
          <w:sz w:val="20"/>
          <w:szCs w:val="20"/>
        </w:rPr>
        <w:t>d by este</w:t>
      </w:r>
      <w:r w:rsidR="009A77CB" w:rsidRPr="00DE475B">
        <w:rPr>
          <w:rFonts w:ascii="Arial" w:hAnsi="Arial" w:cs="Arial"/>
          <w:color w:val="242424"/>
          <w:sz w:val="20"/>
          <w:szCs w:val="20"/>
        </w:rPr>
        <w:t>emed book artist Helen Douglas</w:t>
      </w:r>
    </w:p>
    <w:p w:rsidR="00B56E7F" w:rsidRPr="00DE475B" w:rsidRDefault="00B56E7F" w:rsidP="00B56E7F">
      <w:pPr>
        <w:numPr>
          <w:ilvl w:val="0"/>
          <w:numId w:val="7"/>
        </w:numPr>
        <w:tabs>
          <w:tab w:val="left" w:pos="284"/>
          <w:tab w:val="left" w:pos="360"/>
        </w:tabs>
        <w:spacing w:after="120"/>
        <w:ind w:left="284" w:hanging="284"/>
        <w:rPr>
          <w:rFonts w:ascii="Arial" w:hAnsi="Arial" w:cs="Arial"/>
          <w:sz w:val="20"/>
          <w:szCs w:val="20"/>
        </w:rPr>
      </w:pPr>
      <w:proofErr w:type="gramStart"/>
      <w:r w:rsidRPr="00DE475B">
        <w:rPr>
          <w:rFonts w:ascii="Arial" w:hAnsi="Arial" w:cs="Arial"/>
          <w:color w:val="242424"/>
          <w:sz w:val="20"/>
          <w:szCs w:val="20"/>
        </w:rPr>
        <w:t>the</w:t>
      </w:r>
      <w:proofErr w:type="gramEnd"/>
      <w:r w:rsidRPr="00DE475B">
        <w:rPr>
          <w:rFonts w:ascii="Arial" w:hAnsi="Arial" w:cs="Arial"/>
          <w:color w:val="242424"/>
          <w:sz w:val="20"/>
          <w:szCs w:val="20"/>
        </w:rPr>
        <w:t xml:space="preserve"> </w:t>
      </w:r>
      <w:proofErr w:type="spellStart"/>
      <w:r w:rsidRPr="00DE475B">
        <w:rPr>
          <w:rFonts w:ascii="Arial" w:hAnsi="Arial" w:cs="Arial"/>
          <w:color w:val="242424"/>
          <w:sz w:val="20"/>
          <w:szCs w:val="20"/>
        </w:rPr>
        <w:t>Siganto</w:t>
      </w:r>
      <w:proofErr w:type="spellEnd"/>
      <w:r w:rsidRPr="00DE475B">
        <w:rPr>
          <w:rFonts w:ascii="Arial" w:hAnsi="Arial" w:cs="Arial"/>
          <w:color w:val="242424"/>
          <w:sz w:val="20"/>
          <w:szCs w:val="20"/>
        </w:rPr>
        <w:t xml:space="preserve"> Foundation also pledged support for digital literacy programs for newly arrived communities which will be implemented at The Edge, </w:t>
      </w:r>
      <w:proofErr w:type="spellStart"/>
      <w:r w:rsidRPr="00DE475B">
        <w:rPr>
          <w:rFonts w:ascii="Arial" w:hAnsi="Arial" w:cs="Arial"/>
          <w:color w:val="242424"/>
          <w:sz w:val="20"/>
          <w:szCs w:val="20"/>
        </w:rPr>
        <w:t>SL</w:t>
      </w:r>
      <w:r w:rsidR="009A77CB" w:rsidRPr="00DE475B">
        <w:rPr>
          <w:rFonts w:ascii="Arial" w:hAnsi="Arial" w:cs="Arial"/>
          <w:color w:val="242424"/>
          <w:sz w:val="20"/>
          <w:szCs w:val="20"/>
        </w:rPr>
        <w:t>Q</w:t>
      </w:r>
      <w:r w:rsidRPr="00DE475B">
        <w:rPr>
          <w:rFonts w:ascii="Arial" w:hAnsi="Arial" w:cs="Arial"/>
          <w:color w:val="242424"/>
          <w:sz w:val="20"/>
          <w:szCs w:val="20"/>
        </w:rPr>
        <w:t>’s</w:t>
      </w:r>
      <w:proofErr w:type="spellEnd"/>
      <w:r w:rsidRPr="00DE475B">
        <w:rPr>
          <w:rFonts w:ascii="Arial" w:hAnsi="Arial" w:cs="Arial"/>
          <w:color w:val="242424"/>
          <w:sz w:val="20"/>
          <w:szCs w:val="20"/>
        </w:rPr>
        <w:t xml:space="preserve"> community makerspace and resource hub for all things art, science, technology and enterprise in 2017 and beyond.</w:t>
      </w:r>
      <w:r w:rsidRPr="00DE475B">
        <w:rPr>
          <w:rFonts w:ascii="Arial" w:hAnsi="Arial" w:cs="Arial"/>
          <w:color w:val="242424"/>
        </w:rPr>
        <w:t xml:space="preserve"> </w:t>
      </w:r>
    </w:p>
    <w:p w:rsidR="00B56E7F" w:rsidRPr="00DE475B" w:rsidRDefault="00B56E7F" w:rsidP="00B56E7F">
      <w:pPr>
        <w:tabs>
          <w:tab w:val="left" w:pos="284"/>
          <w:tab w:val="left" w:pos="360"/>
        </w:tabs>
        <w:rPr>
          <w:rFonts w:ascii="Arial" w:hAnsi="Arial" w:cs="Arial"/>
          <w:sz w:val="20"/>
          <w:szCs w:val="20"/>
        </w:rPr>
      </w:pPr>
      <w:r w:rsidRPr="00DE475B">
        <w:rPr>
          <w:rFonts w:ascii="Arial" w:hAnsi="Arial" w:cs="Arial"/>
          <w:sz w:val="20"/>
          <w:szCs w:val="20"/>
        </w:rPr>
        <w:t>Continuing programs included:</w:t>
      </w:r>
    </w:p>
    <w:p w:rsidR="00B56E7F" w:rsidRPr="00DE475B" w:rsidRDefault="00B56E7F" w:rsidP="00B56E7F">
      <w:pPr>
        <w:numPr>
          <w:ilvl w:val="0"/>
          <w:numId w:val="7"/>
        </w:numPr>
        <w:tabs>
          <w:tab w:val="left" w:pos="284"/>
          <w:tab w:val="left" w:pos="360"/>
        </w:tabs>
        <w:spacing w:after="40"/>
        <w:ind w:left="284" w:hanging="284"/>
        <w:rPr>
          <w:rFonts w:ascii="Arial" w:hAnsi="Arial" w:cs="Arial"/>
          <w:color w:val="242424"/>
          <w:sz w:val="20"/>
          <w:szCs w:val="20"/>
        </w:rPr>
      </w:pPr>
      <w:r w:rsidRPr="00DE475B">
        <w:rPr>
          <w:rFonts w:ascii="Arial" w:hAnsi="Arial" w:cs="Arial"/>
          <w:color w:val="242424"/>
          <w:sz w:val="20"/>
          <w:szCs w:val="20"/>
        </w:rPr>
        <w:t>the very popular Heritage Talk series for annual donors which enables in-depth engagement with SLQ collections and librarians</w:t>
      </w:r>
    </w:p>
    <w:p w:rsidR="00B56E7F" w:rsidRPr="00DE475B" w:rsidRDefault="00B56E7F" w:rsidP="00B56E7F">
      <w:pPr>
        <w:numPr>
          <w:ilvl w:val="0"/>
          <w:numId w:val="7"/>
        </w:numPr>
        <w:tabs>
          <w:tab w:val="left" w:pos="284"/>
          <w:tab w:val="left" w:pos="360"/>
        </w:tabs>
        <w:spacing w:after="40"/>
        <w:ind w:left="284" w:hanging="284"/>
        <w:rPr>
          <w:rFonts w:ascii="Arial" w:hAnsi="Arial" w:cs="Arial"/>
          <w:sz w:val="20"/>
        </w:rPr>
      </w:pPr>
      <w:r w:rsidRPr="00DE475B">
        <w:rPr>
          <w:rFonts w:ascii="Arial" w:hAnsi="Arial" w:cs="Arial"/>
          <w:i/>
          <w:sz w:val="20"/>
        </w:rPr>
        <w:t>President’s 100 Circle</w:t>
      </w:r>
      <w:r w:rsidRPr="00DE475B">
        <w:rPr>
          <w:rFonts w:ascii="Arial" w:hAnsi="Arial" w:cs="Arial"/>
          <w:sz w:val="20"/>
        </w:rPr>
        <w:t xml:space="preserve">, a committed group </w:t>
      </w:r>
      <w:r w:rsidRPr="00DE475B">
        <w:rPr>
          <w:rFonts w:ascii="Arial" w:hAnsi="Arial" w:cs="Arial"/>
          <w:color w:val="242424"/>
          <w:sz w:val="20"/>
          <w:szCs w:val="20"/>
        </w:rPr>
        <w:t>of</w:t>
      </w:r>
      <w:r w:rsidRPr="00DE475B">
        <w:rPr>
          <w:rFonts w:ascii="Arial" w:hAnsi="Arial" w:cs="Arial"/>
          <w:sz w:val="20"/>
        </w:rPr>
        <w:t xml:space="preserve"> multi-year donors </w:t>
      </w:r>
      <w:r w:rsidR="00C91718">
        <w:rPr>
          <w:rFonts w:ascii="Arial" w:hAnsi="Arial" w:cs="Arial"/>
          <w:sz w:val="20"/>
        </w:rPr>
        <w:t>(page 30)</w:t>
      </w:r>
    </w:p>
    <w:p w:rsidR="007E3567" w:rsidRPr="00DE475B" w:rsidRDefault="00B56E7F" w:rsidP="00B56E7F">
      <w:pPr>
        <w:numPr>
          <w:ilvl w:val="0"/>
          <w:numId w:val="7"/>
        </w:numPr>
        <w:tabs>
          <w:tab w:val="left" w:pos="284"/>
          <w:tab w:val="left" w:pos="360"/>
        </w:tabs>
        <w:spacing w:after="120"/>
        <w:ind w:left="284" w:hanging="284"/>
        <w:rPr>
          <w:rFonts w:ascii="Arial" w:hAnsi="Arial" w:cs="Arial"/>
          <w:sz w:val="20"/>
          <w:szCs w:val="20"/>
        </w:rPr>
      </w:pPr>
      <w:r w:rsidRPr="00DE475B">
        <w:rPr>
          <w:rFonts w:ascii="Arial" w:hAnsi="Arial" w:cs="Arial"/>
          <w:sz w:val="20"/>
          <w:szCs w:val="20"/>
        </w:rPr>
        <w:t xml:space="preserve">Sir Leo </w:t>
      </w:r>
      <w:proofErr w:type="spellStart"/>
      <w:r w:rsidRPr="00DE475B">
        <w:rPr>
          <w:rFonts w:ascii="Arial" w:hAnsi="Arial" w:cs="Arial"/>
          <w:sz w:val="20"/>
          <w:szCs w:val="20"/>
        </w:rPr>
        <w:t>Hielscher</w:t>
      </w:r>
      <w:proofErr w:type="spellEnd"/>
      <w:r w:rsidRPr="00DE475B">
        <w:rPr>
          <w:rFonts w:ascii="Arial" w:hAnsi="Arial" w:cs="Arial"/>
          <w:sz w:val="20"/>
          <w:szCs w:val="20"/>
        </w:rPr>
        <w:t xml:space="preserve"> Bequest Program, which creates a permanent source of income for vital programs that enrich the lives of Queenslanders.</w:t>
      </w:r>
    </w:p>
    <w:p w:rsidR="00D346B4" w:rsidRPr="00DE475B" w:rsidRDefault="00D346B4" w:rsidP="007E3567">
      <w:pPr>
        <w:spacing w:after="120"/>
        <w:rPr>
          <w:rFonts w:ascii="Arial" w:hAnsi="Arial" w:cs="Arial"/>
          <w:b/>
          <w:bCs/>
          <w:color w:val="F04023"/>
          <w:sz w:val="20"/>
          <w:szCs w:val="20"/>
        </w:rPr>
      </w:pPr>
      <w:r w:rsidRPr="00DE475B">
        <w:rPr>
          <w:rFonts w:ascii="Arial" w:hAnsi="Arial" w:cs="Arial"/>
          <w:sz w:val="20"/>
          <w:szCs w:val="20"/>
        </w:rPr>
        <w:t xml:space="preserve">The </w:t>
      </w:r>
      <w:r w:rsidR="00B56E7F" w:rsidRPr="00DE475B">
        <w:rPr>
          <w:rFonts w:ascii="Arial" w:hAnsi="Arial" w:cs="Arial"/>
          <w:sz w:val="20"/>
          <w:szCs w:val="20"/>
        </w:rPr>
        <w:t xml:space="preserve">Queensland Library </w:t>
      </w:r>
      <w:r w:rsidRPr="00DE475B">
        <w:rPr>
          <w:rFonts w:ascii="Arial" w:hAnsi="Arial" w:cs="Arial"/>
          <w:sz w:val="20"/>
          <w:szCs w:val="20"/>
        </w:rPr>
        <w:t>Foundation and SLQ are grateful to all donors</w:t>
      </w:r>
      <w:r w:rsidR="00B56E7F" w:rsidRPr="00DE475B">
        <w:rPr>
          <w:rFonts w:ascii="Arial" w:hAnsi="Arial" w:cs="Arial"/>
          <w:sz w:val="20"/>
          <w:szCs w:val="20"/>
        </w:rPr>
        <w:t xml:space="preserve"> — individual, philanthropic and corporate —</w:t>
      </w:r>
      <w:r w:rsidRPr="00DE475B">
        <w:rPr>
          <w:rFonts w:ascii="Arial" w:hAnsi="Arial" w:cs="Arial"/>
          <w:sz w:val="20"/>
          <w:szCs w:val="20"/>
        </w:rPr>
        <w:t xml:space="preserve"> for their support during the past financial year.</w:t>
      </w:r>
    </w:p>
    <w:p w:rsidR="00D346B4" w:rsidRPr="00DE475B" w:rsidRDefault="002E1C24">
      <w:pPr>
        <w:spacing w:after="40"/>
        <w:rPr>
          <w:rFonts w:ascii="Arial" w:hAnsi="Arial" w:cs="Arial"/>
          <w:sz w:val="20"/>
          <w:szCs w:val="20"/>
          <w:shd w:val="clear" w:color="auto" w:fill="FFFF00"/>
        </w:rPr>
      </w:pPr>
      <w:r w:rsidRPr="00DE475B">
        <w:rPr>
          <w:rFonts w:ascii="Arial" w:hAnsi="Arial" w:cs="Arial"/>
          <w:b/>
          <w:bCs/>
          <w:color w:val="808080"/>
          <w:sz w:val="20"/>
          <w:szCs w:val="20"/>
        </w:rPr>
        <w:t>Foundation Council members 201</w:t>
      </w:r>
      <w:r w:rsidR="00B75140" w:rsidRPr="00DE475B">
        <w:rPr>
          <w:rFonts w:ascii="Arial" w:hAnsi="Arial" w:cs="Arial"/>
          <w:b/>
          <w:bCs/>
          <w:color w:val="808080"/>
          <w:sz w:val="20"/>
          <w:szCs w:val="20"/>
        </w:rPr>
        <w:t>6</w:t>
      </w:r>
      <w:r w:rsidR="00D346B4" w:rsidRPr="00DE475B">
        <w:rPr>
          <w:rFonts w:ascii="Arial" w:hAnsi="Arial" w:cs="Arial"/>
          <w:b/>
          <w:bCs/>
          <w:color w:val="808080"/>
          <w:sz w:val="20"/>
          <w:szCs w:val="20"/>
        </w:rPr>
        <w:t>–1</w:t>
      </w:r>
      <w:r w:rsidR="00B75140" w:rsidRPr="00DE475B">
        <w:rPr>
          <w:rFonts w:ascii="Arial" w:hAnsi="Arial" w:cs="Arial"/>
          <w:b/>
          <w:bCs/>
          <w:color w:val="808080"/>
          <w:sz w:val="20"/>
          <w:szCs w:val="20"/>
        </w:rPr>
        <w:t>7</w:t>
      </w:r>
      <w:r w:rsidR="00D346B4" w:rsidRPr="00DE475B">
        <w:rPr>
          <w:rFonts w:ascii="Arial" w:hAnsi="Arial" w:cs="Arial"/>
          <w:b/>
          <w:bCs/>
          <w:color w:val="808080"/>
          <w:sz w:val="20"/>
          <w:szCs w:val="20"/>
        </w:rPr>
        <w:t>:</w:t>
      </w:r>
    </w:p>
    <w:p w:rsidR="00E0046D" w:rsidRPr="00DE475B" w:rsidRDefault="00E0046D" w:rsidP="00E0046D">
      <w:pPr>
        <w:spacing w:after="40"/>
        <w:rPr>
          <w:rFonts w:ascii="Arial" w:hAnsi="Arial" w:cs="Arial"/>
          <w:sz w:val="20"/>
          <w:szCs w:val="20"/>
        </w:rPr>
      </w:pPr>
      <w:r w:rsidRPr="00DE475B">
        <w:rPr>
          <w:rFonts w:ascii="Arial" w:hAnsi="Arial" w:cs="Arial"/>
          <w:sz w:val="20"/>
          <w:szCs w:val="20"/>
        </w:rPr>
        <w:t xml:space="preserve">Mr Max Walters </w:t>
      </w:r>
      <w:proofErr w:type="spellStart"/>
      <w:r w:rsidRPr="00DE475B">
        <w:rPr>
          <w:rFonts w:ascii="Arial" w:hAnsi="Arial" w:cs="Arial"/>
          <w:smallCaps/>
          <w:sz w:val="20"/>
          <w:szCs w:val="20"/>
        </w:rPr>
        <w:t>oam</w:t>
      </w:r>
      <w:proofErr w:type="spellEnd"/>
      <w:r w:rsidRPr="00DE475B">
        <w:rPr>
          <w:rFonts w:ascii="Arial" w:hAnsi="Arial" w:cs="Arial"/>
          <w:smallCaps/>
          <w:sz w:val="20"/>
          <w:szCs w:val="20"/>
        </w:rPr>
        <w:t xml:space="preserve"> </w:t>
      </w:r>
      <w:r w:rsidRPr="00DE475B">
        <w:rPr>
          <w:rFonts w:ascii="Arial" w:hAnsi="Arial" w:cs="Arial"/>
          <w:sz w:val="20"/>
          <w:szCs w:val="20"/>
        </w:rPr>
        <w:t>(President)</w:t>
      </w:r>
    </w:p>
    <w:p w:rsidR="00747C51" w:rsidRPr="00DE475B" w:rsidRDefault="00747C51" w:rsidP="00747C51">
      <w:pPr>
        <w:spacing w:after="40"/>
        <w:rPr>
          <w:rFonts w:ascii="Arial" w:hAnsi="Arial" w:cs="Arial"/>
          <w:sz w:val="20"/>
          <w:szCs w:val="20"/>
        </w:rPr>
      </w:pPr>
      <w:r w:rsidRPr="00DE475B">
        <w:rPr>
          <w:rFonts w:ascii="Arial" w:hAnsi="Arial" w:cs="Arial"/>
          <w:sz w:val="20"/>
          <w:szCs w:val="20"/>
        </w:rPr>
        <w:t>Ms Helen Brodie (from March 2017)</w:t>
      </w:r>
    </w:p>
    <w:p w:rsidR="00D346B4" w:rsidRPr="00DE475B" w:rsidRDefault="00D346B4" w:rsidP="005C7EB1">
      <w:pPr>
        <w:spacing w:after="40"/>
        <w:rPr>
          <w:rFonts w:ascii="Arial" w:hAnsi="Arial" w:cs="Arial"/>
          <w:sz w:val="20"/>
          <w:szCs w:val="20"/>
        </w:rPr>
      </w:pPr>
      <w:r w:rsidRPr="00DE475B">
        <w:rPr>
          <w:rFonts w:ascii="Arial" w:hAnsi="Arial" w:cs="Arial"/>
          <w:sz w:val="20"/>
          <w:szCs w:val="20"/>
        </w:rPr>
        <w:t>Mr Malcolm Grierson</w:t>
      </w:r>
      <w:r w:rsidR="007714ED" w:rsidRPr="00DE475B">
        <w:rPr>
          <w:rFonts w:ascii="Arial" w:hAnsi="Arial" w:cs="Arial"/>
          <w:sz w:val="20"/>
          <w:szCs w:val="20"/>
        </w:rPr>
        <w:t xml:space="preserve"> </w:t>
      </w:r>
      <w:r w:rsidR="007714ED" w:rsidRPr="00DE475B">
        <w:rPr>
          <w:rFonts w:ascii="Arial" w:hAnsi="Arial" w:cs="Arial"/>
          <w:smallCaps/>
          <w:sz w:val="20"/>
          <w:szCs w:val="20"/>
        </w:rPr>
        <w:t>am</w:t>
      </w:r>
    </w:p>
    <w:p w:rsidR="00D346B4" w:rsidRPr="00DE475B" w:rsidRDefault="005C7EB1" w:rsidP="005C7EB1">
      <w:pPr>
        <w:spacing w:after="40"/>
        <w:rPr>
          <w:rFonts w:ascii="Arial" w:hAnsi="Arial" w:cs="Arial"/>
          <w:sz w:val="20"/>
          <w:szCs w:val="20"/>
        </w:rPr>
      </w:pPr>
      <w:r w:rsidRPr="00DE475B">
        <w:rPr>
          <w:rFonts w:ascii="Arial" w:hAnsi="Arial" w:cs="Arial"/>
          <w:sz w:val="20"/>
          <w:szCs w:val="20"/>
        </w:rPr>
        <w:t>Mr Michael Hawkins</w:t>
      </w:r>
    </w:p>
    <w:p w:rsidR="00D346B4" w:rsidRPr="00DE475B" w:rsidRDefault="00D346B4" w:rsidP="005C7EB1">
      <w:pPr>
        <w:spacing w:after="40"/>
        <w:rPr>
          <w:rFonts w:ascii="Arial" w:hAnsi="Arial" w:cs="Arial"/>
          <w:sz w:val="20"/>
          <w:szCs w:val="20"/>
        </w:rPr>
      </w:pPr>
      <w:r w:rsidRPr="00DE475B">
        <w:rPr>
          <w:rFonts w:ascii="Arial" w:hAnsi="Arial" w:cs="Arial"/>
          <w:sz w:val="20"/>
          <w:szCs w:val="20"/>
        </w:rPr>
        <w:t xml:space="preserve">Ms </w:t>
      </w:r>
      <w:r w:rsidR="005C7EB1" w:rsidRPr="00DE475B">
        <w:rPr>
          <w:rFonts w:ascii="Arial" w:hAnsi="Arial" w:cs="Arial"/>
          <w:sz w:val="20"/>
          <w:szCs w:val="20"/>
        </w:rPr>
        <w:t xml:space="preserve">Julie </w:t>
      </w:r>
      <w:proofErr w:type="spellStart"/>
      <w:r w:rsidR="005C7EB1" w:rsidRPr="00DE475B">
        <w:rPr>
          <w:rFonts w:ascii="Arial" w:hAnsi="Arial" w:cs="Arial"/>
          <w:sz w:val="20"/>
          <w:szCs w:val="20"/>
        </w:rPr>
        <w:t>Mannion</w:t>
      </w:r>
      <w:proofErr w:type="spellEnd"/>
    </w:p>
    <w:p w:rsidR="00E0046D" w:rsidRPr="00DE475B" w:rsidRDefault="001A5547" w:rsidP="00E0046D">
      <w:pPr>
        <w:spacing w:after="40"/>
        <w:rPr>
          <w:rFonts w:ascii="Arial" w:hAnsi="Arial" w:cs="Arial"/>
          <w:sz w:val="20"/>
          <w:szCs w:val="20"/>
        </w:rPr>
      </w:pPr>
      <w:r w:rsidRPr="00DE475B">
        <w:rPr>
          <w:rFonts w:ascii="Arial" w:hAnsi="Arial" w:cs="Arial"/>
          <w:sz w:val="20"/>
          <w:szCs w:val="20"/>
        </w:rPr>
        <w:t xml:space="preserve">Mr Neil </w:t>
      </w:r>
      <w:proofErr w:type="spellStart"/>
      <w:r w:rsidRPr="00DE475B">
        <w:rPr>
          <w:rFonts w:ascii="Arial" w:hAnsi="Arial" w:cs="Arial"/>
          <w:sz w:val="20"/>
          <w:szCs w:val="20"/>
        </w:rPr>
        <w:t>Summerson</w:t>
      </w:r>
      <w:proofErr w:type="spellEnd"/>
      <w:r w:rsidR="007714ED" w:rsidRPr="00DE475B">
        <w:rPr>
          <w:rFonts w:ascii="Arial" w:hAnsi="Arial" w:cs="Arial"/>
          <w:sz w:val="20"/>
          <w:szCs w:val="20"/>
        </w:rPr>
        <w:t xml:space="preserve"> </w:t>
      </w:r>
      <w:r w:rsidR="007714ED" w:rsidRPr="00DE475B">
        <w:rPr>
          <w:rFonts w:ascii="Arial" w:hAnsi="Arial" w:cs="Arial"/>
          <w:smallCaps/>
          <w:sz w:val="20"/>
          <w:szCs w:val="20"/>
        </w:rPr>
        <w:t>am</w:t>
      </w:r>
    </w:p>
    <w:p w:rsidR="00E0046D" w:rsidRPr="00DE475B" w:rsidRDefault="00E0046D" w:rsidP="00E0046D">
      <w:pPr>
        <w:spacing w:after="40"/>
        <w:rPr>
          <w:rFonts w:ascii="Arial" w:hAnsi="Arial" w:cs="Arial"/>
          <w:sz w:val="20"/>
          <w:szCs w:val="20"/>
        </w:rPr>
      </w:pPr>
      <w:r w:rsidRPr="00DE475B">
        <w:rPr>
          <w:rFonts w:ascii="Arial" w:hAnsi="Arial" w:cs="Arial"/>
          <w:sz w:val="20"/>
          <w:szCs w:val="20"/>
        </w:rPr>
        <w:t>Ms Courtney Talbo</w:t>
      </w:r>
      <w:r w:rsidR="001A5547" w:rsidRPr="00DE475B">
        <w:rPr>
          <w:rFonts w:ascii="Arial" w:hAnsi="Arial" w:cs="Arial"/>
          <w:sz w:val="20"/>
          <w:szCs w:val="20"/>
        </w:rPr>
        <w:t>t</w:t>
      </w:r>
    </w:p>
    <w:p w:rsidR="00532440" w:rsidRPr="00DE475B" w:rsidRDefault="00532440">
      <w:pPr>
        <w:spacing w:after="40"/>
        <w:rPr>
          <w:rFonts w:ascii="Arial" w:hAnsi="Arial" w:cs="Arial"/>
          <w:sz w:val="20"/>
          <w:szCs w:val="20"/>
        </w:rPr>
      </w:pPr>
      <w:r w:rsidRPr="00DE475B">
        <w:rPr>
          <w:rFonts w:ascii="Arial" w:hAnsi="Arial" w:cs="Arial"/>
          <w:sz w:val="20"/>
          <w:szCs w:val="20"/>
        </w:rPr>
        <w:t>Professor Jan Thomas (Chairperson of the Library Board of Queensland</w:t>
      </w:r>
      <w:r w:rsidR="00A1324C" w:rsidRPr="00DE475B">
        <w:rPr>
          <w:rFonts w:ascii="Arial" w:hAnsi="Arial" w:cs="Arial"/>
          <w:sz w:val="20"/>
          <w:szCs w:val="20"/>
        </w:rPr>
        <w:t xml:space="preserve"> until February 2017</w:t>
      </w:r>
      <w:r w:rsidRPr="00DE475B">
        <w:rPr>
          <w:rFonts w:ascii="Arial" w:hAnsi="Arial" w:cs="Arial"/>
          <w:sz w:val="20"/>
          <w:szCs w:val="20"/>
        </w:rPr>
        <w:t>)</w:t>
      </w:r>
    </w:p>
    <w:p w:rsidR="00A6295E" w:rsidRPr="00DE475B" w:rsidRDefault="00A6295E" w:rsidP="00A6295E">
      <w:pPr>
        <w:spacing w:after="40"/>
        <w:rPr>
          <w:rFonts w:ascii="Arial" w:hAnsi="Arial" w:cs="Arial"/>
          <w:sz w:val="20"/>
          <w:szCs w:val="20"/>
        </w:rPr>
      </w:pPr>
      <w:r w:rsidRPr="00DE475B">
        <w:rPr>
          <w:rFonts w:ascii="Arial" w:hAnsi="Arial" w:cs="Arial"/>
          <w:sz w:val="20"/>
          <w:szCs w:val="20"/>
        </w:rPr>
        <w:t>Professor Andrew Griffiths (Chairperson of the Library Board of Queensland from March 2017)</w:t>
      </w:r>
    </w:p>
    <w:p w:rsidR="006D35E4" w:rsidRPr="00DE475B" w:rsidRDefault="001A5547" w:rsidP="005C7EB1">
      <w:pPr>
        <w:spacing w:after="40"/>
        <w:rPr>
          <w:rFonts w:ascii="Arial" w:hAnsi="Arial" w:cs="Arial"/>
          <w:sz w:val="16"/>
          <w:szCs w:val="16"/>
        </w:rPr>
      </w:pPr>
      <w:r w:rsidRPr="00DE475B">
        <w:rPr>
          <w:rFonts w:ascii="Arial" w:hAnsi="Arial" w:cs="Arial"/>
          <w:sz w:val="20"/>
          <w:szCs w:val="20"/>
        </w:rPr>
        <w:t>M</w:t>
      </w:r>
      <w:r w:rsidR="009352BD" w:rsidRPr="00DE475B">
        <w:rPr>
          <w:rFonts w:ascii="Arial" w:hAnsi="Arial" w:cs="Arial"/>
          <w:sz w:val="20"/>
          <w:szCs w:val="20"/>
        </w:rPr>
        <w:t>r</w:t>
      </w:r>
      <w:r w:rsidRPr="00DE475B">
        <w:rPr>
          <w:rFonts w:ascii="Arial" w:hAnsi="Arial" w:cs="Arial"/>
          <w:sz w:val="20"/>
          <w:szCs w:val="20"/>
        </w:rPr>
        <w:t>s Sonia Cooper (State Librarian</w:t>
      </w:r>
      <w:r w:rsidR="0043174D">
        <w:rPr>
          <w:rFonts w:ascii="Arial" w:hAnsi="Arial" w:cs="Arial"/>
          <w:sz w:val="20"/>
          <w:szCs w:val="20"/>
        </w:rPr>
        <w:t xml:space="preserve"> and CEO</w:t>
      </w:r>
      <w:r w:rsidRPr="00DE475B">
        <w:rPr>
          <w:rFonts w:ascii="Arial" w:hAnsi="Arial" w:cs="Arial"/>
          <w:sz w:val="20"/>
          <w:szCs w:val="20"/>
        </w:rPr>
        <w:t xml:space="preserve">, SLQ, </w:t>
      </w:r>
      <w:r w:rsidR="00B75140" w:rsidRPr="00DE475B">
        <w:rPr>
          <w:rFonts w:ascii="Arial" w:hAnsi="Arial" w:cs="Arial"/>
          <w:sz w:val="20"/>
          <w:szCs w:val="20"/>
        </w:rPr>
        <w:t>until</w:t>
      </w:r>
      <w:r w:rsidRPr="00DE475B">
        <w:rPr>
          <w:rFonts w:ascii="Arial" w:hAnsi="Arial" w:cs="Arial"/>
          <w:sz w:val="20"/>
          <w:szCs w:val="20"/>
        </w:rPr>
        <w:t xml:space="preserve"> </w:t>
      </w:r>
      <w:r w:rsidR="00A1324C" w:rsidRPr="00DE475B">
        <w:rPr>
          <w:rFonts w:ascii="Arial" w:hAnsi="Arial" w:cs="Arial"/>
          <w:sz w:val="20"/>
          <w:szCs w:val="20"/>
        </w:rPr>
        <w:t>September 2016</w:t>
      </w:r>
      <w:r w:rsidRPr="00DE475B">
        <w:rPr>
          <w:rFonts w:ascii="Arial" w:hAnsi="Arial" w:cs="Arial"/>
          <w:sz w:val="20"/>
          <w:szCs w:val="20"/>
        </w:rPr>
        <w:t>)</w:t>
      </w:r>
    </w:p>
    <w:p w:rsidR="00B75140" w:rsidRPr="00DE475B" w:rsidRDefault="00B75140" w:rsidP="00B75140">
      <w:pPr>
        <w:spacing w:after="40"/>
        <w:rPr>
          <w:rFonts w:ascii="Arial" w:hAnsi="Arial" w:cs="Arial"/>
          <w:sz w:val="16"/>
          <w:szCs w:val="16"/>
        </w:rPr>
      </w:pPr>
      <w:r w:rsidRPr="00DE475B">
        <w:rPr>
          <w:rFonts w:ascii="Arial" w:hAnsi="Arial" w:cs="Arial"/>
          <w:sz w:val="20"/>
          <w:szCs w:val="20"/>
        </w:rPr>
        <w:t>Ms Vicki McDonald (State Librarian</w:t>
      </w:r>
      <w:r w:rsidR="0043174D" w:rsidRPr="0043174D">
        <w:rPr>
          <w:rFonts w:ascii="Arial" w:hAnsi="Arial" w:cs="Arial"/>
          <w:sz w:val="20"/>
          <w:szCs w:val="20"/>
        </w:rPr>
        <w:t xml:space="preserve"> </w:t>
      </w:r>
      <w:r w:rsidR="0043174D">
        <w:rPr>
          <w:rFonts w:ascii="Arial" w:hAnsi="Arial" w:cs="Arial"/>
          <w:sz w:val="20"/>
          <w:szCs w:val="20"/>
        </w:rPr>
        <w:t>and CEO</w:t>
      </w:r>
      <w:r w:rsidRPr="00DE475B">
        <w:rPr>
          <w:rFonts w:ascii="Arial" w:hAnsi="Arial" w:cs="Arial"/>
          <w:sz w:val="20"/>
          <w:szCs w:val="20"/>
        </w:rPr>
        <w:t xml:space="preserve">, SLQ, from </w:t>
      </w:r>
      <w:r w:rsidR="00A1324C" w:rsidRPr="00DE475B">
        <w:rPr>
          <w:rFonts w:ascii="Arial" w:hAnsi="Arial" w:cs="Arial"/>
          <w:sz w:val="20"/>
          <w:szCs w:val="20"/>
        </w:rPr>
        <w:t>September 2016</w:t>
      </w:r>
      <w:r w:rsidRPr="00DE475B">
        <w:rPr>
          <w:rFonts w:ascii="Arial" w:hAnsi="Arial" w:cs="Arial"/>
          <w:sz w:val="20"/>
          <w:szCs w:val="20"/>
        </w:rPr>
        <w:t>)</w:t>
      </w:r>
    </w:p>
    <w:p w:rsidR="00B75140" w:rsidRPr="00DE475B" w:rsidRDefault="00B75140" w:rsidP="005C7EB1">
      <w:pPr>
        <w:spacing w:after="40"/>
        <w:rPr>
          <w:rFonts w:ascii="Arial" w:hAnsi="Arial" w:cs="Arial"/>
          <w:sz w:val="16"/>
          <w:szCs w:val="16"/>
        </w:rPr>
        <w:sectPr w:rsidR="00B75140" w:rsidRPr="00DE475B" w:rsidSect="00B53922">
          <w:type w:val="continuous"/>
          <w:pgSz w:w="11906" w:h="16838"/>
          <w:pgMar w:top="1440" w:right="1701" w:bottom="1440" w:left="1701" w:header="709" w:footer="709" w:gutter="0"/>
          <w:cols w:num="2" w:space="566" w:equalWidth="0">
            <w:col w:w="3969" w:space="566"/>
            <w:col w:w="3969"/>
          </w:cols>
          <w:docGrid w:linePitch="360"/>
        </w:sectPr>
      </w:pPr>
    </w:p>
    <w:p w:rsidR="00B365A1" w:rsidRPr="00DE475B" w:rsidRDefault="00B365A1">
      <w:pPr>
        <w:pStyle w:val="ARHeading1"/>
        <w:sectPr w:rsidR="00B365A1" w:rsidRPr="00DE475B" w:rsidSect="00B53922">
          <w:type w:val="continuous"/>
          <w:pgSz w:w="11906" w:h="16838"/>
          <w:pgMar w:top="1440" w:right="1701" w:bottom="1440" w:left="1701" w:header="709" w:footer="709" w:gutter="0"/>
          <w:cols w:space="720"/>
          <w:docGrid w:linePitch="360"/>
        </w:sectPr>
      </w:pPr>
    </w:p>
    <w:p w:rsidR="00D346B4" w:rsidRPr="00DE475B" w:rsidRDefault="0051261F">
      <w:pPr>
        <w:pStyle w:val="ARHeading1"/>
        <w:pageBreakBefore/>
        <w:rPr>
          <w:sz w:val="24"/>
          <w:szCs w:val="24"/>
        </w:rPr>
      </w:pPr>
      <w:r w:rsidRPr="00DE475B">
        <w:lastRenderedPageBreak/>
        <w:t>Organisational s</w:t>
      </w:r>
      <w:r w:rsidR="00D346B4" w:rsidRPr="00DE475B">
        <w:t xml:space="preserve">tructure </w:t>
      </w:r>
      <w:r w:rsidR="00D346B4" w:rsidRPr="00DE475B">
        <w:rPr>
          <w:sz w:val="24"/>
          <w:szCs w:val="24"/>
        </w:rPr>
        <w:t>as at 30 June 201</w:t>
      </w:r>
      <w:r w:rsidR="00DF07FB" w:rsidRPr="00DE475B">
        <w:rPr>
          <w:sz w:val="24"/>
          <w:szCs w:val="24"/>
        </w:rPr>
        <w:t>7</w:t>
      </w:r>
    </w:p>
    <w:p w:rsidR="00CB41CD" w:rsidRPr="00DE475B" w:rsidRDefault="00CB41CD">
      <w:pPr>
        <w:pStyle w:val="ARHeading1"/>
        <w:rPr>
          <w:sz w:val="24"/>
          <w:szCs w:val="24"/>
        </w:rPr>
      </w:pPr>
    </w:p>
    <w:p w:rsidR="00AA11D9" w:rsidRPr="00DE475B" w:rsidRDefault="009254E5">
      <w:pPr>
        <w:pStyle w:val="ARHeading1"/>
        <w:rPr>
          <w:sz w:val="16"/>
          <w:szCs w:val="16"/>
          <w:lang w:eastAsia="en-AU"/>
        </w:rPr>
      </w:pPr>
      <w:r w:rsidRPr="00DE475B">
        <w:rPr>
          <w:noProof/>
          <w:sz w:val="24"/>
          <w:szCs w:val="24"/>
          <w:lang w:eastAsia="en-AU"/>
        </w:rPr>
        <w:drawing>
          <wp:anchor distT="0" distB="0" distL="114300" distR="114300" simplePos="0" relativeHeight="251707392" behindDoc="1" locked="0" layoutInCell="1" allowOverlap="1" wp14:anchorId="584E52A2" wp14:editId="4FC4F568">
            <wp:simplePos x="0" y="0"/>
            <wp:positionH relativeFrom="column">
              <wp:posOffset>-1725930</wp:posOffset>
            </wp:positionH>
            <wp:positionV relativeFrom="paragraph">
              <wp:posOffset>1576070</wp:posOffset>
            </wp:positionV>
            <wp:extent cx="8750935" cy="5466080"/>
            <wp:effectExtent l="4128"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g chart final 2016"/>
                    <pic:cNvPicPr>
                      <a:picLocks noChangeAspect="1" noChangeArrowheads="1"/>
                    </pic:cNvPicPr>
                  </pic:nvPicPr>
                  <pic:blipFill rotWithShape="1">
                    <a:blip r:embed="rId16">
                      <a:extLst>
                        <a:ext uri="{28A0092B-C50C-407E-A947-70E740481C1C}">
                          <a14:useLocalDpi xmlns:a14="http://schemas.microsoft.com/office/drawing/2010/main" val="0"/>
                        </a:ext>
                      </a:extLst>
                    </a:blip>
                    <a:srcRect l="932" t="1599" r="421" b="1"/>
                    <a:stretch/>
                  </pic:blipFill>
                  <pic:spPr bwMode="auto">
                    <a:xfrm rot="16200000">
                      <a:off x="0" y="0"/>
                      <a:ext cx="8750935" cy="5466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475B">
        <w:rPr>
          <w:noProof/>
          <w:lang w:eastAsia="en-AU"/>
        </w:rPr>
        <mc:AlternateContent>
          <mc:Choice Requires="wps">
            <w:drawing>
              <wp:anchor distT="0" distB="0" distL="114300" distR="114300" simplePos="0" relativeHeight="251625472" behindDoc="0" locked="0" layoutInCell="1" allowOverlap="1" wp14:anchorId="5207677A" wp14:editId="0119A537">
                <wp:simplePos x="0" y="0"/>
                <wp:positionH relativeFrom="column">
                  <wp:posOffset>3996954</wp:posOffset>
                </wp:positionH>
                <wp:positionV relativeFrom="paragraph">
                  <wp:posOffset>4371975</wp:posOffset>
                </wp:positionV>
                <wp:extent cx="3229610" cy="245110"/>
                <wp:effectExtent l="6350" t="0" r="15240" b="1524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229610" cy="2451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1632B" w:rsidRPr="00AA11D9" w:rsidRDefault="0051632B" w:rsidP="00AA11D9">
                            <w:pPr>
                              <w:pStyle w:val="ARHeading1"/>
                              <w:rPr>
                                <w:color w:val="808080"/>
                                <w:sz w:val="16"/>
                                <w:szCs w:val="16"/>
                              </w:rPr>
                            </w:pPr>
                            <w:r w:rsidRPr="00AA11D9">
                              <w:rPr>
                                <w:sz w:val="16"/>
                                <w:szCs w:val="16"/>
                                <w:lang w:eastAsia="en-AU"/>
                              </w:rPr>
                              <w:t>Note: Dotted lines represent informal reporting structures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7pt;margin-top:344.25pt;width:254.3pt;height:19.3pt;rotation:9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4hhwIAACIFAAAOAAAAZHJzL2Uyb0RvYy54bWysVNuO2yAQfa/Uf0C8Z31Z52ats9rGSVWp&#10;N2m3H0AAx6gYKJDYq6r/3gFns9n2ZVU1D2RgxmfmzBy4uR06iY7cOqFVhbOrFCOuqGZC7Sv87WE7&#10;WWDkPFGMSK14hR+5w7ert29uelPyXLdaMm4RgChX9qbCrfemTBJHW94Rd6UNV+BstO2Ih63dJ8yS&#10;HtA7meRpOkt6bZmxmnLn4LQenXgV8ZuGU/+laRz3SFYYavNxtXHdhTVZ3ZByb4lpBT2VQf6hio4I&#10;BUnPUDXxBB2s+AuqE9Rqpxt/RXWX6KYRlEcOwCZL/2Bz3xLDIxdojjPnNrn/B0s/H79aJFiF8/kS&#10;I0U6GNIDHzx6pweUh/70xpUQdm8g0A9wDHOOXJ35qOl3h5Ret0Tt+Z21um85YVBfFr5MLj4dcVwA&#10;2fWfNIM05OB1BBoa2yGrYTjTIg2/eArNQZALpvZ4nlQojMLhdZ4vZxm4KPjyYpqBHRKSMmCFQRjr&#10;/HuuOxSMCltQQkQlx4/Oj6FPISFc6a2QEs5JKRXqK7yc5tORpZaCBWfwObvfraVFRwJ62sbfKa+7&#10;DOuEB1VL0VV4MRKKyKE3G8Wi7YmQow1FSxXAgRzUdrJG9fxcpsvNYrMoJkU+20yKtK4nd9t1MZlt&#10;s/m0vq7X6zr7FerMirIVjHEVSn1Scla8TimnOzVq8KzlF5RexTx5WUYcCLB6+o/soiiCDkZF+GE3&#10;QEOCUnaaPYI8ohBgtPCqwODCms9h28MlrbD7cSCWYyQ/KFDZMisKcPm4KabzHDb20rO79BBFWw13&#10;32M0mms/vgQHY8W+hWSjrpW+A2U2IsrkubCTnuEiRj6nRyPc9Mt9jHp+2la/AQAA//8DAFBLAwQU&#10;AAYACAAAACEAhYYVEOIAAAALAQAADwAAAGRycy9kb3ducmV2LnhtbEyPQU7DMBBF90jcwRokNlXr&#10;NE2sEOJUBcECVULQcgA3HuKI2I5ipw23Z1jBbkbz9Of9ajvbnp1xDJ13EtarBBi6xuvOtRI+js/L&#10;AliIymnVe4cSvjHAtr6+qlSp/cW94/kQW0YhLpRKgolxKDkPjUGrwsoP6Oj26UerIq1jy/WoLhRu&#10;e54mieBWdY4+GDXgo8Hm6zBZCd1LnN7EIn+y6W4ezMP+tRCLScrbm3l3DyziHP9g+NUndajJ6eQn&#10;pwPrJRQiywiVkOWbHBgRd8mG2p1oEOkaeF3x/x3qHwAAAP//AwBQSwECLQAUAAYACAAAACEAtoM4&#10;kv4AAADhAQAAEwAAAAAAAAAAAAAAAAAAAAAAW0NvbnRlbnRfVHlwZXNdLnhtbFBLAQItABQABgAI&#10;AAAAIQA4/SH/1gAAAJQBAAALAAAAAAAAAAAAAAAAAC8BAABfcmVscy8ucmVsc1BLAQItABQABgAI&#10;AAAAIQB5R24hhwIAACIFAAAOAAAAAAAAAAAAAAAAAC4CAABkcnMvZTJvRG9jLnhtbFBLAQItABQA&#10;BgAIAAAAIQCFhhUQ4gAAAAsBAAAPAAAAAAAAAAAAAAAAAOEEAABkcnMvZG93bnJldi54bWxQSwUG&#10;AAAAAAQABADzAAAA8AUAAAAA&#10;" filled="f" strokecolor="white">
                <v:textbox style="layout-flow:vertical;mso-layout-flow-alt:bottom-to-top">
                  <w:txbxContent>
                    <w:p w:rsidR="0051632B" w:rsidRPr="00AA11D9" w:rsidRDefault="0051632B" w:rsidP="00AA11D9">
                      <w:pPr>
                        <w:pStyle w:val="ARHeading1"/>
                        <w:rPr>
                          <w:color w:val="808080"/>
                          <w:sz w:val="16"/>
                          <w:szCs w:val="16"/>
                        </w:rPr>
                      </w:pPr>
                      <w:r w:rsidRPr="00AA11D9">
                        <w:rPr>
                          <w:sz w:val="16"/>
                          <w:szCs w:val="16"/>
                          <w:lang w:eastAsia="en-AU"/>
                        </w:rPr>
                        <w:t>Note: Dotted lines represent informal reporting structures</w:t>
                      </w:r>
                    </w:p>
                  </w:txbxContent>
                </v:textbox>
              </v:shape>
            </w:pict>
          </mc:Fallback>
        </mc:AlternateContent>
      </w:r>
    </w:p>
    <w:p w:rsidR="00152C93" w:rsidRDefault="00152C93">
      <w:pPr>
        <w:suppressAutoHyphens w:val="0"/>
        <w:autoSpaceDE/>
        <w:rPr>
          <w:rFonts w:ascii="Arial" w:hAnsi="Arial" w:cs="Arial"/>
          <w:color w:val="808080"/>
          <w:sz w:val="40"/>
          <w:szCs w:val="40"/>
        </w:rPr>
      </w:pPr>
      <w:r>
        <w:rPr>
          <w:color w:val="808080"/>
        </w:rPr>
        <w:br w:type="page"/>
      </w:r>
    </w:p>
    <w:p w:rsidR="007E7EBD" w:rsidRDefault="007E7EBD">
      <w:pPr>
        <w:suppressAutoHyphens w:val="0"/>
        <w:autoSpaceDE/>
        <w:rPr>
          <w:color w:val="808080"/>
        </w:rPr>
      </w:pPr>
    </w:p>
    <w:p w:rsidR="007E7EBD" w:rsidRDefault="007E7EBD">
      <w:pPr>
        <w:suppressAutoHyphens w:val="0"/>
        <w:autoSpaceDE/>
        <w:rPr>
          <w:color w:val="808080"/>
        </w:rPr>
      </w:pPr>
    </w:p>
    <w:p w:rsidR="007E7EBD" w:rsidRDefault="007E7EBD">
      <w:pPr>
        <w:suppressAutoHyphens w:val="0"/>
        <w:autoSpaceDE/>
        <w:rPr>
          <w:color w:val="808080"/>
        </w:rPr>
      </w:pPr>
    </w:p>
    <w:p w:rsidR="007E7EBD" w:rsidRDefault="007E7EBD">
      <w:pPr>
        <w:suppressAutoHyphens w:val="0"/>
        <w:autoSpaceDE/>
        <w:rPr>
          <w:color w:val="808080"/>
        </w:rPr>
      </w:pPr>
    </w:p>
    <w:p w:rsidR="007E7EBD" w:rsidRDefault="007E7EBD">
      <w:pPr>
        <w:suppressAutoHyphens w:val="0"/>
        <w:autoSpaceDE/>
        <w:rPr>
          <w:color w:val="808080"/>
        </w:rPr>
      </w:pPr>
    </w:p>
    <w:p w:rsidR="007E7EBD" w:rsidRDefault="007E7EBD">
      <w:pPr>
        <w:suppressAutoHyphens w:val="0"/>
        <w:autoSpaceDE/>
        <w:rPr>
          <w:color w:val="808080"/>
        </w:rPr>
      </w:pPr>
    </w:p>
    <w:p w:rsidR="007E7EBD" w:rsidRDefault="007E7EBD">
      <w:pPr>
        <w:suppressAutoHyphens w:val="0"/>
        <w:autoSpaceDE/>
        <w:rPr>
          <w:color w:val="808080"/>
        </w:rPr>
      </w:pPr>
    </w:p>
    <w:p w:rsidR="007E7EBD" w:rsidRDefault="007E7EBD">
      <w:pPr>
        <w:suppressAutoHyphens w:val="0"/>
        <w:autoSpaceDE/>
        <w:rPr>
          <w:color w:val="808080"/>
        </w:rPr>
      </w:pPr>
    </w:p>
    <w:p w:rsidR="007E7EBD" w:rsidRDefault="007E7EBD">
      <w:pPr>
        <w:suppressAutoHyphens w:val="0"/>
        <w:autoSpaceDE/>
        <w:rPr>
          <w:color w:val="808080"/>
        </w:rPr>
      </w:pPr>
    </w:p>
    <w:p w:rsidR="007E7EBD" w:rsidRDefault="007E7EBD">
      <w:pPr>
        <w:suppressAutoHyphens w:val="0"/>
        <w:autoSpaceDE/>
        <w:rPr>
          <w:color w:val="808080"/>
        </w:rPr>
      </w:pPr>
    </w:p>
    <w:p w:rsidR="007E7EBD" w:rsidRDefault="007E7EBD">
      <w:pPr>
        <w:suppressAutoHyphens w:val="0"/>
        <w:autoSpaceDE/>
        <w:rPr>
          <w:color w:val="808080"/>
        </w:rPr>
      </w:pPr>
    </w:p>
    <w:p w:rsidR="007E7EBD" w:rsidRDefault="007E7EBD">
      <w:pPr>
        <w:suppressAutoHyphens w:val="0"/>
        <w:autoSpaceDE/>
        <w:rPr>
          <w:color w:val="808080"/>
        </w:rPr>
      </w:pPr>
    </w:p>
    <w:p w:rsidR="007E7EBD" w:rsidRDefault="007E7EBD">
      <w:pPr>
        <w:suppressAutoHyphens w:val="0"/>
        <w:autoSpaceDE/>
        <w:rPr>
          <w:color w:val="808080"/>
        </w:rPr>
      </w:pPr>
    </w:p>
    <w:p w:rsidR="007E7EBD" w:rsidRDefault="007E7EBD">
      <w:pPr>
        <w:suppressAutoHyphens w:val="0"/>
        <w:autoSpaceDE/>
        <w:rPr>
          <w:color w:val="808080"/>
        </w:rPr>
      </w:pPr>
    </w:p>
    <w:p w:rsidR="007E7EBD" w:rsidRDefault="007E7EBD">
      <w:pPr>
        <w:suppressAutoHyphens w:val="0"/>
        <w:autoSpaceDE/>
        <w:rPr>
          <w:color w:val="808080"/>
        </w:rPr>
      </w:pPr>
    </w:p>
    <w:p w:rsidR="007E7EBD" w:rsidRDefault="007E7EBD">
      <w:pPr>
        <w:suppressAutoHyphens w:val="0"/>
        <w:autoSpaceDE/>
        <w:rPr>
          <w:color w:val="808080"/>
        </w:rPr>
      </w:pPr>
    </w:p>
    <w:p w:rsidR="007E7EBD" w:rsidRDefault="007E7EBD">
      <w:pPr>
        <w:suppressAutoHyphens w:val="0"/>
        <w:autoSpaceDE/>
        <w:rPr>
          <w:color w:val="808080"/>
        </w:rPr>
      </w:pPr>
    </w:p>
    <w:p w:rsidR="007E7EBD" w:rsidRPr="007E7EBD" w:rsidRDefault="007E7EBD" w:rsidP="007E7EBD">
      <w:pPr>
        <w:suppressAutoHyphens w:val="0"/>
        <w:autoSpaceDE/>
        <w:jc w:val="center"/>
        <w:rPr>
          <w:rFonts w:ascii="Arial" w:hAnsi="Arial" w:cs="Arial"/>
          <w:color w:val="808080"/>
          <w:sz w:val="40"/>
          <w:szCs w:val="40"/>
        </w:rPr>
      </w:pPr>
      <w:r w:rsidRPr="007E7EBD">
        <w:rPr>
          <w:rFonts w:ascii="Arial" w:hAnsi="Arial" w:cs="Arial"/>
          <w:color w:val="808080"/>
          <w:sz w:val="40"/>
          <w:szCs w:val="40"/>
        </w:rPr>
        <w:t xml:space="preserve">SLQ is committed to capturing, preserving, promoting and making accessible Queensland content across diverse formats, recognising that the value of the content is in its use. </w:t>
      </w:r>
    </w:p>
    <w:p w:rsidR="00E54A5B" w:rsidRDefault="00E54A5B">
      <w:pPr>
        <w:suppressAutoHyphens w:val="0"/>
        <w:autoSpaceDE/>
        <w:rPr>
          <w:color w:val="808080"/>
        </w:rPr>
      </w:pPr>
      <w:r>
        <w:rPr>
          <w:color w:val="808080"/>
        </w:rPr>
        <w:br w:type="page"/>
      </w:r>
    </w:p>
    <w:p w:rsidR="00152C93" w:rsidRDefault="00152C93">
      <w:pPr>
        <w:suppressAutoHyphens w:val="0"/>
        <w:autoSpaceDE/>
        <w:rPr>
          <w:color w:val="808080"/>
        </w:rPr>
      </w:pPr>
    </w:p>
    <w:p w:rsidR="00152C93" w:rsidRDefault="00152C93">
      <w:pPr>
        <w:suppressAutoHyphens w:val="0"/>
        <w:autoSpaceDE/>
        <w:rPr>
          <w:color w:val="808080"/>
        </w:rPr>
      </w:pPr>
    </w:p>
    <w:p w:rsidR="00152C93" w:rsidRDefault="00152C93">
      <w:pPr>
        <w:suppressAutoHyphens w:val="0"/>
        <w:autoSpaceDE/>
        <w:rPr>
          <w:color w:val="808080"/>
        </w:rPr>
      </w:pPr>
    </w:p>
    <w:p w:rsidR="00152C93" w:rsidRDefault="00152C93">
      <w:pPr>
        <w:suppressAutoHyphens w:val="0"/>
        <w:autoSpaceDE/>
        <w:rPr>
          <w:color w:val="808080"/>
        </w:rPr>
      </w:pPr>
    </w:p>
    <w:p w:rsidR="00152C93" w:rsidRDefault="00152C93">
      <w:pPr>
        <w:suppressAutoHyphens w:val="0"/>
        <w:autoSpaceDE/>
        <w:rPr>
          <w:color w:val="808080"/>
        </w:rPr>
      </w:pPr>
    </w:p>
    <w:p w:rsidR="00152C93" w:rsidRDefault="00152C93">
      <w:pPr>
        <w:suppressAutoHyphens w:val="0"/>
        <w:autoSpaceDE/>
        <w:rPr>
          <w:color w:val="808080"/>
        </w:rPr>
      </w:pPr>
    </w:p>
    <w:p w:rsidR="00152C93" w:rsidRDefault="00152C93">
      <w:pPr>
        <w:suppressAutoHyphens w:val="0"/>
        <w:autoSpaceDE/>
        <w:rPr>
          <w:color w:val="808080"/>
        </w:rPr>
      </w:pPr>
    </w:p>
    <w:p w:rsidR="00152C93" w:rsidRDefault="00152C93">
      <w:pPr>
        <w:suppressAutoHyphens w:val="0"/>
        <w:autoSpaceDE/>
        <w:rPr>
          <w:color w:val="808080"/>
        </w:rPr>
      </w:pPr>
    </w:p>
    <w:p w:rsidR="00152C93" w:rsidRDefault="00152C93">
      <w:pPr>
        <w:suppressAutoHyphens w:val="0"/>
        <w:autoSpaceDE/>
        <w:rPr>
          <w:color w:val="808080"/>
        </w:rPr>
      </w:pPr>
    </w:p>
    <w:p w:rsidR="00152C93" w:rsidRDefault="00152C93" w:rsidP="00152C93">
      <w:pPr>
        <w:suppressAutoHyphens w:val="0"/>
        <w:autoSpaceDE/>
        <w:jc w:val="center"/>
        <w:rPr>
          <w:rFonts w:ascii="Arial" w:hAnsi="Arial" w:cs="Arial"/>
          <w:color w:val="808080"/>
          <w:sz w:val="40"/>
          <w:szCs w:val="40"/>
        </w:rPr>
      </w:pPr>
      <w:r>
        <w:rPr>
          <w:rFonts w:ascii="Arial" w:hAnsi="Arial" w:cs="Arial"/>
          <w:color w:val="808080"/>
          <w:sz w:val="40"/>
          <w:szCs w:val="40"/>
        </w:rPr>
        <w:t>Collection image to be inserted</w:t>
      </w:r>
    </w:p>
    <w:p w:rsidR="00152C93" w:rsidRDefault="00152C93">
      <w:pPr>
        <w:suppressAutoHyphens w:val="0"/>
        <w:autoSpaceDE/>
        <w:rPr>
          <w:color w:val="808080"/>
        </w:rPr>
      </w:pPr>
    </w:p>
    <w:p w:rsidR="00152C93" w:rsidRDefault="00152C93">
      <w:pPr>
        <w:suppressAutoHyphens w:val="0"/>
        <w:autoSpaceDE/>
        <w:rPr>
          <w:color w:val="808080"/>
        </w:rPr>
      </w:pPr>
    </w:p>
    <w:p w:rsidR="00152C93" w:rsidRDefault="00152C93">
      <w:pPr>
        <w:suppressAutoHyphens w:val="0"/>
        <w:autoSpaceDE/>
        <w:rPr>
          <w:color w:val="808080"/>
        </w:rPr>
      </w:pPr>
    </w:p>
    <w:p w:rsidR="00152C93" w:rsidRDefault="00152C93">
      <w:pPr>
        <w:suppressAutoHyphens w:val="0"/>
        <w:autoSpaceDE/>
        <w:rPr>
          <w:color w:val="808080"/>
        </w:rPr>
      </w:pPr>
    </w:p>
    <w:p w:rsidR="00152C93" w:rsidRDefault="00152C93">
      <w:pPr>
        <w:suppressAutoHyphens w:val="0"/>
        <w:autoSpaceDE/>
        <w:rPr>
          <w:color w:val="808080"/>
        </w:rPr>
      </w:pPr>
    </w:p>
    <w:p w:rsidR="00152C93" w:rsidRDefault="00152C93">
      <w:pPr>
        <w:suppressAutoHyphens w:val="0"/>
        <w:autoSpaceDE/>
        <w:rPr>
          <w:rFonts w:ascii="Arial" w:hAnsi="Arial" w:cs="Arial"/>
          <w:color w:val="808080"/>
          <w:sz w:val="40"/>
          <w:szCs w:val="40"/>
        </w:rPr>
      </w:pPr>
      <w:r>
        <w:rPr>
          <w:color w:val="808080"/>
        </w:rPr>
        <w:br w:type="page"/>
      </w:r>
    </w:p>
    <w:p w:rsidR="00D346B4" w:rsidRPr="00DE475B" w:rsidRDefault="00D346B4">
      <w:pPr>
        <w:pStyle w:val="ARHeading1"/>
        <w:pageBreakBefore/>
      </w:pPr>
      <w:r w:rsidRPr="00DE475B">
        <w:rPr>
          <w:color w:val="808080"/>
        </w:rPr>
        <w:lastRenderedPageBreak/>
        <w:t>Part 3: Outcomes in 201</w:t>
      </w:r>
      <w:r w:rsidR="00DF07FB" w:rsidRPr="00DE475B">
        <w:rPr>
          <w:color w:val="808080"/>
        </w:rPr>
        <w:t>6</w:t>
      </w:r>
      <w:r w:rsidRPr="00DE475B">
        <w:rPr>
          <w:color w:val="808080"/>
        </w:rPr>
        <w:t>–1</w:t>
      </w:r>
      <w:r w:rsidR="00DF07FB" w:rsidRPr="00DE475B">
        <w:rPr>
          <w:color w:val="808080"/>
        </w:rPr>
        <w:t>7</w:t>
      </w:r>
    </w:p>
    <w:p w:rsidR="00D346B4" w:rsidRPr="00DE475B" w:rsidRDefault="00D346B4">
      <w:pPr>
        <w:pStyle w:val="ARHeading1"/>
        <w:rPr>
          <w:b/>
          <w:sz w:val="20"/>
          <w:szCs w:val="20"/>
        </w:rPr>
      </w:pPr>
      <w:r w:rsidRPr="00DE475B">
        <w:t>Strategic and Operational Plans</w:t>
      </w:r>
    </w:p>
    <w:p w:rsidR="00D346B4" w:rsidRPr="00DE475B" w:rsidRDefault="00D346B4">
      <w:pPr>
        <w:jc w:val="both"/>
        <w:rPr>
          <w:rFonts w:ascii="Arial" w:hAnsi="Arial" w:cs="Arial"/>
          <w:b/>
          <w:sz w:val="20"/>
          <w:szCs w:val="20"/>
        </w:rPr>
      </w:pPr>
    </w:p>
    <w:p w:rsidR="00FF4075" w:rsidRPr="00DE475B" w:rsidRDefault="00373FFE" w:rsidP="00FF4075">
      <w:pPr>
        <w:spacing w:before="40" w:after="40"/>
        <w:jc w:val="both"/>
        <w:rPr>
          <w:rFonts w:ascii="Arial" w:hAnsi="Arial" w:cs="Arial"/>
          <w:b/>
          <w:color w:val="808080"/>
          <w:sz w:val="20"/>
          <w:szCs w:val="20"/>
        </w:rPr>
      </w:pPr>
      <w:r w:rsidRPr="00DE475B">
        <w:rPr>
          <w:noProof/>
          <w:lang w:eastAsia="en-AU"/>
        </w:rPr>
        <mc:AlternateContent>
          <mc:Choice Requires="wps">
            <w:drawing>
              <wp:anchor distT="0" distB="0" distL="114300" distR="114300" simplePos="0" relativeHeight="251613184" behindDoc="0" locked="0" layoutInCell="1" allowOverlap="1" wp14:anchorId="4FE3E60D" wp14:editId="74FD6DF7">
                <wp:simplePos x="0" y="0"/>
                <wp:positionH relativeFrom="column">
                  <wp:posOffset>-228600</wp:posOffset>
                </wp:positionH>
                <wp:positionV relativeFrom="paragraph">
                  <wp:posOffset>6350</wp:posOffset>
                </wp:positionV>
                <wp:extent cx="6057900" cy="0"/>
                <wp:effectExtent l="13335" t="12700" r="5715" b="6350"/>
                <wp:wrapNone/>
                <wp:docPr id="27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4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CwmQIAAHoFAAAOAAAAZHJzL2Uyb0RvYy54bWysVFFvmzAQfp+0/2D5nQIJgQSVVC0he+m2&#10;Su20ZwebYM3YzHZDoqn/fWcnYU33Mk1NJOSz7z5/d9+dr2/2nUA7pg1XssDxVYQRk7WiXG4L/O1p&#10;HcwxMpZISoSSrMAHZvDN8uOH66HP2US1SlCmEYBIkw99gVtr+zwMTd2yjpgr1TMJh43SHbFg6m1I&#10;NRkAvRPhJIrScFCa9lrVzBjYXR0P8dLjNw2r7demMcwiUWDgZv1X++/GfcPlNcm3mvQtr080yH+w&#10;6AiXcOkItSKWoGfN/4LqeK2VUY29qlUXqqbhNfM5QDZx9Cabx5b0zOcCxTH9WCbzfrD1l92DRpwW&#10;eJKBVJJ0INI9lwzFqSvO0JscfEr5oF169V4+9veq/mGQVGVL5JZ5kk+HHuJiFxFehDjD9HDFZvis&#10;KPiQZ6t8pfaN7hwk1ADtvSCHURC2t6iGzTSaZYsIdKvPZyHJz4G9NvYTUx1yiwILIO2Bye7eWEeE&#10;5GcXd49Uay6E11tINBR4MU0dMoGuMz99pFGCU+fl/I3ebkqh0Y641vE/nx6cvHbruIUGFrwr8Hx0&#10;InnLCK0k9ddZwsVxDZSEdODMt+aRJ1h7C0u/D4n7tvm1iBbVvJonQTJJqyCJVqvgdl0mQbqOs9lq&#10;uirLVfziWMdJ3nJKmXTEzy0cJ//WIqdhOjbf2MRjqcJLdF9TIHvJ9HY9i7JkOg+ybDYNkmkVBXfz&#10;dRnclnGaZtVdeVe9YVr57M37kB1L6VipZ1DjsaUDotw1xXS2mMQYDBj5SXbUBxGxhbeqthojrex3&#10;blvfw677HMaF8PPI/U/Cj+jHQpw1dNaowim3P6UCzc/6+tFw03Ccq42ihwd9HhkYcB90eozcC/La&#10;hvXrJ3P5GwAA//8DAFBLAwQUAAYACAAAACEA5z0ubdwAAAAHAQAADwAAAGRycy9kb3ducmV2Lnht&#10;bEyPQUvDQBCF74L/YRnBi7Sb2lJqzKaIIB4Eaaso3rbZMRvMzobstIn/3rEXPc083vDme8V6DK06&#10;Yp+aSAZm0wwUUhVdQ7WB15eHyQpUYkvOtpHQwDcmWJfnZ4XNXRxoi8cd10pCKOXWgGfucq1T5THY&#10;NI0dknifsQ+WRfa1dr0dJDy0+jrLljrYhuSDtx3ee6y+dodg4LkfmsTzxWKD/PH2+PTuN1dha8zl&#10;xXh3C4px5L9j+MUXdCiFaR8P5JJqDUzmS+nCYsgQ/2a2kmV/0ros9H/+8gcAAP//AwBQSwECLQAU&#10;AAYACAAAACEAtoM4kv4AAADhAQAAEwAAAAAAAAAAAAAAAAAAAAAAW0NvbnRlbnRfVHlwZXNdLnht&#10;bFBLAQItABQABgAIAAAAIQA4/SH/1gAAAJQBAAALAAAAAAAAAAAAAAAAAC8BAABfcmVscy8ucmVs&#10;c1BLAQItABQABgAIAAAAIQAxdLCwmQIAAHoFAAAOAAAAAAAAAAAAAAAAAC4CAABkcnMvZTJvRG9j&#10;LnhtbFBLAQItABQABgAIAAAAIQDnPS5t3AAAAAcBAAAPAAAAAAAAAAAAAAAAAPMEAABkcnMvZG93&#10;bnJldi54bWxQSwUGAAAAAAQABADzAAAA/AUAAAAA&#10;" strokeweight=".26mm">
                <v:stroke joinstyle="miter" endcap="square"/>
              </v:line>
            </w:pict>
          </mc:Fallback>
        </mc:AlternateContent>
      </w:r>
      <w:r w:rsidR="00FF4075" w:rsidRPr="00DE475B">
        <w:rPr>
          <w:rFonts w:ascii="Arial" w:hAnsi="Arial" w:cs="Arial"/>
          <w:b/>
          <w:color w:val="808080"/>
          <w:sz w:val="20"/>
          <w:szCs w:val="20"/>
        </w:rPr>
        <w:t>Purpose</w:t>
      </w:r>
      <w:r w:rsidR="00FF4075" w:rsidRPr="00DE475B">
        <w:rPr>
          <w:rFonts w:ascii="Arial" w:hAnsi="Arial" w:cs="Arial"/>
          <w:b/>
          <w:color w:val="808080"/>
          <w:sz w:val="20"/>
          <w:szCs w:val="20"/>
        </w:rPr>
        <w:tab/>
        <w:t xml:space="preserve"> </w:t>
      </w:r>
      <w:r w:rsidR="00FF4075" w:rsidRPr="00DE475B">
        <w:rPr>
          <w:rFonts w:ascii="Arial" w:hAnsi="Arial" w:cs="Arial"/>
          <w:b/>
          <w:color w:val="808080"/>
          <w:sz w:val="20"/>
          <w:szCs w:val="20"/>
        </w:rPr>
        <w:tab/>
      </w:r>
      <w:r w:rsidR="00FF4075" w:rsidRPr="00DE475B">
        <w:rPr>
          <w:rFonts w:ascii="Arial" w:hAnsi="Arial" w:cs="Arial"/>
          <w:sz w:val="20"/>
          <w:szCs w:val="20"/>
        </w:rPr>
        <w:t xml:space="preserve">Inspiring Queensland’s creativity — </w:t>
      </w:r>
      <w:r w:rsidR="00FF4075" w:rsidRPr="00DE475B">
        <w:rPr>
          <w:rFonts w:ascii="Arial" w:hAnsi="Arial" w:cs="Arial"/>
          <w:i/>
          <w:sz w:val="20"/>
          <w:szCs w:val="20"/>
        </w:rPr>
        <w:t>forever</w:t>
      </w:r>
    </w:p>
    <w:p w:rsidR="00FF4075" w:rsidRPr="00DE475B" w:rsidRDefault="00FF4075" w:rsidP="00FF4075">
      <w:pPr>
        <w:pStyle w:val="ARbodytext"/>
        <w:spacing w:before="40"/>
      </w:pPr>
      <w:r w:rsidRPr="00DE475B">
        <w:rPr>
          <w:rFonts w:eastAsia="Times New Roman"/>
          <w:b/>
          <w:color w:val="808080"/>
          <w:lang w:eastAsia="en-US"/>
        </w:rPr>
        <w:t xml:space="preserve">Enduring values </w:t>
      </w:r>
      <w:r w:rsidRPr="00DE475B">
        <w:rPr>
          <w:b/>
          <w:bCs/>
          <w:color w:val="F04023"/>
        </w:rPr>
        <w:tab/>
      </w:r>
      <w:proofErr w:type="gramStart"/>
      <w:r w:rsidRPr="00DE475B">
        <w:t>We</w:t>
      </w:r>
      <w:proofErr w:type="gramEnd"/>
      <w:r w:rsidRPr="00DE475B">
        <w:t xml:space="preserve"> provide free and equitable access</w:t>
      </w:r>
    </w:p>
    <w:p w:rsidR="00FF4075" w:rsidRPr="00DE475B" w:rsidRDefault="00FF4075" w:rsidP="00FF4075">
      <w:pPr>
        <w:pStyle w:val="ARbodytext"/>
        <w:spacing w:before="40"/>
        <w:ind w:left="1440" w:firstLine="720"/>
      </w:pPr>
      <w:r w:rsidRPr="00DE475B">
        <w:t>We share</w:t>
      </w:r>
    </w:p>
    <w:p w:rsidR="00FF4075" w:rsidRPr="00DE475B" w:rsidRDefault="00FF4075" w:rsidP="00FF4075">
      <w:pPr>
        <w:pStyle w:val="ARbodytext"/>
        <w:spacing w:before="40" w:after="40"/>
        <w:ind w:left="1440" w:firstLine="720"/>
      </w:pPr>
      <w:r w:rsidRPr="00DE475B">
        <w:t>We seek diverse voices</w:t>
      </w:r>
    </w:p>
    <w:p w:rsidR="00667F51" w:rsidRPr="00DE475B" w:rsidRDefault="00FF4075" w:rsidP="00FF4075">
      <w:pPr>
        <w:pStyle w:val="ARbodytext"/>
        <w:spacing w:before="40" w:after="40"/>
        <w:ind w:left="1440" w:firstLine="720"/>
      </w:pPr>
      <w:r w:rsidRPr="00DE475B">
        <w:t>We belong to the community</w:t>
      </w:r>
    </w:p>
    <w:p w:rsidR="00344EB4" w:rsidRPr="00DE475B" w:rsidRDefault="00373FFE" w:rsidP="00A3103C">
      <w:pPr>
        <w:spacing w:before="160" w:after="80"/>
        <w:rPr>
          <w:rFonts w:ascii="Arial" w:hAnsi="Arial" w:cs="Arial"/>
          <w:b/>
          <w:color w:val="808080"/>
          <w:sz w:val="20"/>
          <w:szCs w:val="20"/>
        </w:rPr>
      </w:pPr>
      <w:r w:rsidRPr="00DE475B">
        <w:rPr>
          <w:noProof/>
          <w:lang w:eastAsia="en-AU"/>
        </w:rPr>
        <mc:AlternateContent>
          <mc:Choice Requires="wps">
            <w:drawing>
              <wp:anchor distT="0" distB="0" distL="114300" distR="114300" simplePos="0" relativeHeight="251614208" behindDoc="0" locked="0" layoutInCell="1" allowOverlap="1" wp14:anchorId="3970A1F4" wp14:editId="3101E5FB">
                <wp:simplePos x="0" y="0"/>
                <wp:positionH relativeFrom="column">
                  <wp:posOffset>-228600</wp:posOffset>
                </wp:positionH>
                <wp:positionV relativeFrom="paragraph">
                  <wp:posOffset>24765</wp:posOffset>
                </wp:positionV>
                <wp:extent cx="6057900" cy="0"/>
                <wp:effectExtent l="13335" t="8890" r="5715" b="10160"/>
                <wp:wrapNone/>
                <wp:docPr id="27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5pt" to="45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KOmgIAAHo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wW&#10;eJKmGEnSgUj3XDIUp644Q29y8Cnlg3bp1Xv52N+r+odBUpUtkVvmST4deoiLXUR4EeIM08MVm+Gz&#10;ouBDnq3yldo3unOQUAO094IcRkHY3qIaNufRLF1EoFt9PgtJfg7stbGfmOqQWxRYAGkPTHb3xjoi&#10;JD+7uHukWnMhvN5CoqHAi+ncIRPoOvPTRxolOHVezt/o7aYUGu2Iax3/8+nByWu3jltoYMG7Amej&#10;E8lbRmglqb/OEi6Oa6AkpANnvjWPPMHaW1j6fUjct82vRbSosipLgmQyr4IkWq2C23WZBPN1nM5W&#10;01VZruIXxzpO8pZTyqQjfm7hOPm3FjkN07H5xiYeSxVeovuaAtlLprfrWZQm0yxI09k0SKZVFNxl&#10;6zK4LeP5PK3uyrvqDdPKZ2/eh+xYSsdKPYMajy0dEOWuKaazxSTGYMDIT9KjPoiILbxVtdUYaWW/&#10;c9v6Hnbd5zAuhM8i9z8JP6IfC3HW0FmjCqfc/pQKND/r60fDTcNxrjaKHh70eWRgwH3Q6TFyL8hr&#10;G9avn8zlbwAAAP//AwBQSwMEFAAGAAgAAAAhABDP6I3dAAAABwEAAA8AAABkcnMvZG93bnJldi54&#10;bWxMj0FLw0AQhe+C/2EZwYu0m5pS2phNEUE8CNLWUvG2zY7ZYHY27G6b+O8dvejx4w3vfVOuR9eJ&#10;M4bYelIwm2YgkGpvWmoU7F8fJ0sQMWkyuvOECr4wwrq6vCh1YfxAWzzvUiO4hGKhFdiU+kLKWFt0&#10;Ok59j8TZhw9OJ8bQSBP0wOWuk7dZtpBOt8QLVvf4YLH+3J2cgpcwtDHl8/kG0/vh6fnNbm7cVqnr&#10;q/H+DkTCMf0dw48+q0PFTkd/IhNFp2CSL/iXpCBfgeB8NVsyH39ZVqX87199AwAA//8DAFBLAQIt&#10;ABQABgAIAAAAIQC2gziS/gAAAOEBAAATAAAAAAAAAAAAAAAAAAAAAABbQ29udGVudF9UeXBlc10u&#10;eG1sUEsBAi0AFAAGAAgAAAAhADj9If/WAAAAlAEAAAsAAAAAAAAAAAAAAAAALwEAAF9yZWxzLy5y&#10;ZWxzUEsBAi0AFAAGAAgAAAAhAKHHwo6aAgAAegUAAA4AAAAAAAAAAAAAAAAALgIAAGRycy9lMm9E&#10;b2MueG1sUEsBAi0AFAAGAAgAAAAhABDP6I3dAAAABwEAAA8AAAAAAAAAAAAAAAAA9AQAAGRycy9k&#10;b3ducmV2LnhtbFBLBQYAAAAABAAEAPMAAAD+BQAAAAA=&#10;" strokeweight=".26mm">
                <v:stroke joinstyle="miter" endcap="square"/>
              </v:line>
            </w:pict>
          </mc:Fallback>
        </mc:AlternateContent>
      </w:r>
      <w:proofErr w:type="spellStart"/>
      <w:r w:rsidR="00344EB4" w:rsidRPr="00DE475B">
        <w:rPr>
          <w:rFonts w:ascii="Arial" w:hAnsi="Arial" w:cs="Arial"/>
          <w:b/>
          <w:color w:val="808080"/>
          <w:sz w:val="20"/>
          <w:szCs w:val="20"/>
        </w:rPr>
        <w:t>S</w:t>
      </w:r>
      <w:r w:rsidR="00D346B4" w:rsidRPr="00DE475B">
        <w:rPr>
          <w:rFonts w:ascii="Arial" w:hAnsi="Arial" w:cs="Arial"/>
          <w:b/>
          <w:color w:val="808080"/>
          <w:sz w:val="20"/>
          <w:szCs w:val="20"/>
        </w:rPr>
        <w:t>LQ’s</w:t>
      </w:r>
      <w:proofErr w:type="spellEnd"/>
      <w:r w:rsidR="00D346B4" w:rsidRPr="00DE475B">
        <w:rPr>
          <w:rFonts w:ascii="Arial" w:hAnsi="Arial" w:cs="Arial"/>
          <w:b/>
          <w:color w:val="808080"/>
          <w:sz w:val="20"/>
          <w:szCs w:val="20"/>
        </w:rPr>
        <w:t xml:space="preserve"> </w:t>
      </w:r>
      <w:r w:rsidR="00D346B4" w:rsidRPr="00DE475B">
        <w:rPr>
          <w:rFonts w:ascii="Arial" w:hAnsi="Arial" w:cs="Arial"/>
          <w:b/>
          <w:i/>
          <w:color w:val="808080"/>
          <w:sz w:val="20"/>
          <w:szCs w:val="20"/>
        </w:rPr>
        <w:t>Strategic Plan 201</w:t>
      </w:r>
      <w:r w:rsidR="00D6021E" w:rsidRPr="00DE475B">
        <w:rPr>
          <w:rFonts w:ascii="Arial" w:hAnsi="Arial" w:cs="Arial"/>
          <w:b/>
          <w:i/>
          <w:color w:val="808080"/>
          <w:sz w:val="20"/>
          <w:szCs w:val="20"/>
        </w:rPr>
        <w:t>6</w:t>
      </w:r>
      <w:r w:rsidR="00D346B4" w:rsidRPr="00DE475B">
        <w:rPr>
          <w:rFonts w:ascii="Arial" w:hAnsi="Arial" w:cs="Arial"/>
          <w:b/>
          <w:i/>
          <w:color w:val="808080"/>
          <w:sz w:val="20"/>
          <w:szCs w:val="20"/>
        </w:rPr>
        <w:t>–</w:t>
      </w:r>
      <w:r w:rsidR="00D6021E" w:rsidRPr="00DE475B">
        <w:rPr>
          <w:rFonts w:ascii="Arial" w:hAnsi="Arial" w:cs="Arial"/>
          <w:b/>
          <w:i/>
          <w:color w:val="808080"/>
          <w:sz w:val="20"/>
          <w:szCs w:val="20"/>
        </w:rPr>
        <w:t>20</w:t>
      </w:r>
      <w:r w:rsidR="00D346B4" w:rsidRPr="00DE475B">
        <w:rPr>
          <w:rFonts w:ascii="Arial" w:hAnsi="Arial" w:cs="Arial"/>
          <w:b/>
          <w:color w:val="808080"/>
          <w:sz w:val="20"/>
          <w:szCs w:val="20"/>
        </w:rPr>
        <w:t xml:space="preserve"> sets out the </w:t>
      </w:r>
      <w:r w:rsidR="00F16C72" w:rsidRPr="00DE475B">
        <w:rPr>
          <w:rFonts w:ascii="Arial" w:hAnsi="Arial" w:cs="Arial"/>
          <w:b/>
          <w:color w:val="808080"/>
          <w:sz w:val="20"/>
          <w:szCs w:val="20"/>
        </w:rPr>
        <w:t xml:space="preserve">critical success factors </w:t>
      </w:r>
      <w:r w:rsidR="00D346B4" w:rsidRPr="00DE475B">
        <w:rPr>
          <w:rFonts w:ascii="Arial" w:hAnsi="Arial" w:cs="Arial"/>
          <w:b/>
          <w:color w:val="808080"/>
          <w:sz w:val="20"/>
          <w:szCs w:val="20"/>
        </w:rPr>
        <w:t xml:space="preserve">and </w:t>
      </w:r>
      <w:r w:rsidR="00F16C72" w:rsidRPr="00DE475B">
        <w:rPr>
          <w:rFonts w:ascii="Arial" w:hAnsi="Arial" w:cs="Arial"/>
          <w:b/>
          <w:color w:val="808080"/>
          <w:sz w:val="20"/>
          <w:szCs w:val="20"/>
        </w:rPr>
        <w:t xml:space="preserve">key objectives </w:t>
      </w:r>
      <w:r w:rsidR="00D346B4" w:rsidRPr="00DE475B">
        <w:rPr>
          <w:rFonts w:ascii="Arial" w:hAnsi="Arial" w:cs="Arial"/>
          <w:b/>
          <w:color w:val="808080"/>
          <w:sz w:val="20"/>
          <w:szCs w:val="20"/>
        </w:rPr>
        <w:t>listed below.</w:t>
      </w:r>
    </w:p>
    <w:p w:rsidR="00D346B4" w:rsidRDefault="00D346B4" w:rsidP="00133E15">
      <w:pPr>
        <w:spacing w:after="120"/>
        <w:rPr>
          <w:rFonts w:ascii="Arial" w:hAnsi="Arial" w:cs="Arial"/>
          <w:b/>
          <w:color w:val="808080"/>
          <w:sz w:val="20"/>
          <w:szCs w:val="20"/>
        </w:rPr>
      </w:pPr>
      <w:r w:rsidRPr="00DE475B">
        <w:rPr>
          <w:rFonts w:ascii="Arial" w:hAnsi="Arial" w:cs="Arial"/>
          <w:b/>
          <w:color w:val="808080"/>
          <w:sz w:val="20"/>
          <w:szCs w:val="20"/>
        </w:rPr>
        <w:t xml:space="preserve">The </w:t>
      </w:r>
      <w:r w:rsidRPr="00DE475B">
        <w:rPr>
          <w:rFonts w:ascii="Arial" w:hAnsi="Arial" w:cs="Arial"/>
          <w:b/>
          <w:i/>
          <w:color w:val="808080"/>
          <w:sz w:val="20"/>
          <w:szCs w:val="20"/>
        </w:rPr>
        <w:t>Operational Plan 201</w:t>
      </w:r>
      <w:r w:rsidR="00D6021E" w:rsidRPr="00DE475B">
        <w:rPr>
          <w:rFonts w:ascii="Arial" w:hAnsi="Arial" w:cs="Arial"/>
          <w:b/>
          <w:i/>
          <w:color w:val="808080"/>
          <w:sz w:val="20"/>
          <w:szCs w:val="20"/>
        </w:rPr>
        <w:t>6</w:t>
      </w:r>
      <w:r w:rsidRPr="00DE475B">
        <w:rPr>
          <w:rFonts w:ascii="Arial" w:hAnsi="Arial" w:cs="Arial"/>
          <w:b/>
          <w:i/>
          <w:color w:val="808080"/>
          <w:sz w:val="20"/>
          <w:szCs w:val="20"/>
        </w:rPr>
        <w:t>–1</w:t>
      </w:r>
      <w:r w:rsidR="00D6021E" w:rsidRPr="00DE475B">
        <w:rPr>
          <w:rFonts w:ascii="Arial" w:hAnsi="Arial" w:cs="Arial"/>
          <w:b/>
          <w:i/>
          <w:color w:val="808080"/>
          <w:sz w:val="20"/>
          <w:szCs w:val="20"/>
        </w:rPr>
        <w:t>7</w:t>
      </w:r>
      <w:r w:rsidRPr="00DE475B">
        <w:rPr>
          <w:rFonts w:ascii="Arial" w:hAnsi="Arial" w:cs="Arial"/>
          <w:b/>
          <w:color w:val="808080"/>
          <w:sz w:val="20"/>
          <w:szCs w:val="20"/>
        </w:rPr>
        <w:t xml:space="preserve"> sets out the activities listed on the right-hand side.</w:t>
      </w:r>
    </w:p>
    <w:p w:rsidR="00A3103C" w:rsidRDefault="00A3103C" w:rsidP="00A3103C">
      <w:pPr>
        <w:spacing w:after="40"/>
        <w:rPr>
          <w:rFonts w:ascii="Arial" w:hAnsi="Arial" w:cs="Arial"/>
          <w:b/>
          <w:color w:val="808080"/>
          <w:sz w:val="20"/>
          <w:szCs w:val="20"/>
        </w:rPr>
      </w:pPr>
      <w:r>
        <w:rPr>
          <w:rFonts w:ascii="Arial" w:hAnsi="Arial" w:cs="Arial"/>
          <w:b/>
          <w:color w:val="808080"/>
          <w:sz w:val="20"/>
          <w:szCs w:val="20"/>
        </w:rPr>
        <w:t>Key strategies</w:t>
      </w:r>
    </w:p>
    <w:p w:rsidR="00A3103C" w:rsidRDefault="00A3103C" w:rsidP="00A3103C">
      <w:pPr>
        <w:pStyle w:val="ARText"/>
        <w:numPr>
          <w:ilvl w:val="0"/>
          <w:numId w:val="3"/>
        </w:numPr>
        <w:tabs>
          <w:tab w:val="left" w:pos="317"/>
        </w:tabs>
        <w:spacing w:before="0" w:after="40"/>
        <w:ind w:left="318" w:hanging="284"/>
        <w:rPr>
          <w:szCs w:val="20"/>
        </w:rPr>
        <w:sectPr w:rsidR="00A3103C" w:rsidSect="00B53922">
          <w:type w:val="continuous"/>
          <w:pgSz w:w="11906" w:h="16838"/>
          <w:pgMar w:top="1440" w:right="1701" w:bottom="1440" w:left="1701" w:header="709" w:footer="709" w:gutter="0"/>
          <w:cols w:space="720"/>
          <w:docGrid w:linePitch="360"/>
        </w:sectPr>
      </w:pPr>
    </w:p>
    <w:p w:rsidR="00A3103C" w:rsidRPr="00A3103C" w:rsidRDefault="00A3103C" w:rsidP="00A3103C">
      <w:pPr>
        <w:pStyle w:val="ARText"/>
        <w:numPr>
          <w:ilvl w:val="0"/>
          <w:numId w:val="3"/>
        </w:numPr>
        <w:tabs>
          <w:tab w:val="left" w:pos="317"/>
        </w:tabs>
        <w:spacing w:before="0" w:after="40"/>
        <w:ind w:left="318" w:hanging="284"/>
        <w:rPr>
          <w:szCs w:val="20"/>
        </w:rPr>
      </w:pPr>
      <w:r w:rsidRPr="00A3103C">
        <w:rPr>
          <w:szCs w:val="20"/>
        </w:rPr>
        <w:lastRenderedPageBreak/>
        <w:t>Reducing barriers to access</w:t>
      </w:r>
    </w:p>
    <w:p w:rsidR="00A3103C" w:rsidRPr="00A3103C" w:rsidRDefault="00A3103C" w:rsidP="00A3103C">
      <w:pPr>
        <w:pStyle w:val="ARText"/>
        <w:numPr>
          <w:ilvl w:val="0"/>
          <w:numId w:val="3"/>
        </w:numPr>
        <w:tabs>
          <w:tab w:val="left" w:pos="317"/>
        </w:tabs>
        <w:spacing w:before="0" w:after="40"/>
        <w:ind w:left="318" w:hanging="284"/>
        <w:rPr>
          <w:szCs w:val="20"/>
        </w:rPr>
      </w:pPr>
      <w:r w:rsidRPr="00A3103C">
        <w:rPr>
          <w:szCs w:val="20"/>
        </w:rPr>
        <w:t>Building capability in the regions</w:t>
      </w:r>
    </w:p>
    <w:p w:rsidR="00A3103C" w:rsidRPr="00A3103C" w:rsidRDefault="00A3103C" w:rsidP="00A3103C">
      <w:pPr>
        <w:pStyle w:val="ARText"/>
        <w:numPr>
          <w:ilvl w:val="0"/>
          <w:numId w:val="3"/>
        </w:numPr>
        <w:tabs>
          <w:tab w:val="left" w:pos="317"/>
        </w:tabs>
        <w:spacing w:before="0" w:after="40"/>
        <w:ind w:left="318" w:hanging="284"/>
        <w:rPr>
          <w:szCs w:val="20"/>
        </w:rPr>
      </w:pPr>
      <w:r w:rsidRPr="00A3103C">
        <w:rPr>
          <w:szCs w:val="20"/>
        </w:rPr>
        <w:t>Enabling new enterprise</w:t>
      </w:r>
    </w:p>
    <w:p w:rsidR="00A3103C" w:rsidRPr="00A3103C" w:rsidRDefault="00A3103C" w:rsidP="00A3103C">
      <w:pPr>
        <w:pStyle w:val="ARText"/>
        <w:numPr>
          <w:ilvl w:val="0"/>
          <w:numId w:val="3"/>
        </w:numPr>
        <w:tabs>
          <w:tab w:val="left" w:pos="317"/>
        </w:tabs>
        <w:spacing w:before="0" w:after="120"/>
        <w:ind w:left="318" w:hanging="284"/>
        <w:rPr>
          <w:szCs w:val="20"/>
        </w:rPr>
      </w:pPr>
      <w:r w:rsidRPr="00A3103C">
        <w:rPr>
          <w:szCs w:val="20"/>
        </w:rPr>
        <w:t>Future-proofing the digital library</w:t>
      </w:r>
    </w:p>
    <w:p w:rsidR="00A3103C" w:rsidRDefault="00A3103C" w:rsidP="00F16C72">
      <w:pPr>
        <w:spacing w:before="120"/>
        <w:ind w:left="-476"/>
        <w:rPr>
          <w:rFonts w:ascii="Helvetica" w:hAnsi="Helvetica" w:cs="Arial"/>
          <w:b/>
          <w:color w:val="808080"/>
          <w:sz w:val="28"/>
          <w:szCs w:val="28"/>
        </w:rPr>
        <w:sectPr w:rsidR="00A3103C" w:rsidSect="00B53922">
          <w:type w:val="continuous"/>
          <w:pgSz w:w="11906" w:h="16838"/>
          <w:pgMar w:top="1440" w:right="1701" w:bottom="1440" w:left="1701" w:header="709" w:footer="709" w:gutter="0"/>
          <w:cols w:space="720"/>
          <w:docGrid w:linePitch="360"/>
        </w:sectPr>
      </w:pPr>
    </w:p>
    <w:tbl>
      <w:tblPr>
        <w:tblW w:w="9574" w:type="dxa"/>
        <w:tblInd w:w="-252" w:type="dxa"/>
        <w:tblLayout w:type="fixed"/>
        <w:tblCellMar>
          <w:top w:w="28" w:type="dxa"/>
          <w:bottom w:w="28" w:type="dxa"/>
        </w:tblCellMar>
        <w:tblLook w:val="0000" w:firstRow="0" w:lastRow="0" w:firstColumn="0" w:lastColumn="0" w:noHBand="0" w:noVBand="0"/>
      </w:tblPr>
      <w:tblGrid>
        <w:gridCol w:w="3054"/>
        <w:gridCol w:w="6520"/>
      </w:tblGrid>
      <w:tr w:rsidR="00D346B4" w:rsidRPr="00DE475B" w:rsidTr="00133E15">
        <w:tc>
          <w:tcPr>
            <w:tcW w:w="9574" w:type="dxa"/>
            <w:gridSpan w:val="2"/>
            <w:shd w:val="clear" w:color="auto" w:fill="CCCCCC"/>
          </w:tcPr>
          <w:p w:rsidR="00D346B4" w:rsidRPr="00DE475B" w:rsidRDefault="00D346B4" w:rsidP="00F16C72">
            <w:pPr>
              <w:spacing w:before="120"/>
              <w:ind w:left="-476"/>
              <w:rPr>
                <w:rFonts w:ascii="Helvetica" w:hAnsi="Helvetica" w:cs="Arial"/>
                <w:b/>
                <w:color w:val="808080"/>
                <w:sz w:val="16"/>
                <w:szCs w:val="16"/>
              </w:rPr>
            </w:pPr>
            <w:r w:rsidRPr="00DE475B">
              <w:rPr>
                <w:rFonts w:ascii="Helvetica" w:hAnsi="Helvetica" w:cs="Arial"/>
                <w:b/>
                <w:color w:val="808080"/>
                <w:sz w:val="28"/>
                <w:szCs w:val="28"/>
              </w:rPr>
              <w:lastRenderedPageBreak/>
              <w:t>1.</w:t>
            </w:r>
            <w:r w:rsidRPr="00DE475B">
              <w:rPr>
                <w:rFonts w:ascii="Helvetica" w:hAnsi="Helvetica" w:cs="Arial"/>
                <w:b/>
                <w:color w:val="808080"/>
                <w:sz w:val="28"/>
                <w:szCs w:val="28"/>
              </w:rPr>
              <w:tab/>
            </w:r>
            <w:r w:rsidR="00F16C72" w:rsidRPr="00DE475B">
              <w:rPr>
                <w:rFonts w:ascii="Arial" w:hAnsi="Arial" w:cs="Arial"/>
                <w:b/>
                <w:sz w:val="20"/>
                <w:szCs w:val="20"/>
              </w:rPr>
              <w:t>Critical success factor</w:t>
            </w:r>
            <w:r w:rsidRPr="00DE475B">
              <w:rPr>
                <w:rFonts w:ascii="Arial" w:hAnsi="Arial" w:cs="Arial"/>
                <w:b/>
                <w:sz w:val="20"/>
                <w:szCs w:val="20"/>
              </w:rPr>
              <w:t xml:space="preserve"> 1. </w:t>
            </w:r>
            <w:r w:rsidR="00F16C72" w:rsidRPr="00DE475B">
              <w:rPr>
                <w:rFonts w:ascii="Arial" w:hAnsi="Arial" w:cs="Arial"/>
                <w:b/>
                <w:sz w:val="20"/>
                <w:szCs w:val="20"/>
              </w:rPr>
              <w:t>Enable Access</w:t>
            </w:r>
          </w:p>
        </w:tc>
      </w:tr>
      <w:tr w:rsidR="00D346B4" w:rsidRPr="00DE475B" w:rsidTr="00133E15">
        <w:tblPrEx>
          <w:tblCellMar>
            <w:top w:w="0" w:type="dxa"/>
            <w:bottom w:w="0" w:type="dxa"/>
          </w:tblCellMar>
        </w:tblPrEx>
        <w:trPr>
          <w:trHeight w:val="1910"/>
        </w:trPr>
        <w:tc>
          <w:tcPr>
            <w:tcW w:w="3054" w:type="dxa"/>
            <w:tcBorders>
              <w:bottom w:val="single" w:sz="4" w:space="0" w:color="000000"/>
            </w:tcBorders>
            <w:shd w:val="clear" w:color="auto" w:fill="auto"/>
          </w:tcPr>
          <w:p w:rsidR="00D16419" w:rsidRPr="00DE475B" w:rsidRDefault="00D346B4" w:rsidP="00133E15">
            <w:pPr>
              <w:pStyle w:val="ARheading3"/>
              <w:spacing w:before="80" w:after="40"/>
            </w:pPr>
            <w:r w:rsidRPr="00DE475B">
              <w:rPr>
                <w:color w:val="808080"/>
              </w:rPr>
              <w:t>Strategic P</w:t>
            </w:r>
            <w:r w:rsidR="00E24067" w:rsidRPr="00DE475B">
              <w:rPr>
                <w:color w:val="808080"/>
              </w:rPr>
              <w:t>lan 201</w:t>
            </w:r>
            <w:r w:rsidR="00D6021E" w:rsidRPr="00DE475B">
              <w:rPr>
                <w:color w:val="808080"/>
              </w:rPr>
              <w:t>6</w:t>
            </w:r>
            <w:r w:rsidR="00F16C72" w:rsidRPr="00DE475B">
              <w:rPr>
                <w:color w:val="808080"/>
              </w:rPr>
              <w:t>–</w:t>
            </w:r>
            <w:r w:rsidR="00D6021E" w:rsidRPr="00DE475B">
              <w:rPr>
                <w:color w:val="808080"/>
              </w:rPr>
              <w:t>20</w:t>
            </w:r>
            <w:r w:rsidRPr="00DE475B">
              <w:rPr>
                <w:color w:val="808080"/>
              </w:rPr>
              <w:t xml:space="preserve"> </w:t>
            </w:r>
            <w:r w:rsidR="00F16C72" w:rsidRPr="00DE475B">
              <w:rPr>
                <w:color w:val="808080"/>
              </w:rPr>
              <w:br/>
              <w:t>key objectives</w:t>
            </w:r>
          </w:p>
          <w:p w:rsidR="00D346B4" w:rsidRPr="00DE475B" w:rsidRDefault="00F16C72" w:rsidP="00337D67">
            <w:pPr>
              <w:pStyle w:val="ARText"/>
              <w:numPr>
                <w:ilvl w:val="0"/>
                <w:numId w:val="3"/>
              </w:numPr>
              <w:tabs>
                <w:tab w:val="left" w:pos="317"/>
              </w:tabs>
              <w:spacing w:before="0" w:after="40"/>
              <w:ind w:left="318" w:hanging="284"/>
              <w:rPr>
                <w:szCs w:val="20"/>
              </w:rPr>
            </w:pPr>
            <w:r w:rsidRPr="00DE475B">
              <w:rPr>
                <w:szCs w:val="20"/>
              </w:rPr>
              <w:t>Provide life skills and early childhood literacy programs</w:t>
            </w:r>
          </w:p>
        </w:tc>
        <w:tc>
          <w:tcPr>
            <w:tcW w:w="6520" w:type="dxa"/>
            <w:tcBorders>
              <w:bottom w:val="single" w:sz="4" w:space="0" w:color="000000"/>
            </w:tcBorders>
            <w:shd w:val="clear" w:color="auto" w:fill="auto"/>
          </w:tcPr>
          <w:p w:rsidR="00D346B4" w:rsidRPr="00DE475B" w:rsidRDefault="00D346B4" w:rsidP="00133E15">
            <w:pPr>
              <w:pStyle w:val="ARheading3"/>
              <w:spacing w:before="80" w:after="40"/>
            </w:pPr>
            <w:r w:rsidRPr="00DE475B">
              <w:rPr>
                <w:color w:val="808080"/>
              </w:rPr>
              <w:t>Operational Plan 201</w:t>
            </w:r>
            <w:r w:rsidR="00B042DA" w:rsidRPr="00DE475B">
              <w:rPr>
                <w:color w:val="808080"/>
              </w:rPr>
              <w:t>6</w:t>
            </w:r>
            <w:r w:rsidRPr="00DE475B">
              <w:rPr>
                <w:color w:val="808080"/>
              </w:rPr>
              <w:t>–1</w:t>
            </w:r>
            <w:r w:rsidR="00B042DA" w:rsidRPr="00DE475B">
              <w:rPr>
                <w:color w:val="808080"/>
              </w:rPr>
              <w:t>7</w:t>
            </w:r>
            <w:r w:rsidRPr="00DE475B">
              <w:rPr>
                <w:color w:val="808080"/>
              </w:rPr>
              <w:t xml:space="preserve"> activities</w:t>
            </w:r>
          </w:p>
          <w:p w:rsidR="00B042DA" w:rsidRPr="00DE475B" w:rsidRDefault="00B042DA" w:rsidP="00337D67">
            <w:pPr>
              <w:pStyle w:val="ARText"/>
              <w:numPr>
                <w:ilvl w:val="0"/>
                <w:numId w:val="4"/>
              </w:numPr>
              <w:tabs>
                <w:tab w:val="left" w:pos="284"/>
                <w:tab w:val="left" w:pos="360"/>
              </w:tabs>
              <w:spacing w:before="0" w:after="40"/>
              <w:ind w:left="284" w:hanging="284"/>
            </w:pPr>
            <w:r w:rsidRPr="00DE475B">
              <w:t xml:space="preserve">Lead the development and implementation of </w:t>
            </w:r>
            <w:proofErr w:type="spellStart"/>
            <w:r w:rsidRPr="00DE475B">
              <w:t>statewide</w:t>
            </w:r>
            <w:proofErr w:type="spellEnd"/>
            <w:r w:rsidRPr="00DE475B">
              <w:t xml:space="preserve"> family lit</w:t>
            </w:r>
            <w:r w:rsidR="008E4CD4">
              <w:t xml:space="preserve">eracy activities such as </w:t>
            </w:r>
            <w:r w:rsidR="008E4CD4" w:rsidRPr="008E4CD4">
              <w:rPr>
                <w:i/>
              </w:rPr>
              <w:t>First Five</w:t>
            </w:r>
            <w:r w:rsidRPr="008E4CD4">
              <w:rPr>
                <w:i/>
              </w:rPr>
              <w:t xml:space="preserve"> Forever</w:t>
            </w:r>
            <w:r w:rsidRPr="00DE475B">
              <w:t xml:space="preserve"> and enhance the regional reach of existing activities such as The Corner. </w:t>
            </w:r>
          </w:p>
          <w:p w:rsidR="00B042DA" w:rsidRPr="00DE475B" w:rsidRDefault="00B042DA" w:rsidP="00337D67">
            <w:pPr>
              <w:pStyle w:val="ARText"/>
              <w:numPr>
                <w:ilvl w:val="0"/>
                <w:numId w:val="4"/>
              </w:numPr>
              <w:tabs>
                <w:tab w:val="left" w:pos="284"/>
                <w:tab w:val="left" w:pos="360"/>
              </w:tabs>
              <w:spacing w:before="0" w:after="40"/>
              <w:ind w:left="284" w:hanging="284"/>
            </w:pPr>
            <w:r w:rsidRPr="00DE475B">
              <w:t xml:space="preserve">Develop and support public libraries to implement programs and activities to increase Queensland’s digital literacy skills, including coding and robotics, and </w:t>
            </w:r>
            <w:r w:rsidRPr="00DE475B">
              <w:rPr>
                <w:i/>
              </w:rPr>
              <w:t>Tech Savvy Seniors Queensland</w:t>
            </w:r>
            <w:r w:rsidRPr="00DE475B">
              <w:t>.</w:t>
            </w:r>
          </w:p>
          <w:p w:rsidR="00D346B4" w:rsidRPr="00DE475B" w:rsidRDefault="00B042DA" w:rsidP="00337D67">
            <w:pPr>
              <w:pStyle w:val="ARText"/>
              <w:numPr>
                <w:ilvl w:val="0"/>
                <w:numId w:val="4"/>
              </w:numPr>
              <w:tabs>
                <w:tab w:val="left" w:pos="284"/>
                <w:tab w:val="left" w:pos="360"/>
              </w:tabs>
              <w:spacing w:before="0" w:after="40"/>
              <w:ind w:left="284" w:hanging="284"/>
            </w:pPr>
            <w:r w:rsidRPr="00DE475B">
              <w:t>Work with partner agencies to support increased skills in engaging with and delivering to people from culturally and linguistically diverse (</w:t>
            </w:r>
            <w:proofErr w:type="spellStart"/>
            <w:r w:rsidRPr="00DE475B">
              <w:t>CALD</w:t>
            </w:r>
            <w:proofErr w:type="spellEnd"/>
            <w:r w:rsidRPr="00DE475B">
              <w:t>) backgrounds and people with a disability.</w:t>
            </w:r>
          </w:p>
        </w:tc>
      </w:tr>
      <w:tr w:rsidR="00D346B4" w:rsidRPr="00DE475B" w:rsidTr="00133E15">
        <w:tblPrEx>
          <w:tblCellMar>
            <w:top w:w="0" w:type="dxa"/>
            <w:bottom w:w="0" w:type="dxa"/>
          </w:tblCellMar>
        </w:tblPrEx>
        <w:trPr>
          <w:trHeight w:val="1433"/>
        </w:trPr>
        <w:tc>
          <w:tcPr>
            <w:tcW w:w="3054" w:type="dxa"/>
            <w:tcBorders>
              <w:top w:val="single" w:sz="4" w:space="0" w:color="000000"/>
              <w:bottom w:val="single" w:sz="4" w:space="0" w:color="000000"/>
            </w:tcBorders>
            <w:shd w:val="clear" w:color="auto" w:fill="auto"/>
          </w:tcPr>
          <w:p w:rsidR="00D346B4" w:rsidRPr="00DE475B" w:rsidRDefault="00F16C72" w:rsidP="00337D67">
            <w:pPr>
              <w:pStyle w:val="ARText"/>
              <w:numPr>
                <w:ilvl w:val="0"/>
                <w:numId w:val="3"/>
              </w:numPr>
              <w:tabs>
                <w:tab w:val="left" w:pos="317"/>
              </w:tabs>
              <w:spacing w:before="80"/>
              <w:ind w:left="318" w:hanging="284"/>
              <w:rPr>
                <w:szCs w:val="20"/>
              </w:rPr>
            </w:pPr>
            <w:r w:rsidRPr="00DE475B">
              <w:rPr>
                <w:szCs w:val="20"/>
              </w:rPr>
              <w:t xml:space="preserve">Increase free access to digital content </w:t>
            </w:r>
          </w:p>
        </w:tc>
        <w:tc>
          <w:tcPr>
            <w:tcW w:w="6520" w:type="dxa"/>
            <w:tcBorders>
              <w:top w:val="single" w:sz="4" w:space="0" w:color="000000"/>
              <w:bottom w:val="single" w:sz="4" w:space="0" w:color="000000"/>
            </w:tcBorders>
            <w:shd w:val="clear" w:color="auto" w:fill="auto"/>
          </w:tcPr>
          <w:p w:rsidR="00B042DA" w:rsidRPr="00DE475B" w:rsidRDefault="00B042DA" w:rsidP="00337D67">
            <w:pPr>
              <w:pStyle w:val="ARText"/>
              <w:numPr>
                <w:ilvl w:val="0"/>
                <w:numId w:val="4"/>
              </w:numPr>
              <w:tabs>
                <w:tab w:val="left" w:pos="284"/>
                <w:tab w:val="left" w:pos="360"/>
              </w:tabs>
              <w:spacing w:before="0" w:after="40"/>
              <w:ind w:left="284" w:hanging="284"/>
            </w:pPr>
            <w:r w:rsidRPr="00DE475B">
              <w:t xml:space="preserve">Continue to release open data for transparency and for creative reuse. </w:t>
            </w:r>
          </w:p>
          <w:p w:rsidR="00B042DA" w:rsidRPr="00DE475B" w:rsidRDefault="00B042DA" w:rsidP="00337D67">
            <w:pPr>
              <w:pStyle w:val="ARText"/>
              <w:numPr>
                <w:ilvl w:val="0"/>
                <w:numId w:val="4"/>
              </w:numPr>
              <w:tabs>
                <w:tab w:val="left" w:pos="284"/>
                <w:tab w:val="left" w:pos="360"/>
              </w:tabs>
              <w:spacing w:before="0" w:after="40"/>
              <w:ind w:left="284" w:hanging="284"/>
            </w:pPr>
            <w:r w:rsidRPr="00DE475B">
              <w:t xml:space="preserve">Implement the </w:t>
            </w:r>
            <w:r w:rsidRPr="00DE475B">
              <w:rPr>
                <w:i/>
              </w:rPr>
              <w:t>Content Strategy</w:t>
            </w:r>
            <w:r w:rsidRPr="00DE475B">
              <w:t xml:space="preserve"> to reflect a growing emphasis on digital content, content engagement and seamless access to our content. </w:t>
            </w:r>
          </w:p>
          <w:p w:rsidR="001D5216" w:rsidRPr="00DE475B" w:rsidRDefault="001D5216" w:rsidP="00337D67">
            <w:pPr>
              <w:pStyle w:val="ARText"/>
              <w:numPr>
                <w:ilvl w:val="0"/>
                <w:numId w:val="4"/>
              </w:numPr>
              <w:tabs>
                <w:tab w:val="left" w:pos="284"/>
                <w:tab w:val="left" w:pos="360"/>
              </w:tabs>
              <w:spacing w:before="0" w:after="40"/>
              <w:ind w:left="284" w:hanging="284"/>
            </w:pPr>
            <w:r w:rsidRPr="00DE475B">
              <w:t>Advance our priority digitisation projects.</w:t>
            </w:r>
          </w:p>
          <w:p w:rsidR="00D346B4" w:rsidRPr="00DE475B" w:rsidRDefault="00B042DA" w:rsidP="00337D67">
            <w:pPr>
              <w:pStyle w:val="ARText"/>
              <w:numPr>
                <w:ilvl w:val="0"/>
                <w:numId w:val="4"/>
              </w:numPr>
              <w:tabs>
                <w:tab w:val="left" w:pos="284"/>
                <w:tab w:val="left" w:pos="360"/>
              </w:tabs>
              <w:spacing w:before="0" w:after="40"/>
              <w:ind w:left="284" w:hanging="284"/>
            </w:pPr>
            <w:r w:rsidRPr="00DE475B">
              <w:t>Improve access to digital content for public libraries, especially those in rural and regional Queensland.</w:t>
            </w:r>
          </w:p>
        </w:tc>
      </w:tr>
      <w:tr w:rsidR="00D346B4" w:rsidRPr="00DE475B" w:rsidTr="00133E15">
        <w:tblPrEx>
          <w:tblCellMar>
            <w:top w:w="0" w:type="dxa"/>
            <w:bottom w:w="0" w:type="dxa"/>
          </w:tblCellMar>
        </w:tblPrEx>
        <w:trPr>
          <w:trHeight w:val="274"/>
        </w:trPr>
        <w:tc>
          <w:tcPr>
            <w:tcW w:w="3054" w:type="dxa"/>
            <w:tcBorders>
              <w:top w:val="single" w:sz="4" w:space="0" w:color="000000"/>
              <w:bottom w:val="single" w:sz="4" w:space="0" w:color="000000"/>
            </w:tcBorders>
            <w:shd w:val="clear" w:color="auto" w:fill="auto"/>
          </w:tcPr>
          <w:p w:rsidR="00D346B4" w:rsidRPr="00DE475B" w:rsidRDefault="00F16C72" w:rsidP="00337D67">
            <w:pPr>
              <w:pStyle w:val="ARText"/>
              <w:numPr>
                <w:ilvl w:val="0"/>
                <w:numId w:val="3"/>
              </w:numPr>
              <w:tabs>
                <w:tab w:val="left" w:pos="317"/>
              </w:tabs>
              <w:spacing w:before="80" w:after="40"/>
              <w:ind w:left="318" w:hanging="284"/>
              <w:rPr>
                <w:szCs w:val="20"/>
              </w:rPr>
            </w:pPr>
            <w:r w:rsidRPr="00DE475B">
              <w:rPr>
                <w:szCs w:val="20"/>
              </w:rPr>
              <w:t>Strengthen Queensland library infrastructure and discovery platforms.</w:t>
            </w:r>
          </w:p>
        </w:tc>
        <w:tc>
          <w:tcPr>
            <w:tcW w:w="6520" w:type="dxa"/>
            <w:tcBorders>
              <w:top w:val="single" w:sz="4" w:space="0" w:color="000000"/>
              <w:bottom w:val="single" w:sz="4" w:space="0" w:color="000000"/>
            </w:tcBorders>
            <w:shd w:val="clear" w:color="auto" w:fill="auto"/>
          </w:tcPr>
          <w:p w:rsidR="00191298" w:rsidRPr="00DE475B" w:rsidRDefault="00191298" w:rsidP="00337D67">
            <w:pPr>
              <w:pStyle w:val="ARText"/>
              <w:numPr>
                <w:ilvl w:val="0"/>
                <w:numId w:val="4"/>
              </w:numPr>
              <w:tabs>
                <w:tab w:val="left" w:pos="284"/>
                <w:tab w:val="left" w:pos="360"/>
              </w:tabs>
              <w:spacing w:before="0" w:after="40"/>
              <w:ind w:left="284" w:hanging="284"/>
              <w:rPr>
                <w:szCs w:val="20"/>
              </w:rPr>
            </w:pPr>
            <w:r w:rsidRPr="00DE475B">
              <w:t xml:space="preserve">Increase the efficiency of our back end systems including ALMA and Rosetta, through optimisation of processes and analysis of feedback. </w:t>
            </w:r>
          </w:p>
          <w:p w:rsidR="00191298" w:rsidRPr="00B11597" w:rsidRDefault="00191298" w:rsidP="00337D67">
            <w:pPr>
              <w:pStyle w:val="ARText"/>
              <w:numPr>
                <w:ilvl w:val="0"/>
                <w:numId w:val="4"/>
              </w:numPr>
              <w:tabs>
                <w:tab w:val="left" w:pos="284"/>
                <w:tab w:val="left" w:pos="360"/>
              </w:tabs>
              <w:spacing w:before="0" w:after="40"/>
              <w:ind w:left="284" w:hanging="284"/>
              <w:rPr>
                <w:spacing w:val="-2"/>
                <w:kern w:val="20"/>
                <w:szCs w:val="20"/>
              </w:rPr>
            </w:pPr>
            <w:r w:rsidRPr="00B11597">
              <w:rPr>
                <w:spacing w:val="-2"/>
                <w:kern w:val="20"/>
              </w:rPr>
              <w:t>Actively investigate state of the art/emerging discovery platforms to enhance communities’ ability to discover, access and locate content.</w:t>
            </w:r>
          </w:p>
          <w:p w:rsidR="00D346B4" w:rsidRPr="00DE475B" w:rsidRDefault="00191298" w:rsidP="00337D67">
            <w:pPr>
              <w:pStyle w:val="ARText"/>
              <w:numPr>
                <w:ilvl w:val="0"/>
                <w:numId w:val="4"/>
              </w:numPr>
              <w:tabs>
                <w:tab w:val="left" w:pos="284"/>
                <w:tab w:val="left" w:pos="360"/>
              </w:tabs>
              <w:spacing w:before="0" w:after="40"/>
              <w:ind w:left="284" w:hanging="284"/>
              <w:rPr>
                <w:szCs w:val="20"/>
              </w:rPr>
            </w:pPr>
            <w:r w:rsidRPr="00DE475B">
              <w:t>Review existing practices, processes and standards both at SLQ and between public libraries to increase efficiencies and maximise resources.</w:t>
            </w:r>
          </w:p>
          <w:p w:rsidR="00191298" w:rsidRPr="00DE475B" w:rsidRDefault="00191298" w:rsidP="00337D67">
            <w:pPr>
              <w:pStyle w:val="ARText"/>
              <w:numPr>
                <w:ilvl w:val="0"/>
                <w:numId w:val="4"/>
              </w:numPr>
              <w:tabs>
                <w:tab w:val="left" w:pos="284"/>
                <w:tab w:val="left" w:pos="360"/>
              </w:tabs>
              <w:spacing w:before="0" w:after="40"/>
              <w:ind w:left="284" w:hanging="284"/>
              <w:rPr>
                <w:szCs w:val="20"/>
              </w:rPr>
            </w:pPr>
            <w:r w:rsidRPr="00DE475B">
              <w:t>Work with local government to increase membership and awareness of services provided by Queensland’s public libraries.</w:t>
            </w:r>
          </w:p>
        </w:tc>
      </w:tr>
      <w:tr w:rsidR="00C37F15" w:rsidRPr="00DE475B" w:rsidTr="00A62C4B">
        <w:tblPrEx>
          <w:tblCellMar>
            <w:top w:w="0" w:type="dxa"/>
            <w:bottom w:w="0" w:type="dxa"/>
          </w:tblCellMar>
        </w:tblPrEx>
        <w:trPr>
          <w:trHeight w:val="274"/>
        </w:trPr>
        <w:tc>
          <w:tcPr>
            <w:tcW w:w="3054" w:type="dxa"/>
            <w:tcBorders>
              <w:top w:val="single" w:sz="4" w:space="0" w:color="000000"/>
              <w:bottom w:val="single" w:sz="4" w:space="0" w:color="000000"/>
            </w:tcBorders>
            <w:shd w:val="clear" w:color="auto" w:fill="auto"/>
          </w:tcPr>
          <w:p w:rsidR="00C37F15" w:rsidRPr="00DE475B" w:rsidRDefault="00C37F15" w:rsidP="00A62C4B">
            <w:pPr>
              <w:spacing w:before="120"/>
              <w:ind w:left="-476" w:firstLine="476"/>
              <w:rPr>
                <w:rFonts w:ascii="Arial" w:hAnsi="Arial" w:cs="Arial"/>
                <w:b/>
                <w:sz w:val="20"/>
                <w:szCs w:val="20"/>
              </w:rPr>
            </w:pPr>
            <w:r w:rsidRPr="00DE475B">
              <w:rPr>
                <w:rFonts w:ascii="Arial" w:hAnsi="Arial" w:cs="Arial"/>
                <w:b/>
                <w:sz w:val="20"/>
                <w:szCs w:val="20"/>
              </w:rPr>
              <w:t>Success Measures</w:t>
            </w:r>
          </w:p>
        </w:tc>
        <w:tc>
          <w:tcPr>
            <w:tcW w:w="6520" w:type="dxa"/>
            <w:tcBorders>
              <w:top w:val="single" w:sz="4" w:space="0" w:color="000000"/>
              <w:bottom w:val="single" w:sz="4" w:space="0" w:color="000000"/>
            </w:tcBorders>
            <w:shd w:val="clear" w:color="auto" w:fill="auto"/>
          </w:tcPr>
          <w:p w:rsidR="00C37F15" w:rsidRPr="00DE475B" w:rsidRDefault="00C37F15" w:rsidP="00A62C4B">
            <w:pPr>
              <w:spacing w:before="120"/>
              <w:ind w:left="-476" w:firstLine="510"/>
              <w:rPr>
                <w:rFonts w:ascii="Arial" w:hAnsi="Arial" w:cs="Arial"/>
                <w:b/>
                <w:sz w:val="20"/>
                <w:szCs w:val="20"/>
              </w:rPr>
            </w:pPr>
            <w:r w:rsidRPr="00DE475B">
              <w:rPr>
                <w:rFonts w:ascii="Arial" w:hAnsi="Arial" w:cs="Arial"/>
                <w:b/>
                <w:sz w:val="20"/>
                <w:szCs w:val="20"/>
              </w:rPr>
              <w:t>2016–17 targets</w:t>
            </w:r>
          </w:p>
        </w:tc>
      </w:tr>
      <w:tr w:rsidR="00C37F15" w:rsidRPr="00DE475B" w:rsidTr="00A62C4B">
        <w:tblPrEx>
          <w:tblCellMar>
            <w:top w:w="0" w:type="dxa"/>
            <w:bottom w:w="0" w:type="dxa"/>
          </w:tblCellMar>
        </w:tblPrEx>
        <w:trPr>
          <w:trHeight w:val="274"/>
        </w:trPr>
        <w:tc>
          <w:tcPr>
            <w:tcW w:w="3054" w:type="dxa"/>
            <w:tcBorders>
              <w:top w:val="single" w:sz="4" w:space="0" w:color="000000"/>
              <w:bottom w:val="single" w:sz="4" w:space="0" w:color="000000"/>
            </w:tcBorders>
            <w:shd w:val="clear" w:color="auto" w:fill="auto"/>
            <w:vAlign w:val="center"/>
          </w:tcPr>
          <w:p w:rsidR="00C37F15" w:rsidRPr="00DE475B" w:rsidRDefault="00C37F15" w:rsidP="00A62C4B">
            <w:pPr>
              <w:pStyle w:val="ARText"/>
              <w:tabs>
                <w:tab w:val="left" w:pos="317"/>
              </w:tabs>
              <w:spacing w:before="80" w:after="40"/>
              <w:ind w:left="34"/>
              <w:rPr>
                <w:szCs w:val="20"/>
              </w:rPr>
            </w:pPr>
            <w:r w:rsidRPr="00DE475B">
              <w:rPr>
                <w:szCs w:val="20"/>
              </w:rPr>
              <w:t>Increase membership throughout Queensland</w:t>
            </w:r>
          </w:p>
        </w:tc>
        <w:tc>
          <w:tcPr>
            <w:tcW w:w="6520" w:type="dxa"/>
            <w:tcBorders>
              <w:top w:val="single" w:sz="4" w:space="0" w:color="000000"/>
              <w:bottom w:val="single" w:sz="4" w:space="0" w:color="000000"/>
            </w:tcBorders>
            <w:shd w:val="clear" w:color="auto" w:fill="auto"/>
            <w:vAlign w:val="center"/>
          </w:tcPr>
          <w:p w:rsidR="00C37F15" w:rsidRPr="00DE475B" w:rsidRDefault="00C37F15" w:rsidP="00A62C4B">
            <w:pPr>
              <w:ind w:left="34"/>
              <w:rPr>
                <w:rFonts w:ascii="Arial" w:eastAsia="Batang" w:hAnsi="Arial" w:cs="Arial"/>
                <w:bCs/>
                <w:color w:val="auto"/>
                <w:kern w:val="1"/>
                <w:sz w:val="20"/>
                <w:szCs w:val="20"/>
              </w:rPr>
            </w:pPr>
            <w:r w:rsidRPr="00DE475B">
              <w:rPr>
                <w:rFonts w:ascii="Arial" w:eastAsia="Batang" w:hAnsi="Arial" w:cs="Arial"/>
                <w:bCs/>
                <w:color w:val="auto"/>
                <w:kern w:val="1"/>
                <w:sz w:val="20"/>
                <w:szCs w:val="20"/>
              </w:rPr>
              <w:t>15% increase</w:t>
            </w:r>
          </w:p>
        </w:tc>
      </w:tr>
      <w:tr w:rsidR="00C37F15" w:rsidRPr="00DE475B" w:rsidTr="00A62C4B">
        <w:tblPrEx>
          <w:tblCellMar>
            <w:top w:w="0" w:type="dxa"/>
            <w:bottom w:w="0" w:type="dxa"/>
          </w:tblCellMar>
        </w:tblPrEx>
        <w:trPr>
          <w:trHeight w:val="274"/>
        </w:trPr>
        <w:tc>
          <w:tcPr>
            <w:tcW w:w="3054" w:type="dxa"/>
            <w:tcBorders>
              <w:top w:val="single" w:sz="4" w:space="0" w:color="000000"/>
              <w:bottom w:val="single" w:sz="4" w:space="0" w:color="000000"/>
            </w:tcBorders>
            <w:shd w:val="clear" w:color="auto" w:fill="auto"/>
            <w:vAlign w:val="center"/>
          </w:tcPr>
          <w:p w:rsidR="00C37F15" w:rsidRPr="00DE475B" w:rsidRDefault="00C37F15" w:rsidP="00A62C4B">
            <w:pPr>
              <w:pStyle w:val="ARText"/>
              <w:tabs>
                <w:tab w:val="left" w:pos="317"/>
              </w:tabs>
              <w:spacing w:before="80" w:after="40"/>
              <w:ind w:left="34"/>
              <w:rPr>
                <w:szCs w:val="20"/>
              </w:rPr>
            </w:pPr>
            <w:r w:rsidRPr="00DE475B">
              <w:rPr>
                <w:szCs w:val="20"/>
              </w:rPr>
              <w:t>Use of digital content</w:t>
            </w:r>
          </w:p>
        </w:tc>
        <w:tc>
          <w:tcPr>
            <w:tcW w:w="6520" w:type="dxa"/>
            <w:tcBorders>
              <w:top w:val="single" w:sz="4" w:space="0" w:color="000000"/>
              <w:bottom w:val="single" w:sz="4" w:space="0" w:color="000000"/>
            </w:tcBorders>
            <w:shd w:val="clear" w:color="auto" w:fill="auto"/>
            <w:vAlign w:val="center"/>
          </w:tcPr>
          <w:p w:rsidR="00C37F15" w:rsidRPr="00DE475B" w:rsidRDefault="00C37F15" w:rsidP="00A62C4B">
            <w:pPr>
              <w:ind w:left="34"/>
              <w:rPr>
                <w:rFonts w:ascii="Arial" w:eastAsia="Batang" w:hAnsi="Arial" w:cs="Arial"/>
                <w:bCs/>
                <w:color w:val="auto"/>
                <w:kern w:val="1"/>
                <w:sz w:val="20"/>
                <w:szCs w:val="20"/>
              </w:rPr>
            </w:pPr>
            <w:r w:rsidRPr="00DE475B">
              <w:rPr>
                <w:rFonts w:ascii="Arial" w:eastAsia="Batang" w:hAnsi="Arial" w:cs="Arial"/>
                <w:bCs/>
                <w:color w:val="auto"/>
                <w:kern w:val="1"/>
                <w:sz w:val="20"/>
                <w:szCs w:val="20"/>
              </w:rPr>
              <w:t>10% increase</w:t>
            </w:r>
          </w:p>
        </w:tc>
      </w:tr>
      <w:tr w:rsidR="00D346B4" w:rsidRPr="00DE475B" w:rsidTr="00133E15">
        <w:tc>
          <w:tcPr>
            <w:tcW w:w="9574" w:type="dxa"/>
            <w:gridSpan w:val="2"/>
            <w:shd w:val="clear" w:color="auto" w:fill="CCCCCC"/>
          </w:tcPr>
          <w:p w:rsidR="00D346B4" w:rsidRPr="00DE475B" w:rsidRDefault="00853CFC" w:rsidP="00F16C72">
            <w:pPr>
              <w:spacing w:before="120"/>
              <w:ind w:left="-476"/>
              <w:rPr>
                <w:rFonts w:ascii="Helvetica" w:hAnsi="Helvetica" w:cs="Arial"/>
                <w:b/>
                <w:color w:val="808080"/>
                <w:sz w:val="16"/>
                <w:szCs w:val="16"/>
              </w:rPr>
            </w:pPr>
            <w:r w:rsidRPr="00DE475B">
              <w:rPr>
                <w:bCs/>
              </w:rPr>
              <w:lastRenderedPageBreak/>
              <w:br w:type="page"/>
            </w:r>
            <w:r w:rsidR="00D346B4" w:rsidRPr="00DE475B">
              <w:rPr>
                <w:rFonts w:ascii="Helvetica" w:hAnsi="Helvetica" w:cs="Arial"/>
                <w:b/>
                <w:color w:val="808080"/>
                <w:sz w:val="28"/>
                <w:szCs w:val="28"/>
              </w:rPr>
              <w:t>1.</w:t>
            </w:r>
            <w:r w:rsidR="00D346B4" w:rsidRPr="00DE475B">
              <w:rPr>
                <w:rFonts w:ascii="Helvetica" w:hAnsi="Helvetica" w:cs="Arial"/>
                <w:b/>
                <w:color w:val="808080"/>
                <w:sz w:val="28"/>
                <w:szCs w:val="28"/>
              </w:rPr>
              <w:tab/>
            </w:r>
            <w:r w:rsidR="00F16C72" w:rsidRPr="00DE475B">
              <w:rPr>
                <w:rFonts w:ascii="Arial" w:hAnsi="Arial" w:cs="Arial"/>
                <w:b/>
                <w:sz w:val="20"/>
                <w:szCs w:val="20"/>
              </w:rPr>
              <w:t xml:space="preserve">Critical success factor </w:t>
            </w:r>
            <w:r w:rsidR="00D346B4" w:rsidRPr="00DE475B">
              <w:rPr>
                <w:rFonts w:ascii="Arial" w:hAnsi="Arial" w:cs="Arial"/>
                <w:b/>
                <w:sz w:val="20"/>
                <w:szCs w:val="20"/>
              </w:rPr>
              <w:t>2.</w:t>
            </w:r>
            <w:r w:rsidR="00D346B4" w:rsidRPr="00DE475B">
              <w:rPr>
                <w:rFonts w:ascii="Arial" w:hAnsi="Arial" w:cs="Arial"/>
                <w:sz w:val="20"/>
                <w:szCs w:val="20"/>
              </w:rPr>
              <w:t xml:space="preserve"> </w:t>
            </w:r>
            <w:r w:rsidR="00F16C72" w:rsidRPr="00DE475B">
              <w:rPr>
                <w:rFonts w:ascii="Arial" w:hAnsi="Arial" w:cs="Arial"/>
                <w:b/>
                <w:sz w:val="20"/>
                <w:szCs w:val="20"/>
              </w:rPr>
              <w:t>Engage Community</w:t>
            </w:r>
          </w:p>
        </w:tc>
      </w:tr>
      <w:tr w:rsidR="00D346B4" w:rsidRPr="00DE475B" w:rsidTr="00133E15">
        <w:tblPrEx>
          <w:tblCellMar>
            <w:top w:w="0" w:type="dxa"/>
            <w:bottom w:w="0" w:type="dxa"/>
          </w:tblCellMar>
        </w:tblPrEx>
        <w:trPr>
          <w:trHeight w:val="284"/>
        </w:trPr>
        <w:tc>
          <w:tcPr>
            <w:tcW w:w="3054" w:type="dxa"/>
            <w:tcBorders>
              <w:bottom w:val="single" w:sz="4" w:space="0" w:color="000000"/>
            </w:tcBorders>
            <w:shd w:val="clear" w:color="auto" w:fill="auto"/>
          </w:tcPr>
          <w:p w:rsidR="00D346B4" w:rsidRPr="00DE475B" w:rsidRDefault="00166B49" w:rsidP="00133E15">
            <w:pPr>
              <w:pStyle w:val="ARheading3"/>
              <w:spacing w:before="80" w:after="40"/>
            </w:pPr>
            <w:r w:rsidRPr="00DE475B">
              <w:rPr>
                <w:color w:val="808080"/>
              </w:rPr>
              <w:t>Strategic Plan 201</w:t>
            </w:r>
            <w:r w:rsidR="00191298" w:rsidRPr="00DE475B">
              <w:rPr>
                <w:color w:val="808080"/>
              </w:rPr>
              <w:t>6</w:t>
            </w:r>
            <w:r w:rsidR="00F16C72" w:rsidRPr="00DE475B">
              <w:rPr>
                <w:color w:val="808080"/>
              </w:rPr>
              <w:t>–</w:t>
            </w:r>
            <w:r w:rsidR="00191298" w:rsidRPr="00DE475B">
              <w:rPr>
                <w:color w:val="808080"/>
              </w:rPr>
              <w:t>20</w:t>
            </w:r>
            <w:r w:rsidR="00D346B4" w:rsidRPr="00DE475B">
              <w:rPr>
                <w:color w:val="808080"/>
              </w:rPr>
              <w:t xml:space="preserve"> </w:t>
            </w:r>
            <w:r w:rsidR="00F16C72" w:rsidRPr="00DE475B">
              <w:rPr>
                <w:color w:val="808080"/>
              </w:rPr>
              <w:br/>
              <w:t>key objectives</w:t>
            </w:r>
            <w:r w:rsidR="00D346B4" w:rsidRPr="00DE475B">
              <w:rPr>
                <w:color w:val="808080"/>
              </w:rPr>
              <w:t xml:space="preserve">  </w:t>
            </w:r>
          </w:p>
          <w:p w:rsidR="00D346B4" w:rsidRPr="00DE475B" w:rsidRDefault="008D6E3A" w:rsidP="00337D67">
            <w:pPr>
              <w:pStyle w:val="ARText"/>
              <w:numPr>
                <w:ilvl w:val="0"/>
                <w:numId w:val="3"/>
              </w:numPr>
              <w:tabs>
                <w:tab w:val="left" w:pos="317"/>
              </w:tabs>
              <w:spacing w:before="0" w:after="40"/>
              <w:ind w:left="317" w:hanging="284"/>
              <w:rPr>
                <w:szCs w:val="20"/>
              </w:rPr>
            </w:pPr>
            <w:r w:rsidRPr="00DE475B">
              <w:rPr>
                <w:szCs w:val="20"/>
              </w:rPr>
              <w:t>Grow the State’s historical collection of Queensland culture and heritage.</w:t>
            </w:r>
          </w:p>
        </w:tc>
        <w:tc>
          <w:tcPr>
            <w:tcW w:w="6520" w:type="dxa"/>
            <w:tcBorders>
              <w:bottom w:val="single" w:sz="4" w:space="0" w:color="000000"/>
            </w:tcBorders>
            <w:shd w:val="clear" w:color="auto" w:fill="auto"/>
          </w:tcPr>
          <w:p w:rsidR="00D346B4" w:rsidRPr="00DE475B" w:rsidRDefault="00D346B4" w:rsidP="00133E15">
            <w:pPr>
              <w:pStyle w:val="ARheading3"/>
              <w:spacing w:before="80" w:after="40"/>
            </w:pPr>
            <w:r w:rsidRPr="00DE475B">
              <w:rPr>
                <w:color w:val="808080"/>
              </w:rPr>
              <w:t>Operational Plan 201</w:t>
            </w:r>
            <w:r w:rsidR="00191298" w:rsidRPr="00DE475B">
              <w:rPr>
                <w:color w:val="808080"/>
              </w:rPr>
              <w:t>6</w:t>
            </w:r>
            <w:r w:rsidRPr="00DE475B">
              <w:rPr>
                <w:color w:val="808080"/>
              </w:rPr>
              <w:t>–1</w:t>
            </w:r>
            <w:r w:rsidR="00191298" w:rsidRPr="00DE475B">
              <w:rPr>
                <w:color w:val="808080"/>
              </w:rPr>
              <w:t>7</w:t>
            </w:r>
            <w:r w:rsidRPr="00DE475B">
              <w:rPr>
                <w:color w:val="808080"/>
              </w:rPr>
              <w:t xml:space="preserve"> activities</w:t>
            </w:r>
          </w:p>
          <w:p w:rsidR="00191298" w:rsidRPr="00DE475B" w:rsidRDefault="00191298" w:rsidP="00337D67">
            <w:pPr>
              <w:pStyle w:val="ARText"/>
              <w:numPr>
                <w:ilvl w:val="0"/>
                <w:numId w:val="4"/>
              </w:numPr>
              <w:tabs>
                <w:tab w:val="left" w:pos="284"/>
                <w:tab w:val="left" w:pos="360"/>
              </w:tabs>
              <w:spacing w:before="80" w:after="40"/>
              <w:ind w:left="284" w:hanging="284"/>
            </w:pPr>
            <w:r w:rsidRPr="00DE475B">
              <w:t>Support the development of connected collections throughout Queensland’s Gallery, Library, Archives and Museum (GLAM) sector.</w:t>
            </w:r>
          </w:p>
          <w:p w:rsidR="00191298" w:rsidRPr="00DE475B" w:rsidRDefault="00191298" w:rsidP="00337D67">
            <w:pPr>
              <w:pStyle w:val="ARText"/>
              <w:numPr>
                <w:ilvl w:val="0"/>
                <w:numId w:val="4"/>
              </w:numPr>
              <w:tabs>
                <w:tab w:val="left" w:pos="284"/>
                <w:tab w:val="left" w:pos="360"/>
              </w:tabs>
              <w:spacing w:before="80" w:after="40"/>
              <w:ind w:left="284" w:hanging="284"/>
            </w:pPr>
            <w:r w:rsidRPr="00DE475B">
              <w:t xml:space="preserve">Engage with representative groups across the community to ensure our collections capture the voices and stories of Aboriginal people and Torres Strait Islander people, the </w:t>
            </w:r>
            <w:proofErr w:type="spellStart"/>
            <w:r w:rsidRPr="00DE475B">
              <w:t>CALD</w:t>
            </w:r>
            <w:proofErr w:type="spellEnd"/>
            <w:r w:rsidRPr="00DE475B">
              <w:t xml:space="preserve"> community, the disability sector, and regional communities.</w:t>
            </w:r>
          </w:p>
          <w:p w:rsidR="00D346B4" w:rsidRPr="00DE475B" w:rsidRDefault="00191298" w:rsidP="00337D67">
            <w:pPr>
              <w:pStyle w:val="ARText"/>
              <w:numPr>
                <w:ilvl w:val="0"/>
                <w:numId w:val="4"/>
              </w:numPr>
              <w:tabs>
                <w:tab w:val="left" w:pos="284"/>
                <w:tab w:val="left" w:pos="360"/>
              </w:tabs>
              <w:spacing w:before="80" w:after="40"/>
              <w:ind w:left="284" w:hanging="284"/>
            </w:pPr>
            <w:r w:rsidRPr="00DE475B">
              <w:t>Acquire and preserve born digital content.</w:t>
            </w:r>
          </w:p>
        </w:tc>
      </w:tr>
      <w:tr w:rsidR="00D346B4" w:rsidRPr="00DE475B" w:rsidTr="00133E15">
        <w:tblPrEx>
          <w:tblCellMar>
            <w:top w:w="0" w:type="dxa"/>
            <w:bottom w:w="0" w:type="dxa"/>
          </w:tblCellMar>
        </w:tblPrEx>
        <w:trPr>
          <w:trHeight w:val="983"/>
        </w:trPr>
        <w:tc>
          <w:tcPr>
            <w:tcW w:w="3054" w:type="dxa"/>
            <w:tcBorders>
              <w:top w:val="single" w:sz="4" w:space="0" w:color="000000"/>
              <w:bottom w:val="single" w:sz="4" w:space="0" w:color="000000"/>
            </w:tcBorders>
            <w:shd w:val="clear" w:color="auto" w:fill="auto"/>
          </w:tcPr>
          <w:p w:rsidR="00D346B4" w:rsidRPr="00DE475B" w:rsidRDefault="008D6E3A" w:rsidP="00337D67">
            <w:pPr>
              <w:pStyle w:val="ARText"/>
              <w:numPr>
                <w:ilvl w:val="0"/>
                <w:numId w:val="3"/>
              </w:numPr>
              <w:tabs>
                <w:tab w:val="left" w:pos="317"/>
              </w:tabs>
              <w:spacing w:before="80" w:after="40"/>
              <w:ind w:left="318" w:hanging="284"/>
              <w:rPr>
                <w:szCs w:val="20"/>
              </w:rPr>
            </w:pPr>
            <w:r w:rsidRPr="00DE475B">
              <w:rPr>
                <w:szCs w:val="20"/>
              </w:rPr>
              <w:t>Engage with communities of interest through dedicated centres of engagement.</w:t>
            </w:r>
          </w:p>
        </w:tc>
        <w:tc>
          <w:tcPr>
            <w:tcW w:w="6520" w:type="dxa"/>
            <w:tcBorders>
              <w:top w:val="single" w:sz="4" w:space="0" w:color="000000"/>
              <w:bottom w:val="single" w:sz="4" w:space="0" w:color="000000"/>
            </w:tcBorders>
            <w:shd w:val="clear" w:color="auto" w:fill="auto"/>
          </w:tcPr>
          <w:p w:rsidR="00191298" w:rsidRPr="00DE475B" w:rsidRDefault="00191298" w:rsidP="00337D67">
            <w:pPr>
              <w:pStyle w:val="ARText"/>
              <w:numPr>
                <w:ilvl w:val="0"/>
                <w:numId w:val="4"/>
              </w:numPr>
              <w:tabs>
                <w:tab w:val="left" w:pos="284"/>
                <w:tab w:val="left" w:pos="360"/>
              </w:tabs>
              <w:spacing w:before="80" w:after="40"/>
              <w:ind w:left="284" w:hanging="284"/>
            </w:pPr>
            <w:r w:rsidRPr="00DE475B">
              <w:t>Grow the Business Studio to support new business social enterprise and creative industries and develop a scalable model.</w:t>
            </w:r>
          </w:p>
          <w:p w:rsidR="00191298" w:rsidRPr="00DE475B" w:rsidRDefault="00191298" w:rsidP="00337D67">
            <w:pPr>
              <w:pStyle w:val="ARText"/>
              <w:numPr>
                <w:ilvl w:val="0"/>
                <w:numId w:val="4"/>
              </w:numPr>
              <w:tabs>
                <w:tab w:val="left" w:pos="284"/>
                <w:tab w:val="left" w:pos="360"/>
              </w:tabs>
              <w:spacing w:before="80" w:after="40"/>
              <w:ind w:left="284" w:hanging="284"/>
            </w:pPr>
            <w:r w:rsidRPr="00DE475B">
              <w:t>Grow our Government Research and Information Service (GRAIL) for other government agencies and investigate new services for businesses.</w:t>
            </w:r>
          </w:p>
          <w:p w:rsidR="00191298" w:rsidRPr="00DE475B" w:rsidRDefault="00191298" w:rsidP="00337D67">
            <w:pPr>
              <w:pStyle w:val="ARText"/>
              <w:numPr>
                <w:ilvl w:val="0"/>
                <w:numId w:val="4"/>
              </w:numPr>
              <w:tabs>
                <w:tab w:val="left" w:pos="284"/>
                <w:tab w:val="left" w:pos="360"/>
              </w:tabs>
              <w:spacing w:before="80" w:after="40"/>
              <w:ind w:left="284" w:hanging="284"/>
            </w:pPr>
            <w:r w:rsidRPr="00DE475B">
              <w:t xml:space="preserve">Support the development of the reading and writing sector through key programs such as the </w:t>
            </w:r>
            <w:proofErr w:type="spellStart"/>
            <w:r w:rsidRPr="00DE475B">
              <w:rPr>
                <w:i/>
              </w:rPr>
              <w:t>black&amp;write</w:t>
            </w:r>
            <w:proofErr w:type="spellEnd"/>
            <w:r w:rsidRPr="00DE475B">
              <w:rPr>
                <w:i/>
              </w:rPr>
              <w:t>!</w:t>
            </w:r>
            <w:r w:rsidRPr="00DE475B">
              <w:t xml:space="preserve"> Indigenous writing and editing program, and the Queensland Literary Awards.</w:t>
            </w:r>
          </w:p>
          <w:p w:rsidR="00D346B4" w:rsidRPr="00DE475B" w:rsidRDefault="00191298" w:rsidP="00337D67">
            <w:pPr>
              <w:pStyle w:val="ARText"/>
              <w:numPr>
                <w:ilvl w:val="0"/>
                <w:numId w:val="4"/>
              </w:numPr>
              <w:tabs>
                <w:tab w:val="left" w:pos="284"/>
                <w:tab w:val="left" w:pos="360"/>
              </w:tabs>
              <w:spacing w:before="80" w:after="40"/>
              <w:ind w:left="284" w:hanging="284"/>
            </w:pPr>
            <w:r w:rsidRPr="00DE475B">
              <w:t>Continue to collaborate and co-create with the community and partners through the John Oxley Library, the Australian Library of Art, kuril dhagun, The Edge, and the Asia Pacific Design Library.</w:t>
            </w:r>
          </w:p>
        </w:tc>
      </w:tr>
      <w:tr w:rsidR="00D346B4" w:rsidRPr="00DE475B" w:rsidTr="00133E15">
        <w:tblPrEx>
          <w:tblCellMar>
            <w:top w:w="0" w:type="dxa"/>
            <w:bottom w:w="0" w:type="dxa"/>
          </w:tblCellMar>
        </w:tblPrEx>
        <w:trPr>
          <w:trHeight w:val="1637"/>
        </w:trPr>
        <w:tc>
          <w:tcPr>
            <w:tcW w:w="3054" w:type="dxa"/>
            <w:tcBorders>
              <w:top w:val="single" w:sz="4" w:space="0" w:color="000000"/>
              <w:bottom w:val="single" w:sz="4" w:space="0" w:color="000000"/>
            </w:tcBorders>
            <w:shd w:val="clear" w:color="auto" w:fill="auto"/>
          </w:tcPr>
          <w:p w:rsidR="00D346B4" w:rsidRPr="00DE475B" w:rsidRDefault="008D6E3A" w:rsidP="00337D67">
            <w:pPr>
              <w:pStyle w:val="ARText"/>
              <w:numPr>
                <w:ilvl w:val="0"/>
                <w:numId w:val="3"/>
              </w:numPr>
              <w:tabs>
                <w:tab w:val="left" w:pos="317"/>
              </w:tabs>
              <w:spacing w:before="80" w:after="40"/>
              <w:ind w:left="318" w:hanging="284"/>
            </w:pPr>
            <w:r w:rsidRPr="00DE475B">
              <w:rPr>
                <w:szCs w:val="20"/>
              </w:rPr>
              <w:t>Facilitate the community’s use of and interaction with content.</w:t>
            </w:r>
          </w:p>
        </w:tc>
        <w:tc>
          <w:tcPr>
            <w:tcW w:w="6520" w:type="dxa"/>
            <w:tcBorders>
              <w:top w:val="single" w:sz="4" w:space="0" w:color="000000"/>
              <w:bottom w:val="single" w:sz="4" w:space="0" w:color="000000"/>
            </w:tcBorders>
            <w:shd w:val="clear" w:color="auto" w:fill="auto"/>
          </w:tcPr>
          <w:p w:rsidR="006851AF" w:rsidRPr="00DE475B" w:rsidRDefault="006851AF" w:rsidP="00337D67">
            <w:pPr>
              <w:pStyle w:val="ARText"/>
              <w:numPr>
                <w:ilvl w:val="0"/>
                <w:numId w:val="4"/>
              </w:numPr>
              <w:tabs>
                <w:tab w:val="left" w:pos="284"/>
                <w:tab w:val="left" w:pos="360"/>
              </w:tabs>
              <w:spacing w:before="80" w:after="40"/>
              <w:ind w:left="284" w:hanging="284"/>
            </w:pPr>
            <w:r w:rsidRPr="00DE475B">
              <w:t>Lead a broad community of interest to deliver </w:t>
            </w:r>
            <w:r w:rsidRPr="00DE475B">
              <w:rPr>
                <w:i/>
              </w:rPr>
              <w:t>Q ANZAC 100</w:t>
            </w:r>
            <w:r w:rsidRPr="00DE475B">
              <w:t>, including major exhibitions and programs, supporting local networks, and enabling new research.</w:t>
            </w:r>
          </w:p>
          <w:p w:rsidR="006851AF" w:rsidRPr="00DE475B" w:rsidRDefault="006851AF" w:rsidP="00337D67">
            <w:pPr>
              <w:pStyle w:val="ARText"/>
              <w:numPr>
                <w:ilvl w:val="0"/>
                <w:numId w:val="4"/>
              </w:numPr>
              <w:tabs>
                <w:tab w:val="left" w:pos="284"/>
                <w:tab w:val="left" w:pos="360"/>
              </w:tabs>
              <w:spacing w:before="80" w:after="40"/>
              <w:ind w:left="284" w:hanging="284"/>
            </w:pPr>
            <w:r w:rsidRPr="00DE475B">
              <w:t>Launch the 2017 Signature Program and deliver the final component of the 2016 program </w:t>
            </w:r>
            <w:r w:rsidRPr="00DE475B">
              <w:rPr>
                <w:i/>
              </w:rPr>
              <w:t>Belonging</w:t>
            </w:r>
            <w:r w:rsidRPr="00DE475B">
              <w:t>.</w:t>
            </w:r>
          </w:p>
          <w:p w:rsidR="006851AF" w:rsidRPr="00DE475B" w:rsidRDefault="006851AF" w:rsidP="00337D67">
            <w:pPr>
              <w:pStyle w:val="ARText"/>
              <w:numPr>
                <w:ilvl w:val="0"/>
                <w:numId w:val="4"/>
              </w:numPr>
              <w:tabs>
                <w:tab w:val="left" w:pos="284"/>
                <w:tab w:val="left" w:pos="360"/>
              </w:tabs>
              <w:spacing w:before="80" w:after="40"/>
              <w:ind w:left="284" w:hanging="284"/>
            </w:pPr>
            <w:r w:rsidRPr="00DE475B">
              <w:t>Review expenditure on collections available through the Rural Libraries Queensland network and Indigenous Knowledge Centres and work to increase community awareness of resources.</w:t>
            </w:r>
          </w:p>
          <w:p w:rsidR="00D346B4" w:rsidRPr="00DE475B" w:rsidRDefault="006851AF" w:rsidP="00337D67">
            <w:pPr>
              <w:pStyle w:val="ARText"/>
              <w:numPr>
                <w:ilvl w:val="0"/>
                <w:numId w:val="4"/>
              </w:numPr>
              <w:tabs>
                <w:tab w:val="left" w:pos="284"/>
                <w:tab w:val="left" w:pos="360"/>
              </w:tabs>
              <w:spacing w:before="80" w:after="40"/>
              <w:ind w:left="284" w:hanging="284"/>
              <w:rPr>
                <w:color w:val="444444"/>
                <w:sz w:val="18"/>
                <w:szCs w:val="18"/>
                <w:lang w:eastAsia="en-AU"/>
              </w:rPr>
            </w:pPr>
            <w:r w:rsidRPr="00DE475B">
              <w:t>Progress the online engagement strategy.</w:t>
            </w:r>
          </w:p>
        </w:tc>
      </w:tr>
      <w:tr w:rsidR="00A62C4B" w:rsidRPr="00DE475B" w:rsidTr="00A62C4B">
        <w:tblPrEx>
          <w:tblCellMar>
            <w:top w:w="0" w:type="dxa"/>
            <w:bottom w:w="0" w:type="dxa"/>
          </w:tblCellMar>
        </w:tblPrEx>
        <w:trPr>
          <w:trHeight w:val="363"/>
        </w:trPr>
        <w:tc>
          <w:tcPr>
            <w:tcW w:w="3054" w:type="dxa"/>
            <w:tcBorders>
              <w:top w:val="single" w:sz="4" w:space="0" w:color="000000"/>
              <w:bottom w:val="single" w:sz="4" w:space="0" w:color="000000"/>
            </w:tcBorders>
            <w:shd w:val="clear" w:color="auto" w:fill="auto"/>
          </w:tcPr>
          <w:p w:rsidR="00A62C4B" w:rsidRPr="00DE475B" w:rsidRDefault="00A62C4B" w:rsidP="00A62C4B">
            <w:pPr>
              <w:spacing w:before="120"/>
              <w:ind w:left="-476" w:firstLine="476"/>
              <w:rPr>
                <w:rFonts w:ascii="Arial" w:hAnsi="Arial" w:cs="Arial"/>
                <w:b/>
                <w:sz w:val="20"/>
                <w:szCs w:val="20"/>
              </w:rPr>
            </w:pPr>
            <w:r w:rsidRPr="00DE475B">
              <w:rPr>
                <w:rFonts w:ascii="Arial" w:hAnsi="Arial" w:cs="Arial"/>
                <w:b/>
                <w:sz w:val="20"/>
                <w:szCs w:val="20"/>
              </w:rPr>
              <w:t>Success Measures</w:t>
            </w:r>
          </w:p>
        </w:tc>
        <w:tc>
          <w:tcPr>
            <w:tcW w:w="6520" w:type="dxa"/>
            <w:tcBorders>
              <w:top w:val="single" w:sz="4" w:space="0" w:color="000000"/>
              <w:bottom w:val="single" w:sz="4" w:space="0" w:color="000000"/>
            </w:tcBorders>
            <w:shd w:val="clear" w:color="auto" w:fill="auto"/>
          </w:tcPr>
          <w:p w:rsidR="00A62C4B" w:rsidRPr="00DE475B" w:rsidRDefault="00A62C4B" w:rsidP="00A62C4B">
            <w:pPr>
              <w:spacing w:before="120"/>
              <w:ind w:left="-476" w:firstLine="509"/>
              <w:rPr>
                <w:rFonts w:ascii="Arial" w:hAnsi="Arial" w:cs="Arial"/>
                <w:b/>
                <w:sz w:val="20"/>
                <w:szCs w:val="20"/>
              </w:rPr>
            </w:pPr>
            <w:r w:rsidRPr="00DE475B">
              <w:rPr>
                <w:rFonts w:ascii="Arial" w:hAnsi="Arial" w:cs="Arial"/>
                <w:b/>
                <w:sz w:val="20"/>
                <w:szCs w:val="20"/>
              </w:rPr>
              <w:t>2016–17 targets</w:t>
            </w:r>
          </w:p>
        </w:tc>
      </w:tr>
      <w:tr w:rsidR="00A62C4B" w:rsidRPr="00DE475B" w:rsidTr="00A62C4B">
        <w:tblPrEx>
          <w:tblCellMar>
            <w:top w:w="0" w:type="dxa"/>
            <w:bottom w:w="0" w:type="dxa"/>
          </w:tblCellMar>
        </w:tblPrEx>
        <w:trPr>
          <w:trHeight w:val="425"/>
        </w:trPr>
        <w:tc>
          <w:tcPr>
            <w:tcW w:w="3054" w:type="dxa"/>
            <w:tcBorders>
              <w:top w:val="single" w:sz="4" w:space="0" w:color="000000"/>
              <w:bottom w:val="single" w:sz="4" w:space="0" w:color="000000"/>
            </w:tcBorders>
            <w:shd w:val="clear" w:color="auto" w:fill="auto"/>
          </w:tcPr>
          <w:p w:rsidR="00A62C4B" w:rsidRPr="00DE475B" w:rsidRDefault="00A62C4B" w:rsidP="00A62C4B">
            <w:pPr>
              <w:pStyle w:val="ARText"/>
              <w:tabs>
                <w:tab w:val="left" w:pos="317"/>
              </w:tabs>
              <w:spacing w:before="80" w:after="40"/>
              <w:ind w:left="34"/>
              <w:rPr>
                <w:szCs w:val="20"/>
              </w:rPr>
            </w:pPr>
            <w:r w:rsidRPr="00DE475B">
              <w:rPr>
                <w:szCs w:val="20"/>
              </w:rPr>
              <w:t>Customer satisfaction</w:t>
            </w:r>
          </w:p>
        </w:tc>
        <w:tc>
          <w:tcPr>
            <w:tcW w:w="6520" w:type="dxa"/>
            <w:tcBorders>
              <w:top w:val="single" w:sz="4" w:space="0" w:color="000000"/>
              <w:bottom w:val="single" w:sz="4" w:space="0" w:color="000000"/>
            </w:tcBorders>
            <w:shd w:val="clear" w:color="auto" w:fill="auto"/>
          </w:tcPr>
          <w:p w:rsidR="00A62C4B" w:rsidRPr="00DE475B" w:rsidRDefault="00A62C4B" w:rsidP="00A62C4B">
            <w:pPr>
              <w:pStyle w:val="ARText"/>
              <w:tabs>
                <w:tab w:val="left" w:pos="284"/>
                <w:tab w:val="left" w:pos="360"/>
              </w:tabs>
              <w:spacing w:before="80" w:after="40"/>
              <w:ind w:left="34"/>
              <w:rPr>
                <w:szCs w:val="20"/>
              </w:rPr>
            </w:pPr>
            <w:r w:rsidRPr="00DE475B">
              <w:rPr>
                <w:szCs w:val="20"/>
              </w:rPr>
              <w:t>95% (</w:t>
            </w:r>
            <w:proofErr w:type="spellStart"/>
            <w:r w:rsidRPr="00DE475B">
              <w:rPr>
                <w:szCs w:val="20"/>
              </w:rPr>
              <w:t>SDS</w:t>
            </w:r>
            <w:proofErr w:type="spellEnd"/>
            <w:r w:rsidRPr="00DE475B">
              <w:rPr>
                <w:szCs w:val="20"/>
              </w:rPr>
              <w:t xml:space="preserve"> – Effectiveness)</w:t>
            </w:r>
          </w:p>
        </w:tc>
      </w:tr>
      <w:tr w:rsidR="00A62C4B" w:rsidRPr="00DE475B" w:rsidTr="00A62C4B">
        <w:tblPrEx>
          <w:tblCellMar>
            <w:top w:w="0" w:type="dxa"/>
            <w:bottom w:w="0" w:type="dxa"/>
          </w:tblCellMar>
        </w:tblPrEx>
        <w:trPr>
          <w:trHeight w:val="403"/>
        </w:trPr>
        <w:tc>
          <w:tcPr>
            <w:tcW w:w="3054" w:type="dxa"/>
            <w:tcBorders>
              <w:top w:val="single" w:sz="4" w:space="0" w:color="000000"/>
              <w:bottom w:val="single" w:sz="4" w:space="0" w:color="000000"/>
            </w:tcBorders>
            <w:shd w:val="clear" w:color="auto" w:fill="auto"/>
          </w:tcPr>
          <w:p w:rsidR="00A62C4B" w:rsidRPr="00DE475B" w:rsidRDefault="00A62C4B" w:rsidP="00A62C4B">
            <w:pPr>
              <w:pStyle w:val="ARText"/>
              <w:tabs>
                <w:tab w:val="left" w:pos="317"/>
              </w:tabs>
              <w:spacing w:before="80" w:after="40"/>
              <w:ind w:left="34"/>
              <w:rPr>
                <w:szCs w:val="20"/>
              </w:rPr>
            </w:pPr>
            <w:r w:rsidRPr="00DE475B">
              <w:rPr>
                <w:szCs w:val="20"/>
              </w:rPr>
              <w:t>Increase in efficiency</w:t>
            </w:r>
          </w:p>
        </w:tc>
        <w:tc>
          <w:tcPr>
            <w:tcW w:w="6520" w:type="dxa"/>
            <w:tcBorders>
              <w:top w:val="single" w:sz="4" w:space="0" w:color="000000"/>
              <w:bottom w:val="single" w:sz="4" w:space="0" w:color="000000"/>
            </w:tcBorders>
            <w:shd w:val="clear" w:color="auto" w:fill="auto"/>
          </w:tcPr>
          <w:p w:rsidR="00A62C4B" w:rsidRPr="00DE475B" w:rsidRDefault="00A62C4B" w:rsidP="00A62C4B">
            <w:pPr>
              <w:pStyle w:val="ARText"/>
              <w:tabs>
                <w:tab w:val="left" w:pos="284"/>
                <w:tab w:val="left" w:pos="360"/>
              </w:tabs>
              <w:spacing w:before="80" w:after="40"/>
              <w:ind w:left="34"/>
              <w:rPr>
                <w:szCs w:val="20"/>
              </w:rPr>
            </w:pPr>
            <w:r w:rsidRPr="00DE475B">
              <w:rPr>
                <w:szCs w:val="20"/>
              </w:rPr>
              <w:t>2.5% (</w:t>
            </w:r>
            <w:proofErr w:type="spellStart"/>
            <w:r w:rsidRPr="00DE475B">
              <w:rPr>
                <w:szCs w:val="20"/>
              </w:rPr>
              <w:t>SDS</w:t>
            </w:r>
            <w:proofErr w:type="spellEnd"/>
            <w:r w:rsidRPr="00DE475B">
              <w:rPr>
                <w:szCs w:val="20"/>
              </w:rPr>
              <w:t xml:space="preserve"> – Onsite visits + Online visits / Budget)</w:t>
            </w:r>
          </w:p>
        </w:tc>
      </w:tr>
    </w:tbl>
    <w:p w:rsidR="00A62C4B" w:rsidRPr="00DE475B" w:rsidRDefault="00A62C4B" w:rsidP="00133E15">
      <w:pPr>
        <w:rPr>
          <w:rFonts w:ascii="Arial" w:hAnsi="Arial" w:cs="Arial"/>
          <w:sz w:val="20"/>
          <w:szCs w:val="20"/>
        </w:rPr>
      </w:pPr>
    </w:p>
    <w:p w:rsidR="00A62C4B" w:rsidRPr="00DE475B" w:rsidRDefault="00A62C4B" w:rsidP="00133E15">
      <w:pPr>
        <w:rPr>
          <w:rFonts w:ascii="Arial" w:hAnsi="Arial" w:cs="Arial"/>
          <w:sz w:val="20"/>
          <w:szCs w:val="20"/>
        </w:rPr>
      </w:pPr>
    </w:p>
    <w:tbl>
      <w:tblPr>
        <w:tblW w:w="9540" w:type="dxa"/>
        <w:tblInd w:w="-252" w:type="dxa"/>
        <w:tblLayout w:type="fixed"/>
        <w:tblCellMar>
          <w:top w:w="28" w:type="dxa"/>
          <w:bottom w:w="28" w:type="dxa"/>
        </w:tblCellMar>
        <w:tblLook w:val="0000" w:firstRow="0" w:lastRow="0" w:firstColumn="0" w:lastColumn="0" w:noHBand="0" w:noVBand="0"/>
      </w:tblPr>
      <w:tblGrid>
        <w:gridCol w:w="3054"/>
        <w:gridCol w:w="6486"/>
      </w:tblGrid>
      <w:tr w:rsidR="00D346B4" w:rsidRPr="00DE475B" w:rsidTr="00F16C72">
        <w:tc>
          <w:tcPr>
            <w:tcW w:w="9540" w:type="dxa"/>
            <w:gridSpan w:val="2"/>
            <w:shd w:val="clear" w:color="auto" w:fill="CCCCCC"/>
          </w:tcPr>
          <w:p w:rsidR="00D346B4" w:rsidRPr="00DE475B" w:rsidRDefault="00D346B4" w:rsidP="00F16C72">
            <w:pPr>
              <w:spacing w:before="120"/>
              <w:ind w:left="-476"/>
              <w:rPr>
                <w:rFonts w:ascii="Helvetica" w:hAnsi="Helvetica" w:cs="Arial"/>
                <w:b/>
                <w:color w:val="808080"/>
                <w:sz w:val="28"/>
                <w:szCs w:val="28"/>
              </w:rPr>
            </w:pPr>
            <w:r w:rsidRPr="00DE475B">
              <w:rPr>
                <w:rFonts w:ascii="Helvetica" w:hAnsi="Helvetica" w:cs="Arial"/>
                <w:b/>
                <w:color w:val="808080"/>
                <w:sz w:val="28"/>
                <w:szCs w:val="28"/>
              </w:rPr>
              <w:t>1.</w:t>
            </w:r>
            <w:r w:rsidRPr="00DE475B">
              <w:rPr>
                <w:rFonts w:ascii="Helvetica" w:hAnsi="Helvetica" w:cs="Arial"/>
                <w:b/>
                <w:color w:val="808080"/>
                <w:sz w:val="28"/>
                <w:szCs w:val="28"/>
              </w:rPr>
              <w:tab/>
            </w:r>
            <w:r w:rsidR="00F16C72" w:rsidRPr="00DE475B">
              <w:rPr>
                <w:rFonts w:ascii="Arial" w:hAnsi="Arial" w:cs="Arial"/>
                <w:b/>
                <w:sz w:val="20"/>
                <w:szCs w:val="20"/>
              </w:rPr>
              <w:t>Critical success factor 3</w:t>
            </w:r>
            <w:r w:rsidRPr="00DE475B">
              <w:rPr>
                <w:rFonts w:ascii="Arial" w:hAnsi="Arial" w:cs="Arial"/>
                <w:b/>
                <w:sz w:val="20"/>
                <w:szCs w:val="20"/>
              </w:rPr>
              <w:t xml:space="preserve">. </w:t>
            </w:r>
            <w:r w:rsidR="00F16C72" w:rsidRPr="00DE475B">
              <w:rPr>
                <w:rFonts w:ascii="Arial" w:hAnsi="Arial" w:cs="Arial"/>
                <w:b/>
                <w:sz w:val="20"/>
                <w:szCs w:val="20"/>
              </w:rPr>
              <w:t>Build</w:t>
            </w:r>
            <w:r w:rsidRPr="00DE475B">
              <w:rPr>
                <w:rFonts w:ascii="Arial" w:hAnsi="Arial" w:cs="Arial"/>
                <w:b/>
                <w:sz w:val="20"/>
                <w:szCs w:val="20"/>
              </w:rPr>
              <w:t xml:space="preserve"> capability </w:t>
            </w:r>
          </w:p>
        </w:tc>
      </w:tr>
      <w:tr w:rsidR="00D346B4" w:rsidRPr="00DE475B" w:rsidTr="00736CE1">
        <w:tblPrEx>
          <w:tblCellMar>
            <w:top w:w="0" w:type="dxa"/>
            <w:bottom w:w="0" w:type="dxa"/>
          </w:tblCellMar>
        </w:tblPrEx>
        <w:trPr>
          <w:trHeight w:val="709"/>
        </w:trPr>
        <w:tc>
          <w:tcPr>
            <w:tcW w:w="3054" w:type="dxa"/>
            <w:tcBorders>
              <w:bottom w:val="single" w:sz="4" w:space="0" w:color="000000"/>
            </w:tcBorders>
            <w:shd w:val="clear" w:color="auto" w:fill="auto"/>
          </w:tcPr>
          <w:p w:rsidR="00D346B4" w:rsidRPr="00DE475B" w:rsidRDefault="0047456A" w:rsidP="00133E15">
            <w:pPr>
              <w:pStyle w:val="ARheading3"/>
              <w:spacing w:before="80" w:after="40"/>
            </w:pPr>
            <w:r w:rsidRPr="00DE475B">
              <w:rPr>
                <w:color w:val="808080"/>
              </w:rPr>
              <w:t>Strategic Plan 201</w:t>
            </w:r>
            <w:r w:rsidR="009F3743" w:rsidRPr="00DE475B">
              <w:rPr>
                <w:color w:val="808080"/>
              </w:rPr>
              <w:t>6</w:t>
            </w:r>
            <w:r w:rsidRPr="00DE475B">
              <w:rPr>
                <w:color w:val="808080"/>
              </w:rPr>
              <w:t>–</w:t>
            </w:r>
            <w:r w:rsidR="009F3743" w:rsidRPr="00DE475B">
              <w:rPr>
                <w:color w:val="808080"/>
              </w:rPr>
              <w:t>20</w:t>
            </w:r>
            <w:r w:rsidR="00D346B4" w:rsidRPr="00DE475B">
              <w:rPr>
                <w:color w:val="808080"/>
              </w:rPr>
              <w:t xml:space="preserve"> </w:t>
            </w:r>
            <w:r w:rsidR="00F16C72" w:rsidRPr="00DE475B">
              <w:rPr>
                <w:color w:val="808080"/>
              </w:rPr>
              <w:br/>
              <w:t>key objectives</w:t>
            </w:r>
            <w:r w:rsidR="00D346B4" w:rsidRPr="00DE475B">
              <w:rPr>
                <w:color w:val="808080"/>
              </w:rPr>
              <w:t xml:space="preserve">  </w:t>
            </w:r>
          </w:p>
          <w:p w:rsidR="00D346B4" w:rsidRPr="00DE475B" w:rsidRDefault="00906086" w:rsidP="00337D67">
            <w:pPr>
              <w:pStyle w:val="ARText"/>
              <w:numPr>
                <w:ilvl w:val="0"/>
                <w:numId w:val="3"/>
              </w:numPr>
              <w:tabs>
                <w:tab w:val="left" w:pos="317"/>
              </w:tabs>
              <w:spacing w:before="0" w:after="40"/>
              <w:ind w:left="317" w:hanging="284"/>
              <w:rPr>
                <w:szCs w:val="20"/>
              </w:rPr>
            </w:pPr>
            <w:r w:rsidRPr="00DE475B">
              <w:rPr>
                <w:szCs w:val="20"/>
              </w:rPr>
              <w:t>Build capacity within our communities of interest.</w:t>
            </w:r>
          </w:p>
        </w:tc>
        <w:tc>
          <w:tcPr>
            <w:tcW w:w="6486" w:type="dxa"/>
            <w:tcBorders>
              <w:bottom w:val="single" w:sz="4" w:space="0" w:color="000000"/>
            </w:tcBorders>
            <w:shd w:val="clear" w:color="auto" w:fill="auto"/>
          </w:tcPr>
          <w:p w:rsidR="00D346B4" w:rsidRPr="00DE475B" w:rsidRDefault="00D346B4" w:rsidP="00133E15">
            <w:pPr>
              <w:pStyle w:val="ARheading3"/>
              <w:spacing w:before="80" w:after="40"/>
              <w:rPr>
                <w:spacing w:val="-2"/>
              </w:rPr>
            </w:pPr>
            <w:r w:rsidRPr="00DE475B">
              <w:rPr>
                <w:color w:val="808080"/>
              </w:rPr>
              <w:t>Operational Plan 201</w:t>
            </w:r>
            <w:r w:rsidR="009F3743" w:rsidRPr="00DE475B">
              <w:rPr>
                <w:color w:val="808080"/>
              </w:rPr>
              <w:t>6</w:t>
            </w:r>
            <w:r w:rsidRPr="00DE475B">
              <w:rPr>
                <w:color w:val="808080"/>
              </w:rPr>
              <w:t>–1</w:t>
            </w:r>
            <w:r w:rsidR="009F3743" w:rsidRPr="00DE475B">
              <w:rPr>
                <w:color w:val="808080"/>
              </w:rPr>
              <w:t>7</w:t>
            </w:r>
            <w:r w:rsidRPr="00DE475B">
              <w:rPr>
                <w:color w:val="808080"/>
              </w:rPr>
              <w:t xml:space="preserve"> activities</w:t>
            </w:r>
          </w:p>
          <w:p w:rsidR="00337D67" w:rsidRPr="00DE475B" w:rsidRDefault="00337D67" w:rsidP="00337D67">
            <w:pPr>
              <w:pStyle w:val="ARText"/>
              <w:numPr>
                <w:ilvl w:val="0"/>
                <w:numId w:val="4"/>
              </w:numPr>
              <w:tabs>
                <w:tab w:val="left" w:pos="284"/>
                <w:tab w:val="left" w:pos="360"/>
              </w:tabs>
              <w:spacing w:before="80" w:after="40"/>
              <w:ind w:left="284" w:hanging="284"/>
            </w:pPr>
            <w:r w:rsidRPr="00DE475B">
              <w:t>Deliver or facilitate the delivery of professional development activities for public library and Indigenous Knowledge Centre staff to enable progress towards </w:t>
            </w:r>
            <w:r w:rsidRPr="00DE475B">
              <w:rPr>
                <w:i/>
              </w:rPr>
              <w:t>The Next Horizon: VISION 2017</w:t>
            </w:r>
            <w:r w:rsidRPr="00DE475B">
              <w:t>.</w:t>
            </w:r>
          </w:p>
          <w:p w:rsidR="00337D67" w:rsidRPr="00736CE1" w:rsidRDefault="00337D67" w:rsidP="00337D67">
            <w:pPr>
              <w:pStyle w:val="ARText"/>
              <w:numPr>
                <w:ilvl w:val="0"/>
                <w:numId w:val="4"/>
              </w:numPr>
              <w:tabs>
                <w:tab w:val="left" w:pos="284"/>
                <w:tab w:val="left" w:pos="360"/>
              </w:tabs>
              <w:spacing w:before="80" w:after="40"/>
              <w:ind w:left="284" w:hanging="284"/>
              <w:rPr>
                <w:spacing w:val="-2"/>
                <w:kern w:val="20"/>
              </w:rPr>
            </w:pPr>
            <w:r w:rsidRPr="00736CE1">
              <w:rPr>
                <w:spacing w:val="-2"/>
                <w:kern w:val="20"/>
              </w:rPr>
              <w:t>Finalise the Advance Queensland public libraries consultation process to prepare for the review of </w:t>
            </w:r>
            <w:r w:rsidRPr="00736CE1">
              <w:rPr>
                <w:i/>
                <w:spacing w:val="-2"/>
                <w:kern w:val="20"/>
              </w:rPr>
              <w:t>The Next Horizon: VISION 2017</w:t>
            </w:r>
            <w:r w:rsidRPr="00736CE1">
              <w:rPr>
                <w:spacing w:val="-2"/>
                <w:kern w:val="20"/>
              </w:rPr>
              <w:t>.</w:t>
            </w:r>
          </w:p>
          <w:p w:rsidR="00337D67" w:rsidRPr="00DE475B" w:rsidRDefault="00337D67" w:rsidP="00337D67">
            <w:pPr>
              <w:pStyle w:val="ARText"/>
              <w:numPr>
                <w:ilvl w:val="0"/>
                <w:numId w:val="4"/>
              </w:numPr>
              <w:tabs>
                <w:tab w:val="left" w:pos="284"/>
                <w:tab w:val="left" w:pos="360"/>
              </w:tabs>
              <w:spacing w:before="80" w:after="40"/>
              <w:ind w:left="284" w:hanging="284"/>
            </w:pPr>
            <w:r w:rsidRPr="00DE475B">
              <w:t>Commence the triennial review of the Public Library Grant methodology, including the evaluation of outcomes delivered in past grants rounds.</w:t>
            </w:r>
          </w:p>
          <w:p w:rsidR="00337D67" w:rsidRPr="00DE475B" w:rsidRDefault="00337D67" w:rsidP="00337D67">
            <w:pPr>
              <w:pStyle w:val="ARText"/>
              <w:numPr>
                <w:ilvl w:val="0"/>
                <w:numId w:val="4"/>
              </w:numPr>
              <w:tabs>
                <w:tab w:val="left" w:pos="284"/>
                <w:tab w:val="left" w:pos="360"/>
              </w:tabs>
              <w:spacing w:before="80" w:after="40"/>
              <w:ind w:left="284" w:hanging="284"/>
            </w:pPr>
            <w:r w:rsidRPr="00DE475B">
              <w:t>Review the support provided to local governments operating Indigenous Knowledge Centres to enhance effectiveness of investment and improve community outcomes.</w:t>
            </w:r>
          </w:p>
          <w:p w:rsidR="00D346B4" w:rsidRPr="00DE475B" w:rsidRDefault="00337D67" w:rsidP="00337D67">
            <w:pPr>
              <w:pStyle w:val="ARText"/>
              <w:numPr>
                <w:ilvl w:val="0"/>
                <w:numId w:val="4"/>
              </w:numPr>
              <w:tabs>
                <w:tab w:val="left" w:pos="284"/>
                <w:tab w:val="left" w:pos="360"/>
              </w:tabs>
              <w:spacing w:before="80" w:after="40"/>
              <w:ind w:left="284" w:hanging="284"/>
            </w:pPr>
            <w:r w:rsidRPr="00DE475B">
              <w:t xml:space="preserve">Design, deliver and promote on-site, off-site and regional access to </w:t>
            </w:r>
            <w:r w:rsidRPr="00DE475B">
              <w:lastRenderedPageBreak/>
              <w:t>learning opportunities (</w:t>
            </w:r>
            <w:proofErr w:type="spellStart"/>
            <w:r w:rsidRPr="00DE475B">
              <w:t>e.g</w:t>
            </w:r>
            <w:proofErr w:type="spellEnd"/>
            <w:r w:rsidRPr="00DE475B">
              <w:t xml:space="preserve"> incoming school visits, The Edge, The Corner, Summer Holiday programs and design thinking workshops for teachers).</w:t>
            </w:r>
          </w:p>
        </w:tc>
      </w:tr>
      <w:tr w:rsidR="00D346B4" w:rsidRPr="00DE475B" w:rsidTr="00A769D8">
        <w:tblPrEx>
          <w:tblCellMar>
            <w:top w:w="0" w:type="dxa"/>
            <w:bottom w:w="0" w:type="dxa"/>
          </w:tblCellMar>
        </w:tblPrEx>
        <w:trPr>
          <w:trHeight w:val="1018"/>
        </w:trPr>
        <w:tc>
          <w:tcPr>
            <w:tcW w:w="3054" w:type="dxa"/>
            <w:tcBorders>
              <w:top w:val="single" w:sz="4" w:space="0" w:color="000000"/>
              <w:bottom w:val="single" w:sz="4" w:space="0" w:color="000000"/>
            </w:tcBorders>
            <w:shd w:val="clear" w:color="auto" w:fill="auto"/>
          </w:tcPr>
          <w:p w:rsidR="00D346B4" w:rsidRPr="00DE475B" w:rsidRDefault="00906086" w:rsidP="00337D67">
            <w:pPr>
              <w:pStyle w:val="ARText"/>
              <w:numPr>
                <w:ilvl w:val="0"/>
                <w:numId w:val="3"/>
              </w:numPr>
              <w:tabs>
                <w:tab w:val="left" w:pos="317"/>
              </w:tabs>
              <w:spacing w:before="80" w:after="40"/>
              <w:ind w:left="318" w:hanging="284"/>
              <w:rPr>
                <w:szCs w:val="20"/>
              </w:rPr>
            </w:pPr>
            <w:r w:rsidRPr="00DE475B">
              <w:rPr>
                <w:szCs w:val="20"/>
              </w:rPr>
              <w:lastRenderedPageBreak/>
              <w:t>Generate new revenue sources.</w:t>
            </w:r>
          </w:p>
        </w:tc>
        <w:tc>
          <w:tcPr>
            <w:tcW w:w="6486" w:type="dxa"/>
            <w:tcBorders>
              <w:top w:val="single" w:sz="4" w:space="0" w:color="000000"/>
              <w:bottom w:val="single" w:sz="4" w:space="0" w:color="000000"/>
            </w:tcBorders>
            <w:shd w:val="clear" w:color="auto" w:fill="auto"/>
          </w:tcPr>
          <w:p w:rsidR="00337D67" w:rsidRPr="00DE475B" w:rsidRDefault="00337D67" w:rsidP="00337D67">
            <w:pPr>
              <w:pStyle w:val="ARText"/>
              <w:numPr>
                <w:ilvl w:val="0"/>
                <w:numId w:val="4"/>
              </w:numPr>
              <w:tabs>
                <w:tab w:val="left" w:pos="284"/>
                <w:tab w:val="left" w:pos="360"/>
              </w:tabs>
              <w:spacing w:before="80" w:after="40"/>
              <w:ind w:left="284" w:hanging="284"/>
            </w:pPr>
            <w:r w:rsidRPr="00DE475B">
              <w:t>Focus Queensland Library Foundation efforts on increasing endowments, membership of the Presidents 100 circle and funding support for priority projects.</w:t>
            </w:r>
          </w:p>
          <w:p w:rsidR="00D346B4" w:rsidRPr="00DE475B" w:rsidRDefault="00337D67" w:rsidP="00337D67">
            <w:pPr>
              <w:pStyle w:val="ARText"/>
              <w:numPr>
                <w:ilvl w:val="0"/>
                <w:numId w:val="4"/>
              </w:numPr>
              <w:tabs>
                <w:tab w:val="left" w:pos="284"/>
                <w:tab w:val="left" w:pos="360"/>
              </w:tabs>
              <w:spacing w:before="80" w:after="40"/>
              <w:ind w:left="284" w:hanging="284"/>
              <w:rPr>
                <w:color w:val="444444"/>
                <w:sz w:val="18"/>
                <w:szCs w:val="18"/>
                <w:lang w:eastAsia="en-AU"/>
              </w:rPr>
            </w:pPr>
            <w:r w:rsidRPr="00DE475B">
              <w:t>Actively seek in-kind support and alternate funding options.</w:t>
            </w:r>
          </w:p>
        </w:tc>
      </w:tr>
      <w:tr w:rsidR="00D346B4" w:rsidRPr="00DE475B" w:rsidTr="00A769D8">
        <w:tblPrEx>
          <w:tblCellMar>
            <w:top w:w="0" w:type="dxa"/>
            <w:bottom w:w="0" w:type="dxa"/>
          </w:tblCellMar>
        </w:tblPrEx>
        <w:trPr>
          <w:trHeight w:val="274"/>
        </w:trPr>
        <w:tc>
          <w:tcPr>
            <w:tcW w:w="3054" w:type="dxa"/>
            <w:tcBorders>
              <w:top w:val="single" w:sz="4" w:space="0" w:color="000000"/>
              <w:bottom w:val="single" w:sz="4" w:space="0" w:color="000000"/>
            </w:tcBorders>
            <w:shd w:val="clear" w:color="auto" w:fill="auto"/>
          </w:tcPr>
          <w:p w:rsidR="00D346B4" w:rsidRPr="00DE475B" w:rsidRDefault="00906086" w:rsidP="00337D67">
            <w:pPr>
              <w:pStyle w:val="ARText"/>
              <w:numPr>
                <w:ilvl w:val="0"/>
                <w:numId w:val="3"/>
              </w:numPr>
              <w:tabs>
                <w:tab w:val="left" w:pos="317"/>
              </w:tabs>
              <w:spacing w:before="80" w:after="40"/>
              <w:ind w:left="318" w:hanging="284"/>
              <w:rPr>
                <w:szCs w:val="20"/>
              </w:rPr>
            </w:pPr>
            <w:r w:rsidRPr="00DE475B">
              <w:rPr>
                <w:szCs w:val="20"/>
              </w:rPr>
              <w:t>Position our workforce for the future</w:t>
            </w:r>
            <w:r w:rsidR="00473B7E" w:rsidRPr="00DE475B">
              <w:rPr>
                <w:szCs w:val="20"/>
              </w:rPr>
              <w:t>.</w:t>
            </w:r>
          </w:p>
        </w:tc>
        <w:tc>
          <w:tcPr>
            <w:tcW w:w="6486" w:type="dxa"/>
            <w:tcBorders>
              <w:top w:val="single" w:sz="4" w:space="0" w:color="000000"/>
              <w:bottom w:val="single" w:sz="4" w:space="0" w:color="000000"/>
            </w:tcBorders>
            <w:shd w:val="clear" w:color="auto" w:fill="auto"/>
          </w:tcPr>
          <w:p w:rsidR="00337D67" w:rsidRPr="00DE475B" w:rsidRDefault="00337D67" w:rsidP="00337D67">
            <w:pPr>
              <w:pStyle w:val="ARText"/>
              <w:numPr>
                <w:ilvl w:val="0"/>
                <w:numId w:val="4"/>
              </w:numPr>
              <w:tabs>
                <w:tab w:val="left" w:pos="284"/>
                <w:tab w:val="left" w:pos="360"/>
              </w:tabs>
              <w:spacing w:before="80" w:after="40"/>
              <w:ind w:left="284" w:hanging="284"/>
            </w:pPr>
            <w:r w:rsidRPr="00DE475B">
              <w:t>Implement the Hunter Review recommendations including a review of the </w:t>
            </w:r>
            <w:r w:rsidRPr="00DE475B">
              <w:rPr>
                <w:i/>
              </w:rPr>
              <w:t>Libraries Act 1988</w:t>
            </w:r>
            <w:r w:rsidRPr="00DE475B">
              <w:t>.</w:t>
            </w:r>
          </w:p>
          <w:p w:rsidR="00D346B4" w:rsidRPr="00DE475B" w:rsidRDefault="00337D67" w:rsidP="00337D67">
            <w:pPr>
              <w:pStyle w:val="ARText"/>
              <w:numPr>
                <w:ilvl w:val="0"/>
                <w:numId w:val="4"/>
              </w:numPr>
              <w:tabs>
                <w:tab w:val="left" w:pos="284"/>
                <w:tab w:val="left" w:pos="360"/>
              </w:tabs>
              <w:spacing w:before="80" w:after="40"/>
              <w:ind w:left="284" w:hanging="284"/>
              <w:rPr>
                <w:color w:val="444444"/>
                <w:sz w:val="18"/>
                <w:szCs w:val="18"/>
                <w:lang w:eastAsia="en-AU"/>
              </w:rPr>
            </w:pPr>
            <w:r w:rsidRPr="00DE475B">
              <w:t>Commence implementation of the Towards 2020 Strategic Workforce Plan.</w:t>
            </w:r>
          </w:p>
        </w:tc>
      </w:tr>
      <w:tr w:rsidR="006B4CA0" w:rsidRPr="00DE475B" w:rsidTr="006B4CA0">
        <w:tblPrEx>
          <w:tblCellMar>
            <w:top w:w="0" w:type="dxa"/>
            <w:bottom w:w="0" w:type="dxa"/>
          </w:tblCellMar>
        </w:tblPrEx>
        <w:trPr>
          <w:trHeight w:val="274"/>
        </w:trPr>
        <w:tc>
          <w:tcPr>
            <w:tcW w:w="3054" w:type="dxa"/>
            <w:tcBorders>
              <w:top w:val="single" w:sz="4" w:space="0" w:color="000000"/>
              <w:bottom w:val="single" w:sz="4" w:space="0" w:color="000000"/>
            </w:tcBorders>
            <w:shd w:val="clear" w:color="auto" w:fill="auto"/>
          </w:tcPr>
          <w:p w:rsidR="006B4CA0" w:rsidRPr="00DE475B" w:rsidRDefault="006B4CA0" w:rsidP="006B4CA0">
            <w:pPr>
              <w:spacing w:before="120"/>
              <w:ind w:left="-476" w:firstLine="476"/>
              <w:rPr>
                <w:rFonts w:ascii="Arial" w:hAnsi="Arial" w:cs="Arial"/>
                <w:b/>
                <w:sz w:val="20"/>
                <w:szCs w:val="20"/>
              </w:rPr>
            </w:pPr>
            <w:r w:rsidRPr="00DE475B">
              <w:rPr>
                <w:rFonts w:ascii="Arial" w:hAnsi="Arial" w:cs="Arial"/>
                <w:b/>
                <w:sz w:val="20"/>
                <w:szCs w:val="20"/>
              </w:rPr>
              <w:t>Success Measures</w:t>
            </w:r>
          </w:p>
        </w:tc>
        <w:tc>
          <w:tcPr>
            <w:tcW w:w="6486" w:type="dxa"/>
            <w:tcBorders>
              <w:top w:val="single" w:sz="4" w:space="0" w:color="000000"/>
              <w:bottom w:val="single" w:sz="4" w:space="0" w:color="000000"/>
            </w:tcBorders>
            <w:shd w:val="clear" w:color="auto" w:fill="auto"/>
          </w:tcPr>
          <w:p w:rsidR="006B4CA0" w:rsidRPr="00DE475B" w:rsidRDefault="006B4CA0" w:rsidP="006B4CA0">
            <w:pPr>
              <w:spacing w:before="120"/>
              <w:ind w:left="-476" w:firstLine="476"/>
              <w:rPr>
                <w:rFonts w:ascii="Arial" w:hAnsi="Arial" w:cs="Arial"/>
                <w:b/>
                <w:sz w:val="20"/>
                <w:szCs w:val="20"/>
              </w:rPr>
            </w:pPr>
            <w:r w:rsidRPr="00DE475B">
              <w:rPr>
                <w:rFonts w:ascii="Arial" w:hAnsi="Arial" w:cs="Arial"/>
                <w:b/>
                <w:sz w:val="20"/>
                <w:szCs w:val="20"/>
              </w:rPr>
              <w:t>2016–17 targets</w:t>
            </w:r>
          </w:p>
        </w:tc>
      </w:tr>
      <w:tr w:rsidR="0048765F" w:rsidRPr="00DE475B" w:rsidTr="006B4CA0">
        <w:tblPrEx>
          <w:tblCellMar>
            <w:top w:w="0" w:type="dxa"/>
            <w:bottom w:w="0" w:type="dxa"/>
          </w:tblCellMar>
        </w:tblPrEx>
        <w:trPr>
          <w:trHeight w:val="274"/>
        </w:trPr>
        <w:tc>
          <w:tcPr>
            <w:tcW w:w="3054" w:type="dxa"/>
            <w:tcBorders>
              <w:top w:val="single" w:sz="4" w:space="0" w:color="000000"/>
              <w:bottom w:val="single" w:sz="4" w:space="0" w:color="000000"/>
            </w:tcBorders>
            <w:shd w:val="clear" w:color="auto" w:fill="auto"/>
          </w:tcPr>
          <w:p w:rsidR="0048765F" w:rsidRPr="00DE475B" w:rsidRDefault="0048765F" w:rsidP="0048765F">
            <w:pPr>
              <w:pStyle w:val="ARText"/>
              <w:tabs>
                <w:tab w:val="left" w:pos="284"/>
                <w:tab w:val="left" w:pos="360"/>
              </w:tabs>
              <w:spacing w:before="80" w:after="40"/>
              <w:ind w:left="34"/>
              <w:rPr>
                <w:szCs w:val="20"/>
              </w:rPr>
            </w:pPr>
            <w:r w:rsidRPr="00DE475B">
              <w:rPr>
                <w:szCs w:val="20"/>
              </w:rPr>
              <w:t>Visits to Public Libraries</w:t>
            </w:r>
          </w:p>
        </w:tc>
        <w:tc>
          <w:tcPr>
            <w:tcW w:w="6486" w:type="dxa"/>
            <w:tcBorders>
              <w:top w:val="single" w:sz="4" w:space="0" w:color="000000"/>
              <w:bottom w:val="single" w:sz="4" w:space="0" w:color="000000"/>
            </w:tcBorders>
            <w:shd w:val="clear" w:color="auto" w:fill="auto"/>
          </w:tcPr>
          <w:p w:rsidR="0048765F" w:rsidRPr="00DE475B" w:rsidRDefault="0048765F" w:rsidP="0048765F">
            <w:pPr>
              <w:pStyle w:val="ARText"/>
              <w:tabs>
                <w:tab w:val="left" w:pos="284"/>
                <w:tab w:val="left" w:pos="360"/>
              </w:tabs>
              <w:spacing w:before="80" w:after="40"/>
              <w:ind w:left="34"/>
              <w:rPr>
                <w:szCs w:val="20"/>
              </w:rPr>
            </w:pPr>
            <w:r w:rsidRPr="00DE475B">
              <w:rPr>
                <w:szCs w:val="20"/>
              </w:rPr>
              <w:t>22,575,000</w:t>
            </w:r>
          </w:p>
        </w:tc>
      </w:tr>
      <w:tr w:rsidR="006B4CA0" w:rsidRPr="00DE475B" w:rsidTr="006B4CA0">
        <w:tblPrEx>
          <w:tblCellMar>
            <w:top w:w="0" w:type="dxa"/>
            <w:bottom w:w="0" w:type="dxa"/>
          </w:tblCellMar>
        </w:tblPrEx>
        <w:trPr>
          <w:trHeight w:val="274"/>
        </w:trPr>
        <w:tc>
          <w:tcPr>
            <w:tcW w:w="3054" w:type="dxa"/>
            <w:tcBorders>
              <w:top w:val="single" w:sz="4" w:space="0" w:color="000000"/>
              <w:bottom w:val="single" w:sz="4" w:space="0" w:color="000000"/>
            </w:tcBorders>
            <w:shd w:val="clear" w:color="auto" w:fill="auto"/>
          </w:tcPr>
          <w:p w:rsidR="006B4CA0" w:rsidRPr="00DE475B" w:rsidRDefault="0048765F" w:rsidP="0048765F">
            <w:pPr>
              <w:pStyle w:val="ARText"/>
              <w:tabs>
                <w:tab w:val="left" w:pos="284"/>
                <w:tab w:val="left" w:pos="360"/>
              </w:tabs>
              <w:spacing w:before="80" w:after="40"/>
              <w:ind w:left="34"/>
              <w:rPr>
                <w:szCs w:val="20"/>
              </w:rPr>
            </w:pPr>
            <w:r w:rsidRPr="00DE475B">
              <w:rPr>
                <w:szCs w:val="20"/>
              </w:rPr>
              <w:t>Increase in self-generated revenue</w:t>
            </w:r>
          </w:p>
        </w:tc>
        <w:tc>
          <w:tcPr>
            <w:tcW w:w="6486" w:type="dxa"/>
            <w:tcBorders>
              <w:top w:val="single" w:sz="4" w:space="0" w:color="000000"/>
              <w:bottom w:val="single" w:sz="4" w:space="0" w:color="000000"/>
            </w:tcBorders>
            <w:shd w:val="clear" w:color="auto" w:fill="auto"/>
          </w:tcPr>
          <w:p w:rsidR="006B4CA0" w:rsidRPr="00DE475B" w:rsidRDefault="0048765F" w:rsidP="0048765F">
            <w:pPr>
              <w:pStyle w:val="ARText"/>
              <w:tabs>
                <w:tab w:val="left" w:pos="284"/>
                <w:tab w:val="left" w:pos="360"/>
              </w:tabs>
              <w:spacing w:before="80" w:after="40"/>
              <w:ind w:left="34"/>
              <w:rPr>
                <w:szCs w:val="20"/>
              </w:rPr>
            </w:pPr>
            <w:r w:rsidRPr="00DE475B">
              <w:rPr>
                <w:szCs w:val="20"/>
              </w:rPr>
              <w:t>10% increase</w:t>
            </w:r>
          </w:p>
        </w:tc>
      </w:tr>
      <w:tr w:rsidR="006B4CA0" w:rsidRPr="00DE475B" w:rsidTr="006B4CA0">
        <w:tblPrEx>
          <w:tblCellMar>
            <w:top w:w="0" w:type="dxa"/>
            <w:bottom w:w="0" w:type="dxa"/>
          </w:tblCellMar>
        </w:tblPrEx>
        <w:trPr>
          <w:trHeight w:val="274"/>
        </w:trPr>
        <w:tc>
          <w:tcPr>
            <w:tcW w:w="3054" w:type="dxa"/>
            <w:tcBorders>
              <w:top w:val="single" w:sz="4" w:space="0" w:color="000000"/>
              <w:bottom w:val="single" w:sz="4" w:space="0" w:color="000000"/>
            </w:tcBorders>
            <w:shd w:val="clear" w:color="auto" w:fill="auto"/>
          </w:tcPr>
          <w:p w:rsidR="006B4CA0" w:rsidRPr="00DE475B" w:rsidRDefault="0048765F" w:rsidP="0048765F">
            <w:pPr>
              <w:pStyle w:val="ARText"/>
              <w:tabs>
                <w:tab w:val="left" w:pos="284"/>
                <w:tab w:val="left" w:pos="360"/>
              </w:tabs>
              <w:spacing w:before="80" w:after="40"/>
              <w:ind w:left="34"/>
              <w:rPr>
                <w:szCs w:val="20"/>
              </w:rPr>
            </w:pPr>
            <w:r w:rsidRPr="00DE475B">
              <w:rPr>
                <w:szCs w:val="20"/>
              </w:rPr>
              <w:t>Staff engagement</w:t>
            </w:r>
          </w:p>
        </w:tc>
        <w:tc>
          <w:tcPr>
            <w:tcW w:w="6486" w:type="dxa"/>
            <w:tcBorders>
              <w:top w:val="single" w:sz="4" w:space="0" w:color="000000"/>
              <w:bottom w:val="single" w:sz="4" w:space="0" w:color="000000"/>
            </w:tcBorders>
            <w:shd w:val="clear" w:color="auto" w:fill="auto"/>
          </w:tcPr>
          <w:p w:rsidR="006B4CA0" w:rsidRPr="00DE475B" w:rsidRDefault="0048765F" w:rsidP="0048765F">
            <w:pPr>
              <w:pStyle w:val="ARText"/>
              <w:tabs>
                <w:tab w:val="left" w:pos="284"/>
                <w:tab w:val="left" w:pos="360"/>
              </w:tabs>
              <w:spacing w:before="80" w:after="40"/>
              <w:ind w:left="34"/>
              <w:rPr>
                <w:szCs w:val="20"/>
              </w:rPr>
            </w:pPr>
            <w:r w:rsidRPr="00DE475B">
              <w:rPr>
                <w:szCs w:val="20"/>
              </w:rPr>
              <w:t>67%</w:t>
            </w:r>
          </w:p>
        </w:tc>
      </w:tr>
    </w:tbl>
    <w:p w:rsidR="00C37F15" w:rsidRPr="00DE475B" w:rsidRDefault="00C37F15" w:rsidP="00DF0F69">
      <w:pPr>
        <w:spacing w:after="120"/>
        <w:rPr>
          <w:rFonts w:ascii="Arial" w:hAnsi="Arial" w:cs="Arial"/>
          <w:spacing w:val="-2"/>
          <w:sz w:val="20"/>
          <w:szCs w:val="20"/>
        </w:rPr>
      </w:pPr>
    </w:p>
    <w:p w:rsidR="00C37F15" w:rsidRPr="00DE475B" w:rsidRDefault="00C37F15" w:rsidP="00C37F15">
      <w:pPr>
        <w:spacing w:before="240" w:after="120"/>
        <w:rPr>
          <w:rFonts w:ascii="Arial" w:hAnsi="Arial" w:cs="Arial"/>
          <w:spacing w:val="-2"/>
          <w:sz w:val="20"/>
          <w:szCs w:val="20"/>
        </w:rPr>
      </w:pPr>
      <w:r w:rsidRPr="00DE475B">
        <w:rPr>
          <w:rFonts w:ascii="Arial" w:hAnsi="Arial" w:cs="Arial"/>
          <w:spacing w:val="-2"/>
          <w:sz w:val="20"/>
          <w:szCs w:val="20"/>
        </w:rPr>
        <w:t xml:space="preserve">There were no modifications to the Strategic or Operational plans in this financial year. </w:t>
      </w:r>
    </w:p>
    <w:p w:rsidR="00C37F15" w:rsidRPr="00DE475B" w:rsidRDefault="00C37F15" w:rsidP="00C37F15">
      <w:pPr>
        <w:spacing w:after="120"/>
        <w:rPr>
          <w:rFonts w:ascii="Arial" w:hAnsi="Arial" w:cs="Arial"/>
          <w:spacing w:val="-2"/>
          <w:sz w:val="20"/>
          <w:szCs w:val="20"/>
        </w:rPr>
      </w:pPr>
      <w:r w:rsidRPr="00DE475B">
        <w:rPr>
          <w:rFonts w:ascii="Arial" w:hAnsi="Arial" w:cs="Arial"/>
          <w:spacing w:val="-2"/>
          <w:sz w:val="20"/>
          <w:szCs w:val="20"/>
        </w:rPr>
        <w:t>Find the published plans online:</w:t>
      </w:r>
    </w:p>
    <w:p w:rsidR="00C37F15" w:rsidRPr="00DE475B" w:rsidRDefault="00C37F15" w:rsidP="00C37F15">
      <w:pPr>
        <w:spacing w:after="120"/>
        <w:rPr>
          <w:rFonts w:ascii="Arial" w:hAnsi="Arial" w:cs="Arial"/>
          <w:spacing w:val="-2"/>
          <w:sz w:val="20"/>
          <w:szCs w:val="20"/>
        </w:rPr>
      </w:pPr>
      <w:r w:rsidRPr="00DE475B">
        <w:rPr>
          <w:rFonts w:ascii="Arial" w:hAnsi="Arial" w:cs="Arial"/>
          <w:i/>
          <w:spacing w:val="-2"/>
          <w:sz w:val="20"/>
          <w:szCs w:val="20"/>
        </w:rPr>
        <w:t>State Library of Queensland Strategic Plan 2016–20</w:t>
      </w:r>
      <w:r w:rsidRPr="00DE475B">
        <w:rPr>
          <w:rFonts w:ascii="Arial" w:hAnsi="Arial" w:cs="Arial"/>
          <w:spacing w:val="-2"/>
          <w:sz w:val="20"/>
          <w:szCs w:val="20"/>
        </w:rPr>
        <w:t>:</w:t>
      </w:r>
      <w:r w:rsidRPr="00DE475B">
        <w:rPr>
          <w:rFonts w:ascii="Arial" w:hAnsi="Arial" w:cs="Arial"/>
          <w:spacing w:val="-2"/>
          <w:sz w:val="20"/>
          <w:szCs w:val="20"/>
        </w:rPr>
        <w:br/>
      </w:r>
      <w:r w:rsidR="000E4968" w:rsidRPr="00DE475B">
        <w:rPr>
          <w:rFonts w:ascii="Arial" w:hAnsi="Arial" w:cs="Arial"/>
          <w:spacing w:val="-2"/>
          <w:sz w:val="20"/>
          <w:szCs w:val="20"/>
        </w:rPr>
        <w:t>http://www.slq.qld.gov.au/about-us/corporate/publications/planning/strategic-plan-2017-2021/strategic-plan-2016-20</w:t>
      </w:r>
    </w:p>
    <w:p w:rsidR="00C37F15" w:rsidRPr="00DE475B" w:rsidRDefault="00C37F15" w:rsidP="00C37F15">
      <w:pPr>
        <w:spacing w:after="120"/>
        <w:rPr>
          <w:rFonts w:ascii="Arial" w:hAnsi="Arial" w:cs="Arial"/>
          <w:spacing w:val="-2"/>
          <w:sz w:val="20"/>
          <w:szCs w:val="20"/>
        </w:rPr>
      </w:pPr>
      <w:r w:rsidRPr="00DE475B">
        <w:rPr>
          <w:rFonts w:ascii="Arial" w:hAnsi="Arial" w:cs="Arial"/>
          <w:i/>
          <w:spacing w:val="-2"/>
          <w:sz w:val="20"/>
          <w:szCs w:val="20"/>
        </w:rPr>
        <w:t>State Library of Queensland Operational Plan 2016–17</w:t>
      </w:r>
      <w:r w:rsidRPr="00DE475B">
        <w:rPr>
          <w:rFonts w:ascii="Arial" w:hAnsi="Arial" w:cs="Arial"/>
          <w:spacing w:val="-2"/>
          <w:sz w:val="20"/>
          <w:szCs w:val="20"/>
        </w:rPr>
        <w:t xml:space="preserve">: </w:t>
      </w:r>
      <w:r w:rsidRPr="00DE475B">
        <w:rPr>
          <w:rFonts w:ascii="Arial" w:hAnsi="Arial" w:cs="Arial"/>
          <w:spacing w:val="-2"/>
          <w:sz w:val="20"/>
          <w:szCs w:val="20"/>
        </w:rPr>
        <w:br/>
      </w:r>
      <w:r w:rsidR="000E4968" w:rsidRPr="00DE475B">
        <w:rPr>
          <w:rFonts w:ascii="Arial" w:hAnsi="Arial" w:cs="Arial"/>
          <w:sz w:val="20"/>
          <w:szCs w:val="20"/>
        </w:rPr>
        <w:t>www.slq.qld.gov.au/about-us/corporate/publications/planning/operational-plan-2017-2018/operational-plan-2016-17</w:t>
      </w:r>
    </w:p>
    <w:p w:rsidR="00C37F15" w:rsidRPr="00DE475B" w:rsidRDefault="00C37F15" w:rsidP="00DF0F69">
      <w:pPr>
        <w:spacing w:after="120"/>
        <w:rPr>
          <w:rFonts w:ascii="Arial" w:hAnsi="Arial" w:cs="Arial"/>
          <w:spacing w:val="-2"/>
          <w:sz w:val="20"/>
          <w:szCs w:val="20"/>
        </w:rPr>
      </w:pPr>
    </w:p>
    <w:p w:rsidR="00D346B4" w:rsidRPr="00DE475B" w:rsidRDefault="00266D4B" w:rsidP="000763CC">
      <w:pPr>
        <w:pStyle w:val="ARHeading1"/>
        <w:pageBreakBefore/>
        <w:spacing w:after="240"/>
      </w:pPr>
      <w:r w:rsidRPr="00DE475B">
        <w:lastRenderedPageBreak/>
        <w:t>Report on</w:t>
      </w:r>
      <w:r w:rsidR="00A537CC" w:rsidRPr="00DE475B">
        <w:t xml:space="preserve"> performance</w:t>
      </w:r>
    </w:p>
    <w:tbl>
      <w:tblPr>
        <w:tblW w:w="9180" w:type="dxa"/>
        <w:tblLayout w:type="fixed"/>
        <w:tblCellMar>
          <w:top w:w="57" w:type="dxa"/>
          <w:bottom w:w="57" w:type="dxa"/>
        </w:tblCellMar>
        <w:tblLook w:val="0000" w:firstRow="0" w:lastRow="0" w:firstColumn="0" w:lastColumn="0" w:noHBand="0" w:noVBand="0"/>
      </w:tblPr>
      <w:tblGrid>
        <w:gridCol w:w="4786"/>
        <w:gridCol w:w="709"/>
        <w:gridCol w:w="1843"/>
        <w:gridCol w:w="1842"/>
      </w:tblGrid>
      <w:tr w:rsidR="00026D03" w:rsidRPr="00DE475B" w:rsidTr="006D0AD8">
        <w:tc>
          <w:tcPr>
            <w:tcW w:w="4786" w:type="dxa"/>
            <w:shd w:val="clear" w:color="auto" w:fill="CCCCCC"/>
            <w:vAlign w:val="center"/>
          </w:tcPr>
          <w:p w:rsidR="00026D03" w:rsidRPr="00DE475B" w:rsidRDefault="004F5F63" w:rsidP="00B73B01">
            <w:pPr>
              <w:rPr>
                <w:rFonts w:ascii="Arial" w:hAnsi="Arial" w:cs="Arial"/>
                <w:b/>
                <w:sz w:val="20"/>
                <w:szCs w:val="20"/>
              </w:rPr>
            </w:pPr>
            <w:r w:rsidRPr="00DE475B">
              <w:rPr>
                <w:rFonts w:ascii="Arial" w:hAnsi="Arial" w:cs="Arial"/>
                <w:b/>
                <w:sz w:val="20"/>
                <w:szCs w:val="20"/>
              </w:rPr>
              <w:t>Service standards p</w:t>
            </w:r>
            <w:r w:rsidR="00026D03" w:rsidRPr="00DE475B">
              <w:rPr>
                <w:rFonts w:ascii="Arial" w:hAnsi="Arial" w:cs="Arial"/>
                <w:b/>
                <w:sz w:val="20"/>
                <w:szCs w:val="20"/>
              </w:rPr>
              <w:t>erformance measure</w:t>
            </w:r>
          </w:p>
        </w:tc>
        <w:tc>
          <w:tcPr>
            <w:tcW w:w="709" w:type="dxa"/>
            <w:shd w:val="clear" w:color="auto" w:fill="CCCCCC"/>
            <w:vAlign w:val="center"/>
          </w:tcPr>
          <w:p w:rsidR="00026D03" w:rsidRPr="00DE475B" w:rsidRDefault="00026D03" w:rsidP="004439FC">
            <w:pPr>
              <w:rPr>
                <w:rFonts w:ascii="Arial" w:hAnsi="Arial" w:cs="Arial"/>
                <w:b/>
                <w:sz w:val="20"/>
                <w:szCs w:val="20"/>
              </w:rPr>
            </w:pPr>
            <w:r w:rsidRPr="00DE475B">
              <w:rPr>
                <w:rFonts w:ascii="Arial" w:hAnsi="Arial" w:cs="Arial"/>
                <w:b/>
                <w:sz w:val="20"/>
                <w:szCs w:val="20"/>
              </w:rPr>
              <w:t>Note</w:t>
            </w:r>
          </w:p>
        </w:tc>
        <w:tc>
          <w:tcPr>
            <w:tcW w:w="1843" w:type="dxa"/>
            <w:shd w:val="clear" w:color="auto" w:fill="CCCCCC"/>
            <w:vAlign w:val="center"/>
          </w:tcPr>
          <w:p w:rsidR="00026D03" w:rsidRPr="00DE475B" w:rsidRDefault="00252331" w:rsidP="00DF07FB">
            <w:pPr>
              <w:jc w:val="center"/>
              <w:rPr>
                <w:rFonts w:ascii="Arial" w:hAnsi="Arial" w:cs="Arial"/>
                <w:b/>
                <w:sz w:val="20"/>
                <w:szCs w:val="20"/>
              </w:rPr>
            </w:pPr>
            <w:r w:rsidRPr="00DE475B">
              <w:rPr>
                <w:rFonts w:ascii="Arial" w:hAnsi="Arial" w:cs="Arial"/>
                <w:b/>
                <w:sz w:val="20"/>
                <w:szCs w:val="20"/>
              </w:rPr>
              <w:t>201</w:t>
            </w:r>
            <w:r w:rsidR="00DF07FB" w:rsidRPr="00DE475B">
              <w:rPr>
                <w:rFonts w:ascii="Arial" w:hAnsi="Arial" w:cs="Arial"/>
                <w:b/>
                <w:sz w:val="20"/>
                <w:szCs w:val="20"/>
              </w:rPr>
              <w:t>6</w:t>
            </w:r>
            <w:r w:rsidRPr="00DE475B">
              <w:rPr>
                <w:rFonts w:ascii="Arial" w:hAnsi="Arial" w:cs="Arial"/>
                <w:b/>
                <w:sz w:val="20"/>
                <w:szCs w:val="20"/>
              </w:rPr>
              <w:t>–1</w:t>
            </w:r>
            <w:r w:rsidR="00DF07FB" w:rsidRPr="00DE475B">
              <w:rPr>
                <w:rFonts w:ascii="Arial" w:hAnsi="Arial" w:cs="Arial"/>
                <w:b/>
                <w:sz w:val="20"/>
                <w:szCs w:val="20"/>
              </w:rPr>
              <w:t>7</w:t>
            </w:r>
            <w:r w:rsidRPr="00DE475B">
              <w:rPr>
                <w:rFonts w:ascii="Arial" w:hAnsi="Arial" w:cs="Arial"/>
                <w:b/>
                <w:sz w:val="20"/>
                <w:szCs w:val="20"/>
              </w:rPr>
              <w:t xml:space="preserve"> </w:t>
            </w:r>
            <w:r w:rsidRPr="00DE475B">
              <w:rPr>
                <w:rFonts w:ascii="Arial" w:hAnsi="Arial" w:cs="Arial"/>
                <w:b/>
                <w:sz w:val="20"/>
                <w:szCs w:val="20"/>
              </w:rPr>
              <w:br/>
            </w:r>
            <w:r w:rsidR="00026D03" w:rsidRPr="00DE475B">
              <w:rPr>
                <w:rFonts w:ascii="Arial" w:hAnsi="Arial" w:cs="Arial"/>
                <w:b/>
                <w:sz w:val="20"/>
                <w:szCs w:val="20"/>
              </w:rPr>
              <w:t>Target</w:t>
            </w:r>
            <w:r w:rsidRPr="00DE475B">
              <w:rPr>
                <w:rFonts w:ascii="Arial" w:hAnsi="Arial" w:cs="Arial"/>
                <w:b/>
                <w:sz w:val="20"/>
                <w:szCs w:val="20"/>
              </w:rPr>
              <w:t xml:space="preserve"> / estimate</w:t>
            </w:r>
          </w:p>
        </w:tc>
        <w:tc>
          <w:tcPr>
            <w:tcW w:w="1842" w:type="dxa"/>
            <w:shd w:val="clear" w:color="auto" w:fill="CCCCCC"/>
            <w:vAlign w:val="center"/>
          </w:tcPr>
          <w:p w:rsidR="00026D03" w:rsidRPr="00DE475B" w:rsidRDefault="00DF07FB" w:rsidP="00DF07FB">
            <w:pPr>
              <w:jc w:val="center"/>
              <w:rPr>
                <w:rFonts w:ascii="Arial" w:hAnsi="Arial" w:cs="Arial"/>
                <w:b/>
                <w:sz w:val="20"/>
                <w:szCs w:val="20"/>
              </w:rPr>
            </w:pPr>
            <w:r w:rsidRPr="00DE475B">
              <w:rPr>
                <w:rFonts w:ascii="Arial" w:hAnsi="Arial" w:cs="Arial"/>
                <w:b/>
                <w:sz w:val="20"/>
                <w:szCs w:val="20"/>
              </w:rPr>
              <w:t>2016</w:t>
            </w:r>
            <w:r w:rsidR="00300FF8" w:rsidRPr="00DE475B">
              <w:rPr>
                <w:rFonts w:ascii="Arial" w:hAnsi="Arial" w:cs="Arial"/>
                <w:b/>
                <w:sz w:val="20"/>
                <w:szCs w:val="20"/>
              </w:rPr>
              <w:t>–1</w:t>
            </w:r>
            <w:r w:rsidRPr="00DE475B">
              <w:rPr>
                <w:rFonts w:ascii="Arial" w:hAnsi="Arial" w:cs="Arial"/>
                <w:b/>
                <w:sz w:val="20"/>
                <w:szCs w:val="20"/>
              </w:rPr>
              <w:t>7</w:t>
            </w:r>
            <w:r w:rsidR="00026D03" w:rsidRPr="00DE475B">
              <w:rPr>
                <w:rFonts w:ascii="Arial" w:hAnsi="Arial" w:cs="Arial"/>
                <w:b/>
                <w:sz w:val="20"/>
                <w:szCs w:val="20"/>
              </w:rPr>
              <w:t xml:space="preserve"> actual</w:t>
            </w:r>
          </w:p>
        </w:tc>
      </w:tr>
      <w:tr w:rsidR="00067E55" w:rsidRPr="00DE475B" w:rsidTr="00D65B8F">
        <w:trPr>
          <w:trHeight w:val="284"/>
        </w:trPr>
        <w:tc>
          <w:tcPr>
            <w:tcW w:w="4786" w:type="dxa"/>
            <w:tcBorders>
              <w:bottom w:val="single" w:sz="6" w:space="0" w:color="000000"/>
            </w:tcBorders>
            <w:vAlign w:val="center"/>
          </w:tcPr>
          <w:p w:rsidR="00067E55" w:rsidRPr="00DE475B" w:rsidRDefault="00067E55" w:rsidP="00B73B01">
            <w:pPr>
              <w:rPr>
                <w:rFonts w:ascii="Arial" w:hAnsi="Arial" w:cs="Arial"/>
                <w:sz w:val="20"/>
                <w:szCs w:val="20"/>
              </w:rPr>
            </w:pPr>
            <w:r w:rsidRPr="00DE475B">
              <w:rPr>
                <w:rFonts w:ascii="Arial" w:hAnsi="Arial" w:cs="Arial"/>
                <w:sz w:val="20"/>
                <w:szCs w:val="20"/>
              </w:rPr>
              <w:t xml:space="preserve">Client satisfaction </w:t>
            </w:r>
            <w:r w:rsidR="0032517B" w:rsidRPr="00DE475B">
              <w:rPr>
                <w:rFonts w:ascii="Arial" w:hAnsi="Arial" w:cs="Arial"/>
                <w:sz w:val="20"/>
                <w:szCs w:val="20"/>
              </w:rPr>
              <w:t>with services and programs</w:t>
            </w:r>
          </w:p>
        </w:tc>
        <w:tc>
          <w:tcPr>
            <w:tcW w:w="709" w:type="dxa"/>
            <w:tcBorders>
              <w:bottom w:val="single" w:sz="6" w:space="0" w:color="000000"/>
            </w:tcBorders>
            <w:vAlign w:val="center"/>
          </w:tcPr>
          <w:p w:rsidR="00067E55" w:rsidRPr="00D7082D" w:rsidRDefault="00D7082D" w:rsidP="00E34ABF">
            <w:pPr>
              <w:jc w:val="center"/>
              <w:rPr>
                <w:rFonts w:ascii="Arial" w:hAnsi="Arial" w:cs="Arial"/>
                <w:sz w:val="20"/>
                <w:szCs w:val="20"/>
              </w:rPr>
            </w:pPr>
            <w:r w:rsidRPr="00D7082D">
              <w:rPr>
                <w:rFonts w:ascii="Arial" w:hAnsi="Arial" w:cs="Arial"/>
                <w:sz w:val="20"/>
                <w:szCs w:val="20"/>
              </w:rPr>
              <w:t>1</w:t>
            </w:r>
          </w:p>
        </w:tc>
        <w:tc>
          <w:tcPr>
            <w:tcW w:w="1843" w:type="dxa"/>
            <w:tcBorders>
              <w:bottom w:val="single" w:sz="6" w:space="0" w:color="000000"/>
            </w:tcBorders>
            <w:shd w:val="clear" w:color="auto" w:fill="auto"/>
            <w:vAlign w:val="center"/>
          </w:tcPr>
          <w:p w:rsidR="00067E55" w:rsidRPr="00D7082D" w:rsidRDefault="00E97FB2" w:rsidP="004439FC">
            <w:pPr>
              <w:jc w:val="center"/>
              <w:rPr>
                <w:rFonts w:ascii="Arial" w:hAnsi="Arial" w:cs="Arial"/>
                <w:sz w:val="20"/>
                <w:szCs w:val="20"/>
              </w:rPr>
            </w:pPr>
            <w:r w:rsidRPr="00D7082D">
              <w:rPr>
                <w:rFonts w:ascii="Arial" w:hAnsi="Arial" w:cs="Arial"/>
                <w:sz w:val="20"/>
                <w:szCs w:val="20"/>
              </w:rPr>
              <w:t>9</w:t>
            </w:r>
            <w:r w:rsidR="00067E55" w:rsidRPr="00D7082D">
              <w:rPr>
                <w:rFonts w:ascii="Arial" w:hAnsi="Arial" w:cs="Arial"/>
                <w:sz w:val="20"/>
                <w:szCs w:val="20"/>
              </w:rPr>
              <w:t>5%</w:t>
            </w:r>
          </w:p>
        </w:tc>
        <w:tc>
          <w:tcPr>
            <w:tcW w:w="1842" w:type="dxa"/>
            <w:tcBorders>
              <w:bottom w:val="single" w:sz="6" w:space="0" w:color="000000"/>
            </w:tcBorders>
            <w:shd w:val="clear" w:color="auto" w:fill="auto"/>
            <w:vAlign w:val="center"/>
          </w:tcPr>
          <w:p w:rsidR="00067E55" w:rsidRPr="00D7082D" w:rsidRDefault="00067E55" w:rsidP="005F6236">
            <w:pPr>
              <w:jc w:val="center"/>
              <w:rPr>
                <w:rFonts w:ascii="Arial" w:hAnsi="Arial" w:cs="Arial"/>
                <w:sz w:val="20"/>
                <w:szCs w:val="20"/>
              </w:rPr>
            </w:pPr>
            <w:r w:rsidRPr="00D7082D">
              <w:rPr>
                <w:rFonts w:ascii="Arial" w:hAnsi="Arial" w:cs="Arial"/>
                <w:sz w:val="20"/>
                <w:szCs w:val="20"/>
              </w:rPr>
              <w:t>9</w:t>
            </w:r>
            <w:r w:rsidR="005F6236" w:rsidRPr="00D7082D">
              <w:rPr>
                <w:rFonts w:ascii="Arial" w:hAnsi="Arial" w:cs="Arial"/>
                <w:sz w:val="20"/>
                <w:szCs w:val="20"/>
              </w:rPr>
              <w:t>7</w:t>
            </w:r>
            <w:r w:rsidRPr="00D7082D">
              <w:rPr>
                <w:rFonts w:ascii="Arial" w:hAnsi="Arial" w:cs="Arial"/>
                <w:sz w:val="20"/>
                <w:szCs w:val="20"/>
              </w:rPr>
              <w:t>%</w:t>
            </w:r>
          </w:p>
        </w:tc>
      </w:tr>
      <w:tr w:rsidR="001B7AE9" w:rsidRPr="00DE475B" w:rsidTr="00D65B8F">
        <w:trPr>
          <w:trHeight w:val="284"/>
        </w:trPr>
        <w:tc>
          <w:tcPr>
            <w:tcW w:w="4786" w:type="dxa"/>
            <w:tcBorders>
              <w:bottom w:val="single" w:sz="6" w:space="0" w:color="000000"/>
            </w:tcBorders>
            <w:vAlign w:val="center"/>
          </w:tcPr>
          <w:p w:rsidR="001B7AE9" w:rsidRPr="00DE475B" w:rsidRDefault="001B7AE9" w:rsidP="006E07D0">
            <w:pPr>
              <w:rPr>
                <w:rFonts w:ascii="Arial" w:hAnsi="Arial" w:cs="Arial"/>
                <w:sz w:val="20"/>
                <w:szCs w:val="20"/>
              </w:rPr>
            </w:pPr>
            <w:r w:rsidRPr="00DE475B">
              <w:rPr>
                <w:rFonts w:ascii="Arial" w:hAnsi="Arial" w:cs="Arial"/>
                <w:sz w:val="20"/>
                <w:szCs w:val="20"/>
              </w:rPr>
              <w:t>Percentage increase in the effi</w:t>
            </w:r>
            <w:r w:rsidR="0032517B" w:rsidRPr="00DE475B">
              <w:rPr>
                <w:rFonts w:ascii="Arial" w:hAnsi="Arial" w:cs="Arial"/>
                <w:sz w:val="20"/>
                <w:szCs w:val="20"/>
              </w:rPr>
              <w:t>ciency of service delivery</w:t>
            </w:r>
          </w:p>
        </w:tc>
        <w:tc>
          <w:tcPr>
            <w:tcW w:w="709" w:type="dxa"/>
            <w:tcBorders>
              <w:bottom w:val="single" w:sz="6" w:space="0" w:color="000000"/>
            </w:tcBorders>
            <w:vAlign w:val="center"/>
          </w:tcPr>
          <w:p w:rsidR="001B7AE9" w:rsidRPr="00D7082D" w:rsidRDefault="00D7082D" w:rsidP="006E07D0">
            <w:pPr>
              <w:jc w:val="center"/>
              <w:rPr>
                <w:rFonts w:ascii="Arial" w:hAnsi="Arial" w:cs="Arial"/>
                <w:sz w:val="20"/>
                <w:szCs w:val="20"/>
              </w:rPr>
            </w:pPr>
            <w:r w:rsidRPr="00D7082D">
              <w:rPr>
                <w:rFonts w:ascii="Arial" w:hAnsi="Arial" w:cs="Arial"/>
                <w:sz w:val="20"/>
                <w:szCs w:val="20"/>
              </w:rPr>
              <w:t>2</w:t>
            </w:r>
          </w:p>
        </w:tc>
        <w:tc>
          <w:tcPr>
            <w:tcW w:w="1843" w:type="dxa"/>
            <w:tcBorders>
              <w:bottom w:val="single" w:sz="6" w:space="0" w:color="000000"/>
            </w:tcBorders>
            <w:shd w:val="clear" w:color="auto" w:fill="auto"/>
            <w:vAlign w:val="center"/>
          </w:tcPr>
          <w:p w:rsidR="001B7AE9" w:rsidRPr="00D7082D" w:rsidRDefault="001B7AE9" w:rsidP="006E07D0">
            <w:pPr>
              <w:jc w:val="center"/>
              <w:rPr>
                <w:rFonts w:ascii="Arial" w:hAnsi="Arial" w:cs="Arial"/>
                <w:sz w:val="20"/>
                <w:szCs w:val="20"/>
              </w:rPr>
            </w:pPr>
            <w:r w:rsidRPr="00D7082D">
              <w:rPr>
                <w:rFonts w:ascii="Arial" w:hAnsi="Arial" w:cs="Arial"/>
                <w:sz w:val="20"/>
                <w:szCs w:val="20"/>
              </w:rPr>
              <w:t>2.5%</w:t>
            </w:r>
          </w:p>
        </w:tc>
        <w:tc>
          <w:tcPr>
            <w:tcW w:w="1842" w:type="dxa"/>
            <w:tcBorders>
              <w:bottom w:val="single" w:sz="6" w:space="0" w:color="000000"/>
            </w:tcBorders>
            <w:shd w:val="clear" w:color="auto" w:fill="auto"/>
            <w:vAlign w:val="center"/>
          </w:tcPr>
          <w:p w:rsidR="001B7AE9" w:rsidRPr="00D7082D" w:rsidRDefault="00D7082D" w:rsidP="00D7082D">
            <w:pPr>
              <w:jc w:val="center"/>
              <w:rPr>
                <w:rFonts w:ascii="Arial" w:hAnsi="Arial" w:cs="Arial"/>
                <w:sz w:val="20"/>
                <w:szCs w:val="20"/>
              </w:rPr>
            </w:pPr>
            <w:r w:rsidRPr="00D7082D">
              <w:rPr>
                <w:rFonts w:ascii="Arial" w:hAnsi="Arial" w:cs="Arial"/>
                <w:sz w:val="20"/>
                <w:szCs w:val="20"/>
              </w:rPr>
              <w:t>5</w:t>
            </w:r>
            <w:r w:rsidR="001B7AE9" w:rsidRPr="00D7082D">
              <w:rPr>
                <w:rFonts w:ascii="Arial" w:hAnsi="Arial" w:cs="Arial"/>
                <w:sz w:val="20"/>
                <w:szCs w:val="20"/>
              </w:rPr>
              <w:t>.</w:t>
            </w:r>
            <w:r w:rsidRPr="00D7082D">
              <w:rPr>
                <w:rFonts w:ascii="Arial" w:hAnsi="Arial" w:cs="Arial"/>
                <w:sz w:val="20"/>
                <w:szCs w:val="20"/>
              </w:rPr>
              <w:t>5</w:t>
            </w:r>
            <w:r w:rsidR="001B7AE9" w:rsidRPr="00D7082D">
              <w:rPr>
                <w:rFonts w:ascii="Arial" w:hAnsi="Arial" w:cs="Arial"/>
                <w:sz w:val="20"/>
                <w:szCs w:val="20"/>
              </w:rPr>
              <w:t>%</w:t>
            </w:r>
          </w:p>
        </w:tc>
      </w:tr>
      <w:tr w:rsidR="001B7AE9" w:rsidRPr="00DE475B" w:rsidTr="002C3780">
        <w:tc>
          <w:tcPr>
            <w:tcW w:w="4786" w:type="dxa"/>
            <w:tcBorders>
              <w:top w:val="single" w:sz="6" w:space="0" w:color="000000"/>
            </w:tcBorders>
            <w:vAlign w:val="center"/>
          </w:tcPr>
          <w:p w:rsidR="001B7AE9" w:rsidRPr="00DE475B" w:rsidRDefault="001B7AE9" w:rsidP="00B73B01">
            <w:pPr>
              <w:rPr>
                <w:rFonts w:ascii="Arial" w:hAnsi="Arial" w:cs="Arial"/>
                <w:sz w:val="20"/>
                <w:szCs w:val="20"/>
              </w:rPr>
            </w:pPr>
          </w:p>
        </w:tc>
        <w:tc>
          <w:tcPr>
            <w:tcW w:w="709" w:type="dxa"/>
            <w:tcBorders>
              <w:top w:val="single" w:sz="6" w:space="0" w:color="000000"/>
            </w:tcBorders>
            <w:vAlign w:val="center"/>
          </w:tcPr>
          <w:p w:rsidR="001B7AE9" w:rsidRPr="00D7082D" w:rsidRDefault="001B7AE9" w:rsidP="00E34ABF">
            <w:pPr>
              <w:jc w:val="center"/>
              <w:rPr>
                <w:rFonts w:ascii="Arial" w:hAnsi="Arial" w:cs="Arial"/>
                <w:sz w:val="20"/>
                <w:szCs w:val="20"/>
              </w:rPr>
            </w:pPr>
          </w:p>
        </w:tc>
        <w:tc>
          <w:tcPr>
            <w:tcW w:w="1843" w:type="dxa"/>
            <w:tcBorders>
              <w:top w:val="single" w:sz="6" w:space="0" w:color="000000"/>
            </w:tcBorders>
            <w:shd w:val="clear" w:color="auto" w:fill="auto"/>
            <w:vAlign w:val="center"/>
          </w:tcPr>
          <w:p w:rsidR="001B7AE9" w:rsidRPr="00DE475B" w:rsidRDefault="001B7AE9" w:rsidP="004439FC">
            <w:pPr>
              <w:jc w:val="center"/>
              <w:rPr>
                <w:rFonts w:ascii="Arial" w:hAnsi="Arial" w:cs="Arial"/>
                <w:sz w:val="20"/>
                <w:szCs w:val="20"/>
                <w:highlight w:val="yellow"/>
              </w:rPr>
            </w:pPr>
          </w:p>
        </w:tc>
        <w:tc>
          <w:tcPr>
            <w:tcW w:w="1842" w:type="dxa"/>
            <w:tcBorders>
              <w:top w:val="single" w:sz="6" w:space="0" w:color="000000"/>
            </w:tcBorders>
            <w:shd w:val="clear" w:color="auto" w:fill="auto"/>
            <w:vAlign w:val="center"/>
          </w:tcPr>
          <w:p w:rsidR="001B7AE9" w:rsidRPr="00DE475B" w:rsidRDefault="001B7AE9" w:rsidP="005F6236">
            <w:pPr>
              <w:jc w:val="center"/>
              <w:rPr>
                <w:rFonts w:ascii="Arial" w:hAnsi="Arial" w:cs="Arial"/>
                <w:sz w:val="20"/>
                <w:szCs w:val="20"/>
                <w:highlight w:val="yellow"/>
              </w:rPr>
            </w:pPr>
          </w:p>
        </w:tc>
      </w:tr>
      <w:tr w:rsidR="006D0AD8" w:rsidRPr="00DE475B" w:rsidTr="002C3780">
        <w:tc>
          <w:tcPr>
            <w:tcW w:w="4786" w:type="dxa"/>
            <w:shd w:val="clear" w:color="auto" w:fill="CCCCCC"/>
            <w:vAlign w:val="center"/>
          </w:tcPr>
          <w:p w:rsidR="004F5F63" w:rsidRPr="00DE475B" w:rsidRDefault="004F5F63" w:rsidP="006E07D0">
            <w:pPr>
              <w:rPr>
                <w:rFonts w:ascii="Arial" w:hAnsi="Arial" w:cs="Arial"/>
                <w:b/>
                <w:sz w:val="20"/>
                <w:szCs w:val="20"/>
              </w:rPr>
            </w:pPr>
            <w:r w:rsidRPr="00DE475B">
              <w:rPr>
                <w:rFonts w:ascii="Arial" w:hAnsi="Arial" w:cs="Arial"/>
                <w:b/>
                <w:sz w:val="20"/>
                <w:szCs w:val="20"/>
              </w:rPr>
              <w:t>Performance measure</w:t>
            </w:r>
          </w:p>
        </w:tc>
        <w:tc>
          <w:tcPr>
            <w:tcW w:w="709" w:type="dxa"/>
            <w:shd w:val="clear" w:color="auto" w:fill="CCCCCC"/>
            <w:vAlign w:val="center"/>
          </w:tcPr>
          <w:p w:rsidR="004F5F63" w:rsidRPr="00D7082D" w:rsidRDefault="004F5F63" w:rsidP="006E07D0">
            <w:pPr>
              <w:rPr>
                <w:rFonts w:ascii="Arial" w:hAnsi="Arial" w:cs="Arial"/>
                <w:b/>
                <w:sz w:val="20"/>
                <w:szCs w:val="20"/>
              </w:rPr>
            </w:pPr>
            <w:r w:rsidRPr="00D7082D">
              <w:rPr>
                <w:rFonts w:ascii="Arial" w:hAnsi="Arial" w:cs="Arial"/>
                <w:b/>
                <w:sz w:val="20"/>
                <w:szCs w:val="20"/>
              </w:rPr>
              <w:t>Note</w:t>
            </w:r>
          </w:p>
        </w:tc>
        <w:tc>
          <w:tcPr>
            <w:tcW w:w="1843" w:type="dxa"/>
            <w:shd w:val="clear" w:color="auto" w:fill="CCCCCC"/>
            <w:vAlign w:val="center"/>
          </w:tcPr>
          <w:p w:rsidR="004F5F63" w:rsidRPr="00DE475B" w:rsidRDefault="00252331" w:rsidP="00DF07FB">
            <w:pPr>
              <w:jc w:val="center"/>
              <w:rPr>
                <w:rFonts w:ascii="Arial" w:hAnsi="Arial" w:cs="Arial"/>
                <w:b/>
                <w:sz w:val="20"/>
                <w:szCs w:val="20"/>
              </w:rPr>
            </w:pPr>
            <w:r w:rsidRPr="00DE475B">
              <w:rPr>
                <w:rFonts w:ascii="Arial" w:hAnsi="Arial" w:cs="Arial"/>
                <w:b/>
                <w:sz w:val="20"/>
                <w:szCs w:val="20"/>
              </w:rPr>
              <w:t>201</w:t>
            </w:r>
            <w:r w:rsidR="00DF07FB" w:rsidRPr="00DE475B">
              <w:rPr>
                <w:rFonts w:ascii="Arial" w:hAnsi="Arial" w:cs="Arial"/>
                <w:b/>
                <w:sz w:val="20"/>
                <w:szCs w:val="20"/>
              </w:rPr>
              <w:t>6</w:t>
            </w:r>
            <w:r w:rsidRPr="00DE475B">
              <w:rPr>
                <w:rFonts w:ascii="Arial" w:hAnsi="Arial" w:cs="Arial"/>
                <w:b/>
                <w:sz w:val="20"/>
                <w:szCs w:val="20"/>
              </w:rPr>
              <w:t>–1</w:t>
            </w:r>
            <w:r w:rsidR="00DF07FB" w:rsidRPr="00DE475B">
              <w:rPr>
                <w:rFonts w:ascii="Arial" w:hAnsi="Arial" w:cs="Arial"/>
                <w:b/>
                <w:sz w:val="20"/>
                <w:szCs w:val="20"/>
              </w:rPr>
              <w:t>7</w:t>
            </w:r>
            <w:r w:rsidRPr="00DE475B">
              <w:rPr>
                <w:rFonts w:ascii="Arial" w:hAnsi="Arial" w:cs="Arial"/>
                <w:b/>
                <w:sz w:val="20"/>
                <w:szCs w:val="20"/>
              </w:rPr>
              <w:t xml:space="preserve"> </w:t>
            </w:r>
            <w:r w:rsidR="004F5F63" w:rsidRPr="00DE475B">
              <w:rPr>
                <w:rFonts w:ascii="Arial" w:hAnsi="Arial" w:cs="Arial"/>
                <w:b/>
                <w:sz w:val="20"/>
                <w:szCs w:val="20"/>
              </w:rPr>
              <w:t>Target</w:t>
            </w:r>
          </w:p>
        </w:tc>
        <w:tc>
          <w:tcPr>
            <w:tcW w:w="1842" w:type="dxa"/>
            <w:shd w:val="clear" w:color="auto" w:fill="CCCCCC"/>
            <w:vAlign w:val="center"/>
          </w:tcPr>
          <w:p w:rsidR="004F5F63" w:rsidRPr="00DE475B" w:rsidRDefault="004F5F63" w:rsidP="00DF07FB">
            <w:pPr>
              <w:jc w:val="center"/>
              <w:rPr>
                <w:rFonts w:ascii="Arial" w:hAnsi="Arial" w:cs="Arial"/>
                <w:b/>
                <w:sz w:val="20"/>
                <w:szCs w:val="20"/>
              </w:rPr>
            </w:pPr>
            <w:r w:rsidRPr="00DE475B">
              <w:rPr>
                <w:rFonts w:ascii="Arial" w:hAnsi="Arial" w:cs="Arial"/>
                <w:b/>
                <w:sz w:val="20"/>
                <w:szCs w:val="20"/>
              </w:rPr>
              <w:t>201</w:t>
            </w:r>
            <w:r w:rsidR="00DF07FB" w:rsidRPr="00DE475B">
              <w:rPr>
                <w:rFonts w:ascii="Arial" w:hAnsi="Arial" w:cs="Arial"/>
                <w:b/>
                <w:sz w:val="20"/>
                <w:szCs w:val="20"/>
              </w:rPr>
              <w:t>6</w:t>
            </w:r>
            <w:r w:rsidRPr="00DE475B">
              <w:rPr>
                <w:rFonts w:ascii="Arial" w:hAnsi="Arial" w:cs="Arial"/>
                <w:b/>
                <w:sz w:val="20"/>
                <w:szCs w:val="20"/>
              </w:rPr>
              <w:t>–1</w:t>
            </w:r>
            <w:r w:rsidR="00DF07FB" w:rsidRPr="00DE475B">
              <w:rPr>
                <w:rFonts w:ascii="Arial" w:hAnsi="Arial" w:cs="Arial"/>
                <w:b/>
                <w:sz w:val="20"/>
                <w:szCs w:val="20"/>
              </w:rPr>
              <w:t>7</w:t>
            </w:r>
            <w:r w:rsidRPr="00DE475B">
              <w:rPr>
                <w:rFonts w:ascii="Arial" w:hAnsi="Arial" w:cs="Arial"/>
                <w:b/>
                <w:sz w:val="20"/>
                <w:szCs w:val="20"/>
              </w:rPr>
              <w:t xml:space="preserve"> actual</w:t>
            </w:r>
          </w:p>
        </w:tc>
      </w:tr>
      <w:tr w:rsidR="00D7082D" w:rsidRPr="00DE475B" w:rsidTr="00D65B8F">
        <w:trPr>
          <w:trHeight w:val="284"/>
        </w:trPr>
        <w:tc>
          <w:tcPr>
            <w:tcW w:w="4786" w:type="dxa"/>
            <w:tcBorders>
              <w:bottom w:val="single" w:sz="6" w:space="0" w:color="000000"/>
            </w:tcBorders>
            <w:vAlign w:val="center"/>
          </w:tcPr>
          <w:p w:rsidR="00D7082D" w:rsidRPr="00DE475B" w:rsidRDefault="00D7082D" w:rsidP="00E97FB2">
            <w:pPr>
              <w:rPr>
                <w:rFonts w:ascii="Arial" w:hAnsi="Arial" w:cs="Arial"/>
                <w:sz w:val="20"/>
                <w:szCs w:val="20"/>
              </w:rPr>
            </w:pPr>
            <w:r w:rsidRPr="00DE475B">
              <w:rPr>
                <w:rFonts w:ascii="Arial" w:hAnsi="Arial" w:cs="Arial"/>
                <w:sz w:val="20"/>
                <w:szCs w:val="20"/>
              </w:rPr>
              <w:t>Use of digital content</w:t>
            </w:r>
          </w:p>
        </w:tc>
        <w:tc>
          <w:tcPr>
            <w:tcW w:w="709" w:type="dxa"/>
            <w:tcBorders>
              <w:bottom w:val="single" w:sz="6" w:space="0" w:color="000000"/>
            </w:tcBorders>
            <w:vAlign w:val="center"/>
          </w:tcPr>
          <w:p w:rsidR="00D7082D" w:rsidRPr="00D7082D" w:rsidRDefault="00D7082D" w:rsidP="00E34ABF">
            <w:pPr>
              <w:jc w:val="center"/>
              <w:rPr>
                <w:rFonts w:ascii="Arial" w:hAnsi="Arial" w:cs="Arial"/>
                <w:sz w:val="20"/>
                <w:szCs w:val="20"/>
              </w:rPr>
            </w:pPr>
            <w:r w:rsidRPr="00D7082D">
              <w:rPr>
                <w:rFonts w:ascii="Arial" w:hAnsi="Arial" w:cs="Arial"/>
                <w:sz w:val="20"/>
                <w:szCs w:val="20"/>
              </w:rPr>
              <w:t>3</w:t>
            </w:r>
          </w:p>
        </w:tc>
        <w:tc>
          <w:tcPr>
            <w:tcW w:w="1843" w:type="dxa"/>
            <w:tcBorders>
              <w:bottom w:val="single" w:sz="6" w:space="0" w:color="000000"/>
            </w:tcBorders>
            <w:shd w:val="clear" w:color="auto" w:fill="auto"/>
            <w:vAlign w:val="center"/>
          </w:tcPr>
          <w:p w:rsidR="00D7082D" w:rsidRDefault="00D7082D" w:rsidP="007A3029">
            <w:pPr>
              <w:jc w:val="center"/>
              <w:rPr>
                <w:rFonts w:ascii="Arial" w:hAnsi="Arial" w:cs="Arial"/>
                <w:sz w:val="20"/>
                <w:szCs w:val="20"/>
                <w:highlight w:val="yellow"/>
              </w:rPr>
            </w:pPr>
            <w:r>
              <w:rPr>
                <w:rFonts w:ascii="Arial" w:hAnsi="Arial" w:cs="Arial"/>
                <w:sz w:val="20"/>
                <w:szCs w:val="20"/>
              </w:rPr>
              <w:t>17,400,000</w:t>
            </w:r>
          </w:p>
        </w:tc>
        <w:tc>
          <w:tcPr>
            <w:tcW w:w="1842" w:type="dxa"/>
            <w:tcBorders>
              <w:bottom w:val="single" w:sz="6" w:space="0" w:color="000000"/>
            </w:tcBorders>
            <w:shd w:val="clear" w:color="auto" w:fill="auto"/>
            <w:vAlign w:val="center"/>
          </w:tcPr>
          <w:p w:rsidR="00D7082D" w:rsidRDefault="00D7082D" w:rsidP="007A3029">
            <w:pPr>
              <w:jc w:val="center"/>
              <w:rPr>
                <w:rFonts w:ascii="Arial" w:hAnsi="Arial" w:cs="Arial"/>
                <w:sz w:val="20"/>
                <w:szCs w:val="20"/>
                <w:highlight w:val="yellow"/>
              </w:rPr>
            </w:pPr>
            <w:r>
              <w:rPr>
                <w:rFonts w:ascii="Arial" w:hAnsi="Arial" w:cs="Arial"/>
                <w:sz w:val="20"/>
                <w:szCs w:val="20"/>
              </w:rPr>
              <w:t>14,315,460</w:t>
            </w:r>
          </w:p>
        </w:tc>
      </w:tr>
      <w:tr w:rsidR="00D7082D" w:rsidRPr="00DE475B" w:rsidTr="00D65B8F">
        <w:trPr>
          <w:trHeight w:val="284"/>
        </w:trPr>
        <w:tc>
          <w:tcPr>
            <w:tcW w:w="4786" w:type="dxa"/>
            <w:tcBorders>
              <w:top w:val="single" w:sz="6" w:space="0" w:color="000000"/>
              <w:bottom w:val="single" w:sz="6" w:space="0" w:color="000000"/>
            </w:tcBorders>
            <w:vAlign w:val="center"/>
          </w:tcPr>
          <w:p w:rsidR="00D7082D" w:rsidRPr="00DE475B" w:rsidRDefault="00D7082D" w:rsidP="00804EE2">
            <w:pPr>
              <w:rPr>
                <w:rFonts w:ascii="Arial" w:hAnsi="Arial" w:cs="Arial"/>
                <w:sz w:val="20"/>
                <w:szCs w:val="20"/>
              </w:rPr>
            </w:pPr>
            <w:r w:rsidRPr="00DE475B">
              <w:rPr>
                <w:rFonts w:ascii="Arial" w:hAnsi="Arial" w:cs="Arial"/>
                <w:sz w:val="20"/>
                <w:szCs w:val="20"/>
              </w:rPr>
              <w:t>Visits to public libraries</w:t>
            </w:r>
          </w:p>
        </w:tc>
        <w:tc>
          <w:tcPr>
            <w:tcW w:w="709" w:type="dxa"/>
            <w:tcBorders>
              <w:top w:val="single" w:sz="6" w:space="0" w:color="000000"/>
              <w:bottom w:val="single" w:sz="6" w:space="0" w:color="000000"/>
            </w:tcBorders>
            <w:vAlign w:val="center"/>
          </w:tcPr>
          <w:p w:rsidR="00D7082D" w:rsidRPr="00D7082D" w:rsidRDefault="00D7082D" w:rsidP="00E34ABF">
            <w:pPr>
              <w:jc w:val="center"/>
              <w:rPr>
                <w:rFonts w:ascii="Arial" w:hAnsi="Arial" w:cs="Arial"/>
                <w:sz w:val="20"/>
                <w:szCs w:val="20"/>
              </w:rPr>
            </w:pPr>
            <w:r w:rsidRPr="00D7082D">
              <w:rPr>
                <w:rFonts w:ascii="Arial" w:hAnsi="Arial" w:cs="Arial"/>
                <w:sz w:val="20"/>
                <w:szCs w:val="20"/>
              </w:rPr>
              <w:t>4</w:t>
            </w:r>
          </w:p>
        </w:tc>
        <w:tc>
          <w:tcPr>
            <w:tcW w:w="1843" w:type="dxa"/>
            <w:tcBorders>
              <w:top w:val="single" w:sz="6" w:space="0" w:color="000000"/>
              <w:bottom w:val="single" w:sz="6" w:space="0" w:color="000000"/>
            </w:tcBorders>
            <w:shd w:val="clear" w:color="auto" w:fill="auto"/>
            <w:vAlign w:val="center"/>
          </w:tcPr>
          <w:p w:rsidR="00D7082D" w:rsidRDefault="00D7082D" w:rsidP="007A3029">
            <w:pPr>
              <w:jc w:val="center"/>
              <w:rPr>
                <w:rFonts w:ascii="Arial" w:hAnsi="Arial" w:cs="Arial"/>
                <w:sz w:val="20"/>
                <w:szCs w:val="20"/>
              </w:rPr>
            </w:pPr>
            <w:r>
              <w:rPr>
                <w:rFonts w:ascii="Arial" w:hAnsi="Arial" w:cs="Arial"/>
                <w:sz w:val="20"/>
                <w:szCs w:val="20"/>
              </w:rPr>
              <w:t>22,575,000</w:t>
            </w:r>
          </w:p>
        </w:tc>
        <w:tc>
          <w:tcPr>
            <w:tcW w:w="1842" w:type="dxa"/>
            <w:tcBorders>
              <w:top w:val="single" w:sz="6" w:space="0" w:color="000000"/>
              <w:bottom w:val="single" w:sz="6" w:space="0" w:color="000000"/>
            </w:tcBorders>
            <w:shd w:val="clear" w:color="auto" w:fill="auto"/>
            <w:vAlign w:val="center"/>
          </w:tcPr>
          <w:p w:rsidR="00D7082D" w:rsidRDefault="00D7082D" w:rsidP="007A3029">
            <w:pPr>
              <w:jc w:val="center"/>
              <w:rPr>
                <w:rFonts w:ascii="Arial" w:hAnsi="Arial" w:cs="Arial"/>
                <w:sz w:val="20"/>
                <w:szCs w:val="20"/>
              </w:rPr>
            </w:pPr>
            <w:r>
              <w:rPr>
                <w:rFonts w:ascii="Arial" w:hAnsi="Arial" w:cs="Arial"/>
                <w:sz w:val="20"/>
                <w:szCs w:val="20"/>
              </w:rPr>
              <w:t>21,670,013</w:t>
            </w:r>
          </w:p>
        </w:tc>
      </w:tr>
      <w:tr w:rsidR="00D7082D" w:rsidRPr="00DE475B" w:rsidTr="00D65B8F">
        <w:trPr>
          <w:trHeight w:val="284"/>
        </w:trPr>
        <w:tc>
          <w:tcPr>
            <w:tcW w:w="4786" w:type="dxa"/>
            <w:tcBorders>
              <w:top w:val="single" w:sz="6" w:space="0" w:color="000000"/>
              <w:bottom w:val="single" w:sz="6" w:space="0" w:color="000000"/>
            </w:tcBorders>
            <w:vAlign w:val="center"/>
          </w:tcPr>
          <w:p w:rsidR="00D7082D" w:rsidRPr="00DE475B" w:rsidRDefault="00D7082D" w:rsidP="00804EE2">
            <w:pPr>
              <w:rPr>
                <w:rFonts w:ascii="Arial" w:hAnsi="Arial" w:cs="Arial"/>
                <w:sz w:val="20"/>
                <w:szCs w:val="20"/>
              </w:rPr>
            </w:pPr>
            <w:r w:rsidRPr="00DE475B">
              <w:rPr>
                <w:rFonts w:ascii="Arial" w:hAnsi="Arial" w:cs="Arial"/>
                <w:sz w:val="20"/>
                <w:szCs w:val="20"/>
              </w:rPr>
              <w:t>Increase in members</w:t>
            </w:r>
          </w:p>
        </w:tc>
        <w:tc>
          <w:tcPr>
            <w:tcW w:w="709" w:type="dxa"/>
            <w:tcBorders>
              <w:top w:val="single" w:sz="6" w:space="0" w:color="000000"/>
              <w:bottom w:val="single" w:sz="6" w:space="0" w:color="000000"/>
            </w:tcBorders>
            <w:vAlign w:val="center"/>
          </w:tcPr>
          <w:p w:rsidR="00D7082D" w:rsidRPr="00D7082D" w:rsidRDefault="00D7082D" w:rsidP="00E34ABF">
            <w:pPr>
              <w:jc w:val="center"/>
              <w:rPr>
                <w:rFonts w:ascii="Arial" w:hAnsi="Arial" w:cs="Arial"/>
                <w:sz w:val="20"/>
                <w:szCs w:val="20"/>
              </w:rPr>
            </w:pPr>
            <w:r w:rsidRPr="00D7082D">
              <w:rPr>
                <w:rFonts w:ascii="Arial" w:hAnsi="Arial" w:cs="Arial"/>
                <w:sz w:val="20"/>
                <w:szCs w:val="20"/>
              </w:rPr>
              <w:t>5</w:t>
            </w:r>
          </w:p>
        </w:tc>
        <w:tc>
          <w:tcPr>
            <w:tcW w:w="1843" w:type="dxa"/>
            <w:tcBorders>
              <w:top w:val="single" w:sz="6" w:space="0" w:color="000000"/>
              <w:bottom w:val="single" w:sz="6" w:space="0" w:color="000000"/>
            </w:tcBorders>
            <w:shd w:val="clear" w:color="auto" w:fill="auto"/>
            <w:vAlign w:val="center"/>
          </w:tcPr>
          <w:p w:rsidR="00D7082D" w:rsidRDefault="00D7082D" w:rsidP="007A3029">
            <w:pPr>
              <w:jc w:val="center"/>
              <w:rPr>
                <w:rFonts w:ascii="Arial" w:hAnsi="Arial" w:cs="Arial"/>
                <w:sz w:val="20"/>
                <w:szCs w:val="20"/>
                <w:highlight w:val="yellow"/>
              </w:rPr>
            </w:pPr>
            <w:r>
              <w:rPr>
                <w:rFonts w:ascii="Arial" w:hAnsi="Arial" w:cs="Arial"/>
                <w:sz w:val="20"/>
                <w:szCs w:val="20"/>
              </w:rPr>
              <w:t>15%</w:t>
            </w:r>
          </w:p>
        </w:tc>
        <w:tc>
          <w:tcPr>
            <w:tcW w:w="1842" w:type="dxa"/>
            <w:tcBorders>
              <w:top w:val="single" w:sz="6" w:space="0" w:color="000000"/>
              <w:bottom w:val="single" w:sz="6" w:space="0" w:color="000000"/>
            </w:tcBorders>
            <w:shd w:val="clear" w:color="auto" w:fill="auto"/>
            <w:vAlign w:val="center"/>
          </w:tcPr>
          <w:p w:rsidR="00D7082D" w:rsidRDefault="00D7082D" w:rsidP="007A3029">
            <w:pPr>
              <w:jc w:val="center"/>
              <w:rPr>
                <w:rFonts w:ascii="Arial" w:hAnsi="Arial" w:cs="Arial"/>
                <w:sz w:val="20"/>
                <w:szCs w:val="20"/>
                <w:highlight w:val="yellow"/>
              </w:rPr>
            </w:pPr>
            <w:r>
              <w:rPr>
                <w:rFonts w:ascii="Arial" w:hAnsi="Arial" w:cs="Arial"/>
                <w:sz w:val="20"/>
                <w:szCs w:val="20"/>
              </w:rPr>
              <w:t>25%</w:t>
            </w:r>
          </w:p>
        </w:tc>
      </w:tr>
      <w:tr w:rsidR="00D7082D" w:rsidRPr="00DE475B" w:rsidTr="00D65B8F">
        <w:trPr>
          <w:trHeight w:val="284"/>
        </w:trPr>
        <w:tc>
          <w:tcPr>
            <w:tcW w:w="4786" w:type="dxa"/>
            <w:tcBorders>
              <w:top w:val="single" w:sz="6" w:space="0" w:color="000000"/>
              <w:bottom w:val="single" w:sz="6" w:space="0" w:color="000000"/>
            </w:tcBorders>
            <w:vAlign w:val="center"/>
          </w:tcPr>
          <w:p w:rsidR="00D7082D" w:rsidRPr="00DE475B" w:rsidRDefault="00D7082D" w:rsidP="00804EE2">
            <w:pPr>
              <w:rPr>
                <w:rFonts w:ascii="Arial" w:hAnsi="Arial" w:cs="Arial"/>
                <w:sz w:val="20"/>
                <w:szCs w:val="20"/>
              </w:rPr>
            </w:pPr>
            <w:r w:rsidRPr="00DE475B">
              <w:rPr>
                <w:rFonts w:ascii="Arial" w:hAnsi="Arial" w:cs="Arial"/>
                <w:sz w:val="20"/>
                <w:szCs w:val="20"/>
              </w:rPr>
              <w:t>Increase in self-generated revenue</w:t>
            </w:r>
          </w:p>
        </w:tc>
        <w:tc>
          <w:tcPr>
            <w:tcW w:w="709" w:type="dxa"/>
            <w:tcBorders>
              <w:top w:val="single" w:sz="6" w:space="0" w:color="000000"/>
              <w:bottom w:val="single" w:sz="6" w:space="0" w:color="000000"/>
            </w:tcBorders>
            <w:vAlign w:val="center"/>
          </w:tcPr>
          <w:p w:rsidR="00D7082D" w:rsidRPr="00D7082D" w:rsidRDefault="00D7082D" w:rsidP="00E34ABF">
            <w:pPr>
              <w:jc w:val="center"/>
              <w:rPr>
                <w:rFonts w:ascii="Arial" w:hAnsi="Arial" w:cs="Arial"/>
                <w:sz w:val="20"/>
                <w:szCs w:val="20"/>
              </w:rPr>
            </w:pPr>
            <w:r w:rsidRPr="00D7082D">
              <w:rPr>
                <w:rFonts w:ascii="Arial" w:hAnsi="Arial" w:cs="Arial"/>
                <w:sz w:val="20"/>
                <w:szCs w:val="20"/>
              </w:rPr>
              <w:t>6</w:t>
            </w:r>
          </w:p>
        </w:tc>
        <w:tc>
          <w:tcPr>
            <w:tcW w:w="1843" w:type="dxa"/>
            <w:tcBorders>
              <w:top w:val="single" w:sz="6" w:space="0" w:color="000000"/>
              <w:bottom w:val="single" w:sz="6" w:space="0" w:color="000000"/>
            </w:tcBorders>
            <w:shd w:val="clear" w:color="auto" w:fill="auto"/>
            <w:vAlign w:val="center"/>
          </w:tcPr>
          <w:p w:rsidR="00D7082D" w:rsidRDefault="00D7082D" w:rsidP="007A3029">
            <w:pPr>
              <w:jc w:val="center"/>
              <w:rPr>
                <w:rFonts w:ascii="Arial" w:hAnsi="Arial" w:cs="Arial"/>
                <w:sz w:val="20"/>
                <w:szCs w:val="20"/>
              </w:rPr>
            </w:pPr>
            <w:r>
              <w:rPr>
                <w:rFonts w:ascii="Arial" w:hAnsi="Arial" w:cs="Arial"/>
                <w:sz w:val="20"/>
                <w:szCs w:val="20"/>
              </w:rPr>
              <w:t>10%</w:t>
            </w:r>
          </w:p>
        </w:tc>
        <w:tc>
          <w:tcPr>
            <w:tcW w:w="1842" w:type="dxa"/>
            <w:tcBorders>
              <w:top w:val="single" w:sz="6" w:space="0" w:color="000000"/>
              <w:bottom w:val="single" w:sz="6" w:space="0" w:color="000000"/>
            </w:tcBorders>
            <w:shd w:val="clear" w:color="auto" w:fill="auto"/>
            <w:vAlign w:val="center"/>
          </w:tcPr>
          <w:p w:rsidR="00D7082D" w:rsidRDefault="00D7082D" w:rsidP="007A3029">
            <w:pPr>
              <w:jc w:val="center"/>
              <w:rPr>
                <w:rFonts w:ascii="Arial" w:hAnsi="Arial" w:cs="Arial"/>
                <w:sz w:val="20"/>
                <w:szCs w:val="20"/>
              </w:rPr>
            </w:pPr>
            <w:r>
              <w:rPr>
                <w:rFonts w:ascii="Arial" w:hAnsi="Arial" w:cs="Arial"/>
                <w:sz w:val="20"/>
                <w:szCs w:val="20"/>
              </w:rPr>
              <w:t>2.6%</w:t>
            </w:r>
          </w:p>
        </w:tc>
      </w:tr>
      <w:tr w:rsidR="00D7082D" w:rsidRPr="00DE475B" w:rsidTr="00D65B8F">
        <w:trPr>
          <w:trHeight w:val="284"/>
        </w:trPr>
        <w:tc>
          <w:tcPr>
            <w:tcW w:w="4786" w:type="dxa"/>
            <w:tcBorders>
              <w:top w:val="single" w:sz="6" w:space="0" w:color="000000"/>
              <w:bottom w:val="single" w:sz="6" w:space="0" w:color="000000"/>
            </w:tcBorders>
            <w:vAlign w:val="center"/>
          </w:tcPr>
          <w:p w:rsidR="00D7082D" w:rsidRPr="00DE475B" w:rsidRDefault="00D7082D" w:rsidP="00804EE2">
            <w:pPr>
              <w:rPr>
                <w:rFonts w:ascii="Arial" w:hAnsi="Arial" w:cs="Arial"/>
                <w:sz w:val="20"/>
                <w:szCs w:val="20"/>
              </w:rPr>
            </w:pPr>
            <w:r w:rsidRPr="00DE475B">
              <w:rPr>
                <w:rFonts w:ascii="Arial" w:hAnsi="Arial" w:cs="Arial"/>
                <w:sz w:val="20"/>
                <w:szCs w:val="20"/>
              </w:rPr>
              <w:t>Staff engagement</w:t>
            </w:r>
          </w:p>
        </w:tc>
        <w:tc>
          <w:tcPr>
            <w:tcW w:w="709" w:type="dxa"/>
            <w:tcBorders>
              <w:top w:val="single" w:sz="6" w:space="0" w:color="000000"/>
              <w:bottom w:val="single" w:sz="6" w:space="0" w:color="000000"/>
            </w:tcBorders>
            <w:vAlign w:val="center"/>
          </w:tcPr>
          <w:p w:rsidR="00D7082D" w:rsidRPr="00D7082D" w:rsidRDefault="00D7082D" w:rsidP="00E34ABF">
            <w:pPr>
              <w:jc w:val="center"/>
              <w:rPr>
                <w:rFonts w:ascii="Arial" w:hAnsi="Arial" w:cs="Arial"/>
                <w:sz w:val="20"/>
                <w:szCs w:val="20"/>
              </w:rPr>
            </w:pPr>
            <w:r w:rsidRPr="00D7082D">
              <w:rPr>
                <w:rFonts w:ascii="Arial" w:hAnsi="Arial" w:cs="Arial"/>
                <w:sz w:val="20"/>
                <w:szCs w:val="20"/>
              </w:rPr>
              <w:t>7</w:t>
            </w:r>
          </w:p>
        </w:tc>
        <w:tc>
          <w:tcPr>
            <w:tcW w:w="1843" w:type="dxa"/>
            <w:tcBorders>
              <w:top w:val="single" w:sz="6" w:space="0" w:color="000000"/>
              <w:bottom w:val="single" w:sz="6" w:space="0" w:color="000000"/>
            </w:tcBorders>
            <w:shd w:val="clear" w:color="auto" w:fill="auto"/>
            <w:vAlign w:val="center"/>
          </w:tcPr>
          <w:p w:rsidR="00D7082D" w:rsidRDefault="00D7082D" w:rsidP="007A3029">
            <w:pPr>
              <w:jc w:val="center"/>
              <w:rPr>
                <w:rFonts w:ascii="Arial" w:hAnsi="Arial" w:cs="Arial"/>
                <w:sz w:val="20"/>
                <w:szCs w:val="20"/>
              </w:rPr>
            </w:pPr>
            <w:r>
              <w:rPr>
                <w:rFonts w:ascii="Arial" w:hAnsi="Arial" w:cs="Arial"/>
                <w:sz w:val="20"/>
                <w:szCs w:val="20"/>
              </w:rPr>
              <w:t>67%</w:t>
            </w:r>
          </w:p>
        </w:tc>
        <w:tc>
          <w:tcPr>
            <w:tcW w:w="1842" w:type="dxa"/>
            <w:tcBorders>
              <w:top w:val="single" w:sz="6" w:space="0" w:color="000000"/>
              <w:bottom w:val="single" w:sz="6" w:space="0" w:color="000000"/>
            </w:tcBorders>
            <w:shd w:val="clear" w:color="auto" w:fill="auto"/>
            <w:vAlign w:val="center"/>
          </w:tcPr>
          <w:p w:rsidR="00D7082D" w:rsidRDefault="00D7082D" w:rsidP="007A3029">
            <w:pPr>
              <w:jc w:val="center"/>
              <w:rPr>
                <w:rFonts w:ascii="Arial" w:hAnsi="Arial" w:cs="Arial"/>
                <w:sz w:val="20"/>
                <w:szCs w:val="20"/>
              </w:rPr>
            </w:pPr>
            <w:proofErr w:type="spellStart"/>
            <w:r>
              <w:rPr>
                <w:rFonts w:ascii="Arial" w:hAnsi="Arial" w:cs="Arial"/>
                <w:sz w:val="20"/>
                <w:szCs w:val="20"/>
              </w:rPr>
              <w:t>n.a</w:t>
            </w:r>
            <w:proofErr w:type="spellEnd"/>
          </w:p>
        </w:tc>
      </w:tr>
    </w:tbl>
    <w:p w:rsidR="002C3780" w:rsidRPr="00DE475B" w:rsidRDefault="002C3780" w:rsidP="00067E55">
      <w:pPr>
        <w:spacing w:before="80"/>
        <w:rPr>
          <w:rFonts w:ascii="Arial" w:hAnsi="Arial" w:cs="Arial"/>
          <w:sz w:val="16"/>
          <w:szCs w:val="16"/>
        </w:rPr>
      </w:pPr>
    </w:p>
    <w:p w:rsidR="00067E55" w:rsidRPr="00DE475B" w:rsidRDefault="00067E55" w:rsidP="00D65B8F">
      <w:pPr>
        <w:spacing w:before="80" w:after="40"/>
        <w:rPr>
          <w:rFonts w:ascii="Arial" w:hAnsi="Arial" w:cs="Arial"/>
          <w:sz w:val="20"/>
          <w:szCs w:val="20"/>
        </w:rPr>
      </w:pPr>
      <w:r w:rsidRPr="00DE475B">
        <w:rPr>
          <w:rFonts w:ascii="Arial" w:hAnsi="Arial" w:cs="Arial"/>
          <w:sz w:val="20"/>
          <w:szCs w:val="20"/>
        </w:rPr>
        <w:t>Notes</w:t>
      </w:r>
    </w:p>
    <w:p w:rsidR="00D7082D" w:rsidRDefault="002C3780" w:rsidP="00D7082D">
      <w:pPr>
        <w:tabs>
          <w:tab w:val="left" w:pos="284"/>
        </w:tabs>
        <w:spacing w:after="40"/>
        <w:ind w:left="284" w:hanging="284"/>
        <w:rPr>
          <w:rFonts w:ascii="Arial" w:hAnsi="Arial" w:cs="Arial"/>
          <w:sz w:val="20"/>
          <w:szCs w:val="20"/>
          <w:highlight w:val="yellow"/>
        </w:rPr>
      </w:pPr>
      <w:r w:rsidRPr="00DE475B">
        <w:rPr>
          <w:rFonts w:ascii="Arial" w:hAnsi="Arial" w:cs="Arial"/>
          <w:sz w:val="20"/>
          <w:szCs w:val="20"/>
        </w:rPr>
        <w:t>1</w:t>
      </w:r>
      <w:r w:rsidRPr="00DE475B">
        <w:rPr>
          <w:rFonts w:ascii="Arial" w:hAnsi="Arial" w:cs="Arial"/>
          <w:sz w:val="20"/>
          <w:szCs w:val="20"/>
        </w:rPr>
        <w:tab/>
      </w:r>
      <w:r w:rsidR="00D7082D">
        <w:rPr>
          <w:rFonts w:ascii="Arial" w:hAnsi="Arial" w:cs="Arial"/>
          <w:i/>
          <w:spacing w:val="-2"/>
          <w:sz w:val="20"/>
          <w:szCs w:val="20"/>
        </w:rPr>
        <w:t xml:space="preserve">Customer Satisfaction </w:t>
      </w:r>
      <w:r w:rsidR="00D7082D">
        <w:rPr>
          <w:rFonts w:ascii="Arial" w:hAnsi="Arial" w:cs="Arial"/>
          <w:spacing w:val="-2"/>
          <w:sz w:val="20"/>
          <w:szCs w:val="20"/>
        </w:rPr>
        <w:t>is % respondents to a rolling, year-long exit survey of onsite visitors who responded that they were ‘satisfied’ or ‘very satisfied’ when asked “How would you rate your overall satisfaction or dissatisfaction with today's visit?” Sample size was 984. The methodology is compliant with Department of Treasury guidelines for conducting satisfaction surveys.</w:t>
      </w:r>
    </w:p>
    <w:p w:rsidR="00D7082D" w:rsidRDefault="00D7082D" w:rsidP="00D7082D">
      <w:pPr>
        <w:tabs>
          <w:tab w:val="left" w:pos="284"/>
        </w:tabs>
        <w:spacing w:after="40"/>
        <w:ind w:left="284" w:hanging="284"/>
        <w:rPr>
          <w:rFonts w:ascii="Arial" w:hAnsi="Arial" w:cs="Arial"/>
          <w:sz w:val="20"/>
          <w:szCs w:val="20"/>
          <w:highlight w:val="yellow"/>
        </w:rPr>
      </w:pPr>
      <w:r>
        <w:rPr>
          <w:rFonts w:ascii="Arial" w:hAnsi="Arial" w:cs="Arial"/>
          <w:sz w:val="20"/>
          <w:szCs w:val="20"/>
        </w:rPr>
        <w:t>2</w:t>
      </w:r>
      <w:r>
        <w:rPr>
          <w:rFonts w:ascii="Arial" w:hAnsi="Arial" w:cs="Arial"/>
          <w:sz w:val="20"/>
          <w:szCs w:val="20"/>
        </w:rPr>
        <w:tab/>
      </w:r>
      <w:r>
        <w:rPr>
          <w:rFonts w:ascii="Arial" w:hAnsi="Arial" w:cs="Arial"/>
          <w:i/>
          <w:sz w:val="20"/>
          <w:szCs w:val="20"/>
        </w:rPr>
        <w:t>Increase in efficiency</w:t>
      </w:r>
      <w:r>
        <w:rPr>
          <w:rFonts w:ascii="Arial" w:hAnsi="Arial" w:cs="Arial"/>
          <w:sz w:val="20"/>
          <w:szCs w:val="20"/>
        </w:rPr>
        <w:t xml:space="preserve"> indicates change in the ratio of the government appropriation for SLQ to total onsite and online visits. The higher than forecast result is due to increased visits with a reduction in the government appropriation.</w:t>
      </w:r>
    </w:p>
    <w:p w:rsidR="00D7082D" w:rsidRDefault="00D7082D" w:rsidP="00D7082D">
      <w:pPr>
        <w:tabs>
          <w:tab w:val="left" w:pos="284"/>
        </w:tabs>
        <w:spacing w:after="40"/>
        <w:ind w:left="284" w:hanging="284"/>
        <w:rPr>
          <w:rFonts w:ascii="Arial" w:hAnsi="Arial" w:cs="Arial"/>
          <w:sz w:val="20"/>
          <w:szCs w:val="20"/>
        </w:rPr>
      </w:pPr>
      <w:r>
        <w:rPr>
          <w:rFonts w:ascii="Arial" w:hAnsi="Arial" w:cs="Arial"/>
          <w:sz w:val="20"/>
          <w:szCs w:val="20"/>
        </w:rPr>
        <w:t>3</w:t>
      </w:r>
      <w:r>
        <w:rPr>
          <w:rFonts w:ascii="Arial" w:hAnsi="Arial" w:cs="Arial"/>
          <w:sz w:val="20"/>
          <w:szCs w:val="20"/>
        </w:rPr>
        <w:tab/>
        <w:t xml:space="preserve">The target shortfall resulted from unexpected falls in heavily used but discrete parts of the collection (digitised Queensland newspapers, curated content on the content sharing website, Flickr Commons and two </w:t>
      </w:r>
      <w:proofErr w:type="spellStart"/>
      <w:r>
        <w:rPr>
          <w:rFonts w:ascii="Arial" w:hAnsi="Arial" w:cs="Arial"/>
          <w:sz w:val="20"/>
          <w:szCs w:val="20"/>
        </w:rPr>
        <w:t>eresources</w:t>
      </w:r>
      <w:proofErr w:type="spellEnd"/>
      <w:r>
        <w:rPr>
          <w:rFonts w:ascii="Arial" w:hAnsi="Arial" w:cs="Arial"/>
          <w:sz w:val="20"/>
          <w:szCs w:val="20"/>
        </w:rPr>
        <w:t xml:space="preserve">). </w:t>
      </w:r>
      <w:proofErr w:type="gramStart"/>
      <w:r>
        <w:rPr>
          <w:rFonts w:ascii="Arial" w:hAnsi="Arial" w:cs="Arial"/>
          <w:sz w:val="20"/>
          <w:szCs w:val="20"/>
        </w:rPr>
        <w:t>Use of the rest of the collection increased by 15%.</w:t>
      </w:r>
      <w:proofErr w:type="gramEnd"/>
      <w:r>
        <w:rPr>
          <w:rFonts w:ascii="Arial" w:hAnsi="Arial" w:cs="Arial"/>
          <w:sz w:val="20"/>
          <w:szCs w:val="20"/>
        </w:rPr>
        <w:t xml:space="preserve"> Improvement of content development strategies and resource discovery systems are expected to lift use in 2017–18.</w:t>
      </w:r>
    </w:p>
    <w:p w:rsidR="00D7082D" w:rsidRDefault="00D7082D" w:rsidP="00D7082D">
      <w:pPr>
        <w:tabs>
          <w:tab w:val="left" w:pos="284"/>
        </w:tabs>
        <w:spacing w:after="40"/>
        <w:ind w:left="284" w:hanging="284"/>
        <w:rPr>
          <w:rFonts w:ascii="Arial" w:hAnsi="Arial" w:cs="Arial"/>
          <w:sz w:val="20"/>
          <w:szCs w:val="20"/>
          <w:highlight w:val="yellow"/>
        </w:rPr>
      </w:pPr>
      <w:r>
        <w:rPr>
          <w:rFonts w:ascii="Arial" w:hAnsi="Arial" w:cs="Arial"/>
          <w:sz w:val="20"/>
          <w:szCs w:val="20"/>
        </w:rPr>
        <w:t>4</w:t>
      </w:r>
      <w:r>
        <w:rPr>
          <w:rFonts w:ascii="Arial" w:hAnsi="Arial" w:cs="Arial"/>
          <w:sz w:val="20"/>
          <w:szCs w:val="20"/>
        </w:rPr>
        <w:tab/>
      </w:r>
      <w:r w:rsidRPr="004733F2">
        <w:rPr>
          <w:rFonts w:ascii="Arial" w:hAnsi="Arial" w:cs="Arial"/>
          <w:sz w:val="20"/>
          <w:szCs w:val="20"/>
        </w:rPr>
        <w:t xml:space="preserve">The result was impacted by the temporary closure of two branches (Toowoomba, Brisbane) for redevelopment. </w:t>
      </w:r>
      <w:r>
        <w:rPr>
          <w:rFonts w:ascii="Arial" w:hAnsi="Arial" w:cs="Arial"/>
          <w:sz w:val="20"/>
          <w:szCs w:val="20"/>
        </w:rPr>
        <w:t>SLQ is continuing to actively promote and support strategies for embedding public libraries in their communities. Participation in library programs (onsite and offsite) continued to grow strongly in 2016–17, partly reflecting the successful implementation of the First 5 Forever early childhood literacy initiative.</w:t>
      </w:r>
    </w:p>
    <w:p w:rsidR="00D7082D" w:rsidRDefault="00D7082D" w:rsidP="00D7082D">
      <w:pPr>
        <w:tabs>
          <w:tab w:val="left" w:pos="284"/>
        </w:tabs>
        <w:spacing w:after="40"/>
        <w:ind w:left="284" w:hanging="284"/>
        <w:rPr>
          <w:rFonts w:ascii="Arial" w:hAnsi="Arial" w:cs="Arial"/>
          <w:spacing w:val="-2"/>
          <w:sz w:val="20"/>
          <w:szCs w:val="20"/>
        </w:rPr>
      </w:pPr>
      <w:r>
        <w:rPr>
          <w:rFonts w:ascii="Arial" w:hAnsi="Arial" w:cs="Arial"/>
          <w:sz w:val="20"/>
          <w:szCs w:val="20"/>
        </w:rPr>
        <w:t>5</w:t>
      </w:r>
      <w:r>
        <w:rPr>
          <w:rFonts w:ascii="Arial" w:hAnsi="Arial" w:cs="Arial"/>
          <w:sz w:val="20"/>
          <w:szCs w:val="20"/>
        </w:rPr>
        <w:tab/>
      </w:r>
      <w:r w:rsidRPr="004733F2">
        <w:rPr>
          <w:rFonts w:ascii="Arial" w:hAnsi="Arial" w:cs="Arial"/>
          <w:sz w:val="20"/>
          <w:szCs w:val="20"/>
        </w:rPr>
        <w:t>Strong growth i</w:t>
      </w:r>
      <w:r>
        <w:rPr>
          <w:rFonts w:ascii="Arial" w:hAnsi="Arial" w:cs="Arial"/>
          <w:sz w:val="20"/>
          <w:szCs w:val="20"/>
        </w:rPr>
        <w:t>n membership as a result of SLQ-</w:t>
      </w:r>
      <w:r w:rsidRPr="004733F2">
        <w:rPr>
          <w:rFonts w:ascii="Arial" w:hAnsi="Arial" w:cs="Arial"/>
          <w:sz w:val="20"/>
          <w:szCs w:val="20"/>
        </w:rPr>
        <w:t>wide promotion of membership benefits</w:t>
      </w:r>
      <w:r>
        <w:rPr>
          <w:rFonts w:ascii="Arial" w:hAnsi="Arial" w:cs="Arial"/>
          <w:sz w:val="20"/>
          <w:szCs w:val="20"/>
        </w:rPr>
        <w:t>,</w:t>
      </w:r>
      <w:r w:rsidRPr="004733F2">
        <w:rPr>
          <w:rFonts w:ascii="Arial" w:hAnsi="Arial" w:cs="Arial"/>
          <w:sz w:val="20"/>
          <w:szCs w:val="20"/>
        </w:rPr>
        <w:t xml:space="preserve"> including Lynda.com access and outreach activities</w:t>
      </w:r>
      <w:r w:rsidDel="009728FC">
        <w:rPr>
          <w:rFonts w:ascii="Arial" w:hAnsi="Arial" w:cs="Arial"/>
          <w:spacing w:val="-2"/>
          <w:sz w:val="20"/>
          <w:szCs w:val="20"/>
        </w:rPr>
        <w:t xml:space="preserve"> </w:t>
      </w:r>
    </w:p>
    <w:p w:rsidR="00D7082D" w:rsidRDefault="00D7082D" w:rsidP="00D7082D">
      <w:pPr>
        <w:tabs>
          <w:tab w:val="left" w:pos="284"/>
        </w:tabs>
        <w:spacing w:after="40"/>
        <w:ind w:left="284" w:hanging="284"/>
        <w:rPr>
          <w:rFonts w:ascii="Arial" w:hAnsi="Arial" w:cs="Arial"/>
          <w:sz w:val="20"/>
          <w:szCs w:val="20"/>
        </w:rPr>
      </w:pPr>
      <w:r>
        <w:rPr>
          <w:rFonts w:ascii="Arial" w:hAnsi="Arial" w:cs="Arial"/>
          <w:sz w:val="20"/>
          <w:szCs w:val="20"/>
        </w:rPr>
        <w:t>6</w:t>
      </w:r>
      <w:r>
        <w:rPr>
          <w:rFonts w:ascii="Arial" w:hAnsi="Arial" w:cs="Arial"/>
          <w:sz w:val="20"/>
          <w:szCs w:val="20"/>
        </w:rPr>
        <w:tab/>
        <w:t>The result is due to a net reduction in limited life funding, with growth however in commercial and Queensland Library Foundation revenue.</w:t>
      </w:r>
    </w:p>
    <w:p w:rsidR="00D7082D" w:rsidRPr="004733F2" w:rsidRDefault="00D7082D" w:rsidP="00D7082D">
      <w:pPr>
        <w:tabs>
          <w:tab w:val="left" w:pos="284"/>
        </w:tabs>
        <w:spacing w:after="40"/>
        <w:ind w:left="284" w:hanging="284"/>
        <w:rPr>
          <w:rFonts w:ascii="Arial" w:hAnsi="Arial" w:cs="Arial"/>
          <w:sz w:val="20"/>
          <w:szCs w:val="20"/>
        </w:rPr>
      </w:pPr>
      <w:r>
        <w:rPr>
          <w:rFonts w:ascii="Arial" w:hAnsi="Arial" w:cs="Arial"/>
          <w:sz w:val="20"/>
          <w:szCs w:val="20"/>
        </w:rPr>
        <w:t xml:space="preserve">7 </w:t>
      </w:r>
      <w:r>
        <w:rPr>
          <w:rFonts w:ascii="Arial" w:hAnsi="Arial" w:cs="Arial"/>
          <w:sz w:val="20"/>
          <w:szCs w:val="20"/>
        </w:rPr>
        <w:tab/>
        <w:t xml:space="preserve">The result for this measure is pending completion of the 2017 </w:t>
      </w:r>
      <w:proofErr w:type="gramStart"/>
      <w:r>
        <w:rPr>
          <w:rFonts w:ascii="Arial" w:hAnsi="Arial" w:cs="Arial"/>
          <w:sz w:val="20"/>
          <w:szCs w:val="20"/>
        </w:rPr>
        <w:t>Working</w:t>
      </w:r>
      <w:proofErr w:type="gramEnd"/>
      <w:r>
        <w:rPr>
          <w:rFonts w:ascii="Arial" w:hAnsi="Arial" w:cs="Arial"/>
          <w:sz w:val="20"/>
          <w:szCs w:val="20"/>
        </w:rPr>
        <w:t xml:space="preserve"> for Queensland survey, which ran 31 July to 21 August 2017.The result from the 2016 survey was 65%.</w:t>
      </w:r>
    </w:p>
    <w:p w:rsidR="002C3780" w:rsidRPr="00DE475B" w:rsidRDefault="002C3780" w:rsidP="00D7082D">
      <w:pPr>
        <w:tabs>
          <w:tab w:val="left" w:pos="284"/>
        </w:tabs>
        <w:spacing w:after="40"/>
        <w:rPr>
          <w:rFonts w:ascii="Arial" w:hAnsi="Arial" w:cs="Arial"/>
          <w:sz w:val="16"/>
          <w:szCs w:val="16"/>
        </w:rPr>
      </w:pPr>
    </w:p>
    <w:p w:rsidR="00E97FB2" w:rsidRPr="00DE475B" w:rsidRDefault="00E97FB2" w:rsidP="00F27AB2">
      <w:pPr>
        <w:rPr>
          <w:rFonts w:ascii="Arial" w:hAnsi="Arial" w:cs="Arial"/>
          <w:sz w:val="20"/>
          <w:szCs w:val="20"/>
        </w:rPr>
      </w:pPr>
    </w:p>
    <w:p w:rsidR="00D346B4" w:rsidRPr="00DE475B" w:rsidRDefault="00234CC2" w:rsidP="003E2C5C">
      <w:pPr>
        <w:tabs>
          <w:tab w:val="left" w:pos="0"/>
        </w:tabs>
        <w:rPr>
          <w:rFonts w:ascii="Arial" w:hAnsi="Arial" w:cs="Arial"/>
          <w:sz w:val="16"/>
          <w:szCs w:val="16"/>
        </w:rPr>
      </w:pPr>
      <w:r w:rsidRPr="00DE475B">
        <w:rPr>
          <w:rFonts w:eastAsia="Batang"/>
          <w:b/>
          <w:bCs/>
          <w:kern w:val="1"/>
          <w:sz w:val="20"/>
          <w:szCs w:val="20"/>
        </w:rPr>
        <w:br w:type="page"/>
      </w:r>
      <w:r w:rsidR="003E2C5C" w:rsidRPr="00DE475B">
        <w:rPr>
          <w:rFonts w:ascii="Arial" w:hAnsi="Arial" w:cs="Arial"/>
          <w:sz w:val="40"/>
          <w:szCs w:val="40"/>
        </w:rPr>
        <w:lastRenderedPageBreak/>
        <w:t>Enable</w:t>
      </w:r>
      <w:r w:rsidR="00D346B4" w:rsidRPr="00DE475B">
        <w:rPr>
          <w:rFonts w:ascii="Arial" w:hAnsi="Arial" w:cs="Arial"/>
          <w:sz w:val="40"/>
          <w:szCs w:val="40"/>
        </w:rPr>
        <w:t xml:space="preserve"> access</w:t>
      </w:r>
    </w:p>
    <w:p w:rsidR="00D346B4" w:rsidRPr="00DE475B" w:rsidRDefault="00D346B4">
      <w:pPr>
        <w:rPr>
          <w:rFonts w:ascii="Arial" w:hAnsi="Arial" w:cs="Arial"/>
          <w:b/>
          <w:bCs/>
        </w:rPr>
      </w:pPr>
    </w:p>
    <w:p w:rsidR="00D346B4" w:rsidRPr="00DE475B" w:rsidRDefault="00AF38DE" w:rsidP="00B27361">
      <w:pPr>
        <w:rPr>
          <w:rFonts w:ascii="Arial" w:hAnsi="Arial" w:cs="Arial"/>
          <w:i/>
          <w:sz w:val="20"/>
          <w:szCs w:val="20"/>
        </w:rPr>
      </w:pPr>
      <w:r w:rsidRPr="00DE475B">
        <w:rPr>
          <w:rFonts w:ascii="Arial" w:hAnsi="Arial" w:cs="Arial"/>
          <w:i/>
          <w:sz w:val="20"/>
          <w:szCs w:val="20"/>
        </w:rPr>
        <w:t xml:space="preserve">One of </w:t>
      </w:r>
      <w:proofErr w:type="spellStart"/>
      <w:r w:rsidRPr="00DE475B">
        <w:rPr>
          <w:rFonts w:ascii="Arial" w:hAnsi="Arial" w:cs="Arial"/>
          <w:i/>
          <w:sz w:val="20"/>
          <w:szCs w:val="20"/>
        </w:rPr>
        <w:t>SLQ’s</w:t>
      </w:r>
      <w:proofErr w:type="spellEnd"/>
      <w:r w:rsidRPr="00DE475B">
        <w:rPr>
          <w:rFonts w:ascii="Arial" w:hAnsi="Arial" w:cs="Arial"/>
          <w:i/>
          <w:sz w:val="20"/>
          <w:szCs w:val="20"/>
        </w:rPr>
        <w:t xml:space="preserve"> enduring values is to make services accessible to people of diverse language, ability and location. To do this, </w:t>
      </w:r>
      <w:r w:rsidR="002F13EC" w:rsidRPr="00DE475B">
        <w:rPr>
          <w:rFonts w:ascii="Arial" w:hAnsi="Arial" w:cs="Arial"/>
          <w:i/>
          <w:sz w:val="20"/>
          <w:szCs w:val="20"/>
        </w:rPr>
        <w:t>SLQ</w:t>
      </w:r>
      <w:r w:rsidRPr="00DE475B">
        <w:rPr>
          <w:rFonts w:ascii="Arial" w:hAnsi="Arial" w:cs="Arial"/>
          <w:i/>
          <w:sz w:val="20"/>
          <w:szCs w:val="20"/>
        </w:rPr>
        <w:t xml:space="preserve"> </w:t>
      </w:r>
      <w:r w:rsidR="00D95BEB" w:rsidRPr="00DE475B">
        <w:rPr>
          <w:rFonts w:ascii="Arial" w:hAnsi="Arial" w:cs="Arial"/>
          <w:i/>
          <w:sz w:val="20"/>
          <w:szCs w:val="20"/>
        </w:rPr>
        <w:t>promote</w:t>
      </w:r>
      <w:r w:rsidR="008C1435">
        <w:rPr>
          <w:rFonts w:ascii="Arial" w:hAnsi="Arial" w:cs="Arial"/>
          <w:i/>
          <w:sz w:val="20"/>
          <w:szCs w:val="20"/>
        </w:rPr>
        <w:t>s</w:t>
      </w:r>
      <w:r w:rsidR="00D95BEB" w:rsidRPr="00DE475B">
        <w:rPr>
          <w:rFonts w:ascii="Arial" w:hAnsi="Arial" w:cs="Arial"/>
          <w:i/>
          <w:sz w:val="20"/>
          <w:szCs w:val="20"/>
        </w:rPr>
        <w:t xml:space="preserve"> </w:t>
      </w:r>
      <w:r w:rsidR="006F0890" w:rsidRPr="00DE475B">
        <w:rPr>
          <w:rFonts w:ascii="Arial" w:hAnsi="Arial" w:cs="Arial"/>
          <w:i/>
          <w:sz w:val="20"/>
          <w:szCs w:val="20"/>
        </w:rPr>
        <w:t xml:space="preserve">literacy </w:t>
      </w:r>
      <w:r w:rsidR="00D95BEB" w:rsidRPr="00DE475B">
        <w:rPr>
          <w:rFonts w:ascii="Arial" w:hAnsi="Arial" w:cs="Arial"/>
          <w:i/>
          <w:sz w:val="20"/>
          <w:szCs w:val="20"/>
        </w:rPr>
        <w:t>and learning, digitise</w:t>
      </w:r>
      <w:r w:rsidR="008C1435">
        <w:rPr>
          <w:rFonts w:ascii="Arial" w:hAnsi="Arial" w:cs="Arial"/>
          <w:i/>
          <w:sz w:val="20"/>
          <w:szCs w:val="20"/>
        </w:rPr>
        <w:t>s</w:t>
      </w:r>
      <w:r w:rsidR="00D95BEB" w:rsidRPr="00DE475B">
        <w:rPr>
          <w:rFonts w:ascii="Arial" w:hAnsi="Arial" w:cs="Arial"/>
          <w:i/>
          <w:sz w:val="20"/>
          <w:szCs w:val="20"/>
        </w:rPr>
        <w:t xml:space="preserve"> content for online access, and strengthen</w:t>
      </w:r>
      <w:r w:rsidR="008C1435">
        <w:rPr>
          <w:rFonts w:ascii="Arial" w:hAnsi="Arial" w:cs="Arial"/>
          <w:i/>
          <w:sz w:val="20"/>
          <w:szCs w:val="20"/>
        </w:rPr>
        <w:t>s</w:t>
      </w:r>
      <w:r w:rsidR="00D95BEB" w:rsidRPr="00DE475B">
        <w:rPr>
          <w:rFonts w:ascii="Arial" w:hAnsi="Arial" w:cs="Arial"/>
          <w:i/>
          <w:sz w:val="20"/>
          <w:szCs w:val="20"/>
        </w:rPr>
        <w:t xml:space="preserve"> </w:t>
      </w:r>
      <w:r w:rsidRPr="00DE475B">
        <w:rPr>
          <w:rFonts w:ascii="Arial" w:hAnsi="Arial" w:cs="Arial"/>
          <w:i/>
          <w:sz w:val="20"/>
          <w:szCs w:val="20"/>
        </w:rPr>
        <w:t>public libraries</w:t>
      </w:r>
      <w:r w:rsidR="00D95BEB" w:rsidRPr="00DE475B">
        <w:rPr>
          <w:rFonts w:ascii="Arial" w:hAnsi="Arial" w:cs="Arial"/>
          <w:i/>
          <w:sz w:val="20"/>
          <w:szCs w:val="20"/>
        </w:rPr>
        <w:t xml:space="preserve"> </w:t>
      </w:r>
      <w:r w:rsidR="008C1435">
        <w:rPr>
          <w:rFonts w:ascii="Arial" w:hAnsi="Arial" w:cs="Arial"/>
          <w:i/>
          <w:sz w:val="20"/>
          <w:szCs w:val="20"/>
        </w:rPr>
        <w:t>across Queensland</w:t>
      </w:r>
      <w:r w:rsidRPr="00DE475B">
        <w:rPr>
          <w:rFonts w:ascii="Arial" w:hAnsi="Arial" w:cs="Arial"/>
          <w:i/>
          <w:sz w:val="20"/>
          <w:szCs w:val="20"/>
        </w:rPr>
        <w:t>.</w:t>
      </w:r>
    </w:p>
    <w:p w:rsidR="00D346B4" w:rsidRPr="00DE475B" w:rsidRDefault="00D346B4">
      <w:pPr>
        <w:pStyle w:val="ARText"/>
        <w:spacing w:before="0" w:after="40"/>
        <w:rPr>
          <w:i/>
          <w:szCs w:val="20"/>
        </w:rPr>
      </w:pPr>
    </w:p>
    <w:p w:rsidR="00D346B4" w:rsidRPr="00DE475B" w:rsidRDefault="00D346B4">
      <w:pPr>
        <w:sectPr w:rsidR="00D346B4" w:rsidRPr="00DE475B" w:rsidSect="00B53922">
          <w:type w:val="continuous"/>
          <w:pgSz w:w="11906" w:h="16838"/>
          <w:pgMar w:top="1440" w:right="1701" w:bottom="1440" w:left="1701" w:header="709" w:footer="709" w:gutter="0"/>
          <w:cols w:space="720"/>
          <w:docGrid w:linePitch="360"/>
        </w:sectPr>
      </w:pPr>
    </w:p>
    <w:p w:rsidR="00C22C0B" w:rsidRPr="00926B36" w:rsidRDefault="003E2C5C" w:rsidP="00926B36">
      <w:pPr>
        <w:pStyle w:val="ARheading3"/>
        <w:tabs>
          <w:tab w:val="left" w:pos="851"/>
        </w:tabs>
        <w:spacing w:after="120"/>
        <w:rPr>
          <w:color w:val="808080"/>
        </w:rPr>
      </w:pPr>
      <w:r w:rsidRPr="00926B36">
        <w:rPr>
          <w:color w:val="808080"/>
        </w:rPr>
        <w:lastRenderedPageBreak/>
        <w:t>Life skills and literacy programs</w:t>
      </w:r>
    </w:p>
    <w:p w:rsidR="00926B36" w:rsidRPr="00926B36" w:rsidRDefault="00926B36" w:rsidP="00926B36">
      <w:pPr>
        <w:rPr>
          <w:rFonts w:ascii="Arial" w:hAnsi="Arial" w:cs="Arial"/>
          <w:b/>
          <w:sz w:val="20"/>
          <w:szCs w:val="20"/>
        </w:rPr>
      </w:pPr>
      <w:r w:rsidRPr="00926B36">
        <w:rPr>
          <w:rFonts w:ascii="Arial" w:hAnsi="Arial" w:cs="Arial"/>
          <w:b/>
          <w:sz w:val="20"/>
          <w:szCs w:val="20"/>
        </w:rPr>
        <w:t>Family literacy activities</w:t>
      </w:r>
    </w:p>
    <w:p w:rsidR="00CB5A31" w:rsidRDefault="00CB5A31" w:rsidP="00FE3845">
      <w:pPr>
        <w:pStyle w:val="ARText"/>
        <w:tabs>
          <w:tab w:val="left" w:pos="284"/>
          <w:tab w:val="left" w:pos="360"/>
        </w:tabs>
        <w:spacing w:before="0" w:after="120"/>
        <w:rPr>
          <w:szCs w:val="20"/>
        </w:rPr>
      </w:pPr>
      <w:r>
        <w:rPr>
          <w:szCs w:val="20"/>
        </w:rPr>
        <w:t xml:space="preserve">At the forefront of </w:t>
      </w:r>
      <w:proofErr w:type="spellStart"/>
      <w:r w:rsidR="000257A1" w:rsidRPr="00DE475B">
        <w:rPr>
          <w:szCs w:val="20"/>
        </w:rPr>
        <w:t>SLQ</w:t>
      </w:r>
      <w:r>
        <w:rPr>
          <w:szCs w:val="20"/>
        </w:rPr>
        <w:t>’s</w:t>
      </w:r>
      <w:proofErr w:type="spellEnd"/>
      <w:r>
        <w:rPr>
          <w:szCs w:val="20"/>
        </w:rPr>
        <w:t xml:space="preserve"> </w:t>
      </w:r>
      <w:r w:rsidR="000257A1" w:rsidRPr="00DE475B">
        <w:rPr>
          <w:szCs w:val="20"/>
        </w:rPr>
        <w:t xml:space="preserve">family literacy activities </w:t>
      </w:r>
      <w:r>
        <w:rPr>
          <w:szCs w:val="20"/>
        </w:rPr>
        <w:t xml:space="preserve">is </w:t>
      </w:r>
      <w:r w:rsidR="000257A1" w:rsidRPr="00DE475B">
        <w:rPr>
          <w:szCs w:val="20"/>
        </w:rPr>
        <w:t>the highly suc</w:t>
      </w:r>
      <w:r>
        <w:rPr>
          <w:szCs w:val="20"/>
        </w:rPr>
        <w:t xml:space="preserve">cessful First 5 Forever program, </w:t>
      </w:r>
      <w:r w:rsidR="002C4A0F">
        <w:rPr>
          <w:szCs w:val="20"/>
        </w:rPr>
        <w:t xml:space="preserve">delivered through public libraries to </w:t>
      </w:r>
      <w:r>
        <w:rPr>
          <w:szCs w:val="20"/>
        </w:rPr>
        <w:t xml:space="preserve">support parents and carers of under 5s as their child’s first </w:t>
      </w:r>
      <w:r w:rsidR="00306764">
        <w:rPr>
          <w:szCs w:val="20"/>
        </w:rPr>
        <w:t>educator</w:t>
      </w:r>
      <w:r>
        <w:rPr>
          <w:szCs w:val="20"/>
        </w:rPr>
        <w:t>.</w:t>
      </w:r>
      <w:r w:rsidR="000257A1" w:rsidRPr="00DE475B">
        <w:rPr>
          <w:szCs w:val="20"/>
        </w:rPr>
        <w:t xml:space="preserve"> </w:t>
      </w:r>
    </w:p>
    <w:p w:rsidR="000257A1" w:rsidRPr="00111C48" w:rsidRDefault="000257A1" w:rsidP="00FE3845">
      <w:pPr>
        <w:pStyle w:val="ARText"/>
        <w:tabs>
          <w:tab w:val="left" w:pos="284"/>
          <w:tab w:val="left" w:pos="360"/>
        </w:tabs>
        <w:spacing w:before="0" w:after="120"/>
        <w:rPr>
          <w:spacing w:val="-2"/>
          <w:kern w:val="20"/>
          <w:szCs w:val="20"/>
          <w:lang w:eastAsia="en-US"/>
        </w:rPr>
      </w:pPr>
      <w:r w:rsidRPr="00111C48">
        <w:rPr>
          <w:spacing w:val="-2"/>
          <w:kern w:val="20"/>
          <w:szCs w:val="20"/>
        </w:rPr>
        <w:t xml:space="preserve">SLQ provides </w:t>
      </w:r>
      <w:r w:rsidR="002C4A0F" w:rsidRPr="00111C48">
        <w:rPr>
          <w:spacing w:val="-2"/>
          <w:kern w:val="20"/>
          <w:szCs w:val="20"/>
        </w:rPr>
        <w:t xml:space="preserve">First 5 Forever </w:t>
      </w:r>
      <w:r w:rsidRPr="00111C48">
        <w:rPr>
          <w:spacing w:val="-2"/>
          <w:kern w:val="20"/>
          <w:szCs w:val="20"/>
        </w:rPr>
        <w:t xml:space="preserve">professional development opportunities </w:t>
      </w:r>
      <w:r w:rsidR="00166387">
        <w:rPr>
          <w:spacing w:val="-2"/>
          <w:kern w:val="20"/>
          <w:szCs w:val="20"/>
        </w:rPr>
        <w:t xml:space="preserve">for </w:t>
      </w:r>
      <w:r w:rsidR="002C4A0F" w:rsidRPr="00111C48">
        <w:rPr>
          <w:spacing w:val="-2"/>
          <w:kern w:val="20"/>
          <w:szCs w:val="20"/>
        </w:rPr>
        <w:t>s</w:t>
      </w:r>
      <w:r w:rsidR="00166387">
        <w:rPr>
          <w:spacing w:val="-2"/>
          <w:kern w:val="20"/>
          <w:szCs w:val="20"/>
        </w:rPr>
        <w:t>taff</w:t>
      </w:r>
      <w:r w:rsidR="002C4A0F" w:rsidRPr="00111C48">
        <w:rPr>
          <w:spacing w:val="-2"/>
          <w:kern w:val="20"/>
          <w:szCs w:val="20"/>
        </w:rPr>
        <w:t xml:space="preserve"> from local councils,</w:t>
      </w:r>
      <w:r w:rsidRPr="00111C48">
        <w:rPr>
          <w:spacing w:val="-2"/>
          <w:kern w:val="20"/>
          <w:szCs w:val="20"/>
        </w:rPr>
        <w:t xml:space="preserve"> libraries</w:t>
      </w:r>
      <w:r w:rsidR="002C4A0F" w:rsidRPr="00111C48">
        <w:rPr>
          <w:spacing w:val="-2"/>
          <w:kern w:val="20"/>
          <w:szCs w:val="20"/>
        </w:rPr>
        <w:t xml:space="preserve"> and </w:t>
      </w:r>
      <w:proofErr w:type="spellStart"/>
      <w:r w:rsidR="002C4A0F" w:rsidRPr="00111C48">
        <w:rPr>
          <w:spacing w:val="-2"/>
          <w:kern w:val="20"/>
          <w:szCs w:val="20"/>
        </w:rPr>
        <w:t>IKCs</w:t>
      </w:r>
      <w:proofErr w:type="spellEnd"/>
      <w:r w:rsidR="002C4A0F" w:rsidRPr="00111C48">
        <w:rPr>
          <w:spacing w:val="-2"/>
          <w:kern w:val="20"/>
          <w:szCs w:val="20"/>
        </w:rPr>
        <w:t>,</w:t>
      </w:r>
      <w:r w:rsidRPr="00111C48">
        <w:rPr>
          <w:spacing w:val="-2"/>
          <w:kern w:val="20"/>
          <w:szCs w:val="20"/>
        </w:rPr>
        <w:t xml:space="preserve"> as well as health, education and community organisations who work with families with young children. Two workshop </w:t>
      </w:r>
      <w:r w:rsidR="00306764">
        <w:rPr>
          <w:spacing w:val="-2"/>
          <w:kern w:val="20"/>
          <w:szCs w:val="20"/>
        </w:rPr>
        <w:t>program</w:t>
      </w:r>
      <w:r w:rsidRPr="00111C48">
        <w:rPr>
          <w:spacing w:val="-2"/>
          <w:kern w:val="20"/>
          <w:szCs w:val="20"/>
        </w:rPr>
        <w:t xml:space="preserve">s </w:t>
      </w:r>
      <w:r w:rsidR="00614FF6" w:rsidRPr="00111C48">
        <w:rPr>
          <w:spacing w:val="-2"/>
          <w:kern w:val="20"/>
          <w:szCs w:val="20"/>
        </w:rPr>
        <w:t>were</w:t>
      </w:r>
      <w:r w:rsidRPr="00111C48">
        <w:rPr>
          <w:spacing w:val="-2"/>
          <w:kern w:val="20"/>
          <w:szCs w:val="20"/>
        </w:rPr>
        <w:t xml:space="preserve"> delivered across Queensland in 2016–17. The 1.5 day </w:t>
      </w:r>
      <w:r w:rsidRPr="00111C48">
        <w:rPr>
          <w:i/>
          <w:spacing w:val="-2"/>
          <w:kern w:val="20"/>
          <w:szCs w:val="20"/>
          <w:lang w:eastAsia="en-US"/>
        </w:rPr>
        <w:t>Language to Literacy</w:t>
      </w:r>
      <w:r w:rsidR="00614FF6" w:rsidRPr="00111C48">
        <w:rPr>
          <w:spacing w:val="-2"/>
          <w:kern w:val="20"/>
          <w:szCs w:val="20"/>
          <w:lang w:eastAsia="en-US"/>
        </w:rPr>
        <w:t xml:space="preserve"> workshop provides </w:t>
      </w:r>
      <w:r w:rsidRPr="00111C48">
        <w:rPr>
          <w:spacing w:val="-2"/>
          <w:kern w:val="20"/>
          <w:szCs w:val="20"/>
          <w:lang w:eastAsia="en-US"/>
        </w:rPr>
        <w:t xml:space="preserve">basic training for people delivering the First 5 Forever message. In September 2016, a new one-day workshop was launched to provide further skill development for </w:t>
      </w:r>
      <w:r w:rsidR="00111C48" w:rsidRPr="00111C48">
        <w:rPr>
          <w:spacing w:val="-2"/>
          <w:kern w:val="20"/>
          <w:szCs w:val="20"/>
          <w:lang w:eastAsia="en-US"/>
        </w:rPr>
        <w:t xml:space="preserve">staff </w:t>
      </w:r>
      <w:r w:rsidRPr="00111C48">
        <w:rPr>
          <w:spacing w:val="-2"/>
          <w:kern w:val="20"/>
          <w:szCs w:val="20"/>
          <w:lang w:eastAsia="en-US"/>
        </w:rPr>
        <w:t xml:space="preserve">delivering programs for babies and their families. </w:t>
      </w:r>
      <w:r w:rsidRPr="00111C48">
        <w:rPr>
          <w:i/>
          <w:spacing w:val="-2"/>
          <w:kern w:val="20"/>
          <w:szCs w:val="20"/>
          <w:lang w:eastAsia="en-US"/>
        </w:rPr>
        <w:t>Baby play and story time</w:t>
      </w:r>
      <w:r w:rsidRPr="00111C48">
        <w:rPr>
          <w:spacing w:val="-2"/>
          <w:kern w:val="20"/>
          <w:szCs w:val="20"/>
          <w:lang w:eastAsia="en-US"/>
        </w:rPr>
        <w:t xml:space="preserve"> </w:t>
      </w:r>
      <w:r w:rsidR="00486E8F" w:rsidRPr="00111C48">
        <w:rPr>
          <w:spacing w:val="-2"/>
          <w:kern w:val="20"/>
          <w:szCs w:val="20"/>
          <w:lang w:eastAsia="en-US"/>
        </w:rPr>
        <w:t>incorporates</w:t>
      </w:r>
      <w:r w:rsidR="00111C48" w:rsidRPr="00111C48">
        <w:rPr>
          <w:spacing w:val="-2"/>
          <w:kern w:val="20"/>
          <w:szCs w:val="20"/>
          <w:lang w:eastAsia="en-US"/>
        </w:rPr>
        <w:t xml:space="preserve"> age-</w:t>
      </w:r>
      <w:r w:rsidRPr="00111C48">
        <w:rPr>
          <w:spacing w:val="-2"/>
          <w:kern w:val="20"/>
          <w:szCs w:val="20"/>
          <w:lang w:eastAsia="en-US"/>
        </w:rPr>
        <w:t>appropriate</w:t>
      </w:r>
      <w:r w:rsidR="00486E8F" w:rsidRPr="00111C48">
        <w:rPr>
          <w:spacing w:val="-2"/>
          <w:kern w:val="20"/>
          <w:szCs w:val="20"/>
          <w:lang w:eastAsia="en-US"/>
        </w:rPr>
        <w:t xml:space="preserve"> </w:t>
      </w:r>
      <w:r w:rsidRPr="00111C48">
        <w:rPr>
          <w:spacing w:val="-2"/>
          <w:kern w:val="20"/>
          <w:szCs w:val="20"/>
          <w:lang w:eastAsia="en-US"/>
        </w:rPr>
        <w:t>language a</w:t>
      </w:r>
      <w:r w:rsidR="00CB5A31" w:rsidRPr="00111C48">
        <w:rPr>
          <w:spacing w:val="-2"/>
          <w:kern w:val="20"/>
          <w:szCs w:val="20"/>
          <w:lang w:eastAsia="en-US"/>
        </w:rPr>
        <w:t>nd e</w:t>
      </w:r>
      <w:r w:rsidR="00EB0B75">
        <w:rPr>
          <w:spacing w:val="-2"/>
          <w:kern w:val="20"/>
          <w:szCs w:val="20"/>
          <w:lang w:eastAsia="en-US"/>
        </w:rPr>
        <w:t xml:space="preserve">arly </w:t>
      </w:r>
      <w:r w:rsidR="00CB5A31" w:rsidRPr="00111C48">
        <w:rPr>
          <w:spacing w:val="-2"/>
          <w:kern w:val="20"/>
          <w:szCs w:val="20"/>
          <w:lang w:eastAsia="en-US"/>
        </w:rPr>
        <w:t xml:space="preserve">literacy strategies, with </w:t>
      </w:r>
      <w:r w:rsidRPr="00111C48">
        <w:rPr>
          <w:spacing w:val="-2"/>
          <w:kern w:val="20"/>
          <w:szCs w:val="20"/>
          <w:lang w:eastAsia="en-US"/>
        </w:rPr>
        <w:t>seven workshops</w:t>
      </w:r>
      <w:r w:rsidR="00CB5A31" w:rsidRPr="00111C48">
        <w:rPr>
          <w:spacing w:val="-2"/>
          <w:kern w:val="20"/>
          <w:szCs w:val="20"/>
          <w:lang w:eastAsia="en-US"/>
        </w:rPr>
        <w:t xml:space="preserve"> held so far to upskill library staff across Queensland</w:t>
      </w:r>
      <w:r w:rsidRPr="00111C48">
        <w:rPr>
          <w:spacing w:val="-2"/>
          <w:kern w:val="20"/>
          <w:szCs w:val="20"/>
          <w:lang w:eastAsia="en-US"/>
        </w:rPr>
        <w:t>. In September</w:t>
      </w:r>
      <w:r w:rsidR="00166387">
        <w:rPr>
          <w:spacing w:val="-2"/>
          <w:kern w:val="20"/>
          <w:szCs w:val="20"/>
          <w:lang w:eastAsia="en-US"/>
        </w:rPr>
        <w:t xml:space="preserve"> 2016</w:t>
      </w:r>
      <w:r w:rsidRPr="00111C48">
        <w:rPr>
          <w:spacing w:val="-2"/>
          <w:kern w:val="20"/>
          <w:szCs w:val="20"/>
          <w:lang w:eastAsia="en-US"/>
        </w:rPr>
        <w:t>, SLQ hosted a First 5 Forever forum with 22</w:t>
      </w:r>
      <w:r w:rsidR="00C6520C">
        <w:rPr>
          <w:spacing w:val="-2"/>
          <w:kern w:val="20"/>
          <w:szCs w:val="20"/>
          <w:lang w:eastAsia="en-US"/>
        </w:rPr>
        <w:t xml:space="preserve"> participants from 14 regional c</w:t>
      </w:r>
      <w:r w:rsidRPr="00111C48">
        <w:rPr>
          <w:spacing w:val="-2"/>
          <w:kern w:val="20"/>
          <w:szCs w:val="20"/>
          <w:lang w:eastAsia="en-US"/>
        </w:rPr>
        <w:t>ouncils</w:t>
      </w:r>
      <w:r w:rsidR="00FE3845" w:rsidRPr="00111C48">
        <w:rPr>
          <w:spacing w:val="-2"/>
          <w:kern w:val="20"/>
          <w:szCs w:val="20"/>
          <w:lang w:eastAsia="en-US"/>
        </w:rPr>
        <w:t xml:space="preserve"> attending the full day session, followed by a</w:t>
      </w:r>
      <w:r w:rsidRPr="00111C48">
        <w:rPr>
          <w:spacing w:val="-2"/>
          <w:kern w:val="20"/>
          <w:szCs w:val="20"/>
          <w:lang w:eastAsia="en-US"/>
        </w:rPr>
        <w:t xml:space="preserve"> webinar allow</w:t>
      </w:r>
      <w:r w:rsidR="00FE3845" w:rsidRPr="00111C48">
        <w:rPr>
          <w:spacing w:val="-2"/>
          <w:kern w:val="20"/>
          <w:szCs w:val="20"/>
          <w:lang w:eastAsia="en-US"/>
        </w:rPr>
        <w:t>ing</w:t>
      </w:r>
      <w:r w:rsidRPr="00111C48">
        <w:rPr>
          <w:spacing w:val="-2"/>
          <w:kern w:val="20"/>
          <w:szCs w:val="20"/>
          <w:lang w:eastAsia="en-US"/>
        </w:rPr>
        <w:t xml:space="preserve"> regional and remote </w:t>
      </w:r>
      <w:r w:rsidR="00FE3845" w:rsidRPr="00111C48">
        <w:rPr>
          <w:spacing w:val="-2"/>
          <w:kern w:val="20"/>
          <w:szCs w:val="20"/>
          <w:lang w:eastAsia="en-US"/>
        </w:rPr>
        <w:t>participation</w:t>
      </w:r>
      <w:r w:rsidRPr="00111C48">
        <w:rPr>
          <w:spacing w:val="-2"/>
          <w:kern w:val="20"/>
          <w:szCs w:val="20"/>
          <w:lang w:eastAsia="en-US"/>
        </w:rPr>
        <w:t>.</w:t>
      </w:r>
    </w:p>
    <w:p w:rsidR="000257A1" w:rsidRPr="00DE475B" w:rsidRDefault="00534A15" w:rsidP="00FE3845">
      <w:pPr>
        <w:spacing w:after="120"/>
        <w:rPr>
          <w:rFonts w:ascii="Arial" w:hAnsi="Arial" w:cs="Arial"/>
          <w:sz w:val="20"/>
          <w:szCs w:val="20"/>
          <w:lang w:eastAsia="en-US"/>
        </w:rPr>
      </w:pPr>
      <w:r w:rsidRPr="00DE475B">
        <w:rPr>
          <w:rFonts w:ascii="Arial" w:hAnsi="Arial" w:cs="Arial"/>
          <w:sz w:val="20"/>
          <w:szCs w:val="20"/>
          <w:lang w:eastAsia="en-US"/>
        </w:rPr>
        <w:t>I</w:t>
      </w:r>
      <w:r w:rsidR="000257A1" w:rsidRPr="00DE475B">
        <w:rPr>
          <w:rFonts w:ascii="Arial" w:hAnsi="Arial" w:cs="Arial"/>
          <w:sz w:val="20"/>
          <w:szCs w:val="20"/>
          <w:lang w:eastAsia="en-US"/>
        </w:rPr>
        <w:t>n the 20</w:t>
      </w:r>
      <w:r w:rsidR="00C6520C">
        <w:rPr>
          <w:rFonts w:ascii="Arial" w:hAnsi="Arial" w:cs="Arial"/>
          <w:sz w:val="20"/>
          <w:szCs w:val="20"/>
          <w:lang w:eastAsia="en-US"/>
        </w:rPr>
        <w:t>16 calendar year 42 Queensland c</w:t>
      </w:r>
      <w:r w:rsidR="000257A1" w:rsidRPr="00DE475B">
        <w:rPr>
          <w:rFonts w:ascii="Arial" w:hAnsi="Arial" w:cs="Arial"/>
          <w:sz w:val="20"/>
          <w:szCs w:val="20"/>
          <w:lang w:eastAsia="en-US"/>
        </w:rPr>
        <w:t>ouncils participat</w:t>
      </w:r>
      <w:r w:rsidRPr="00DE475B">
        <w:rPr>
          <w:rFonts w:ascii="Arial" w:hAnsi="Arial" w:cs="Arial"/>
          <w:sz w:val="20"/>
          <w:szCs w:val="20"/>
          <w:lang w:eastAsia="en-US"/>
        </w:rPr>
        <w:t>ed</w:t>
      </w:r>
      <w:r w:rsidR="000257A1" w:rsidRPr="00DE475B">
        <w:rPr>
          <w:rFonts w:ascii="Arial" w:hAnsi="Arial" w:cs="Arial"/>
          <w:sz w:val="20"/>
          <w:szCs w:val="20"/>
          <w:lang w:eastAsia="en-US"/>
        </w:rPr>
        <w:t xml:space="preserve"> in </w:t>
      </w:r>
      <w:r w:rsidRPr="00DE475B">
        <w:rPr>
          <w:rFonts w:ascii="Arial" w:hAnsi="Arial" w:cs="Arial"/>
          <w:sz w:val="20"/>
          <w:szCs w:val="20"/>
          <w:lang w:eastAsia="en-US"/>
        </w:rPr>
        <w:t xml:space="preserve">First 5 Forever, </w:t>
      </w:r>
      <w:r w:rsidR="00C920BD">
        <w:rPr>
          <w:rFonts w:ascii="Arial" w:hAnsi="Arial" w:cs="Arial"/>
          <w:sz w:val="20"/>
          <w:szCs w:val="20"/>
          <w:lang w:eastAsia="en-US"/>
        </w:rPr>
        <w:t>up from 30 in 2015, which serv</w:t>
      </w:r>
      <w:r w:rsidRPr="00DE475B">
        <w:rPr>
          <w:rFonts w:ascii="Arial" w:hAnsi="Arial" w:cs="Arial"/>
          <w:sz w:val="20"/>
          <w:szCs w:val="20"/>
          <w:lang w:eastAsia="en-US"/>
        </w:rPr>
        <w:t>e</w:t>
      </w:r>
      <w:r w:rsidR="000257A1" w:rsidRPr="00DE475B">
        <w:rPr>
          <w:rFonts w:ascii="Arial" w:hAnsi="Arial" w:cs="Arial"/>
          <w:sz w:val="20"/>
          <w:szCs w:val="20"/>
          <w:lang w:eastAsia="en-US"/>
        </w:rPr>
        <w:t xml:space="preserve"> 97% of the </w:t>
      </w:r>
      <w:r w:rsidRPr="00DE475B">
        <w:rPr>
          <w:rFonts w:ascii="Arial" w:hAnsi="Arial" w:cs="Arial"/>
          <w:sz w:val="20"/>
          <w:szCs w:val="20"/>
          <w:lang w:eastAsia="en-US"/>
        </w:rPr>
        <w:t>S</w:t>
      </w:r>
      <w:r w:rsidR="000257A1" w:rsidRPr="00DE475B">
        <w:rPr>
          <w:rFonts w:ascii="Arial" w:hAnsi="Arial" w:cs="Arial"/>
          <w:sz w:val="20"/>
          <w:szCs w:val="20"/>
          <w:lang w:eastAsia="en-US"/>
        </w:rPr>
        <w:t xml:space="preserve">tate’s population. </w:t>
      </w:r>
      <w:r w:rsidR="00CB5A31">
        <w:rPr>
          <w:rFonts w:ascii="Arial" w:hAnsi="Arial" w:cs="Arial"/>
          <w:sz w:val="20"/>
          <w:szCs w:val="20"/>
          <w:lang w:eastAsia="en-US"/>
        </w:rPr>
        <w:t xml:space="preserve">This period saw </w:t>
      </w:r>
      <w:r w:rsidR="000257A1" w:rsidRPr="00DE475B">
        <w:rPr>
          <w:rFonts w:ascii="Arial" w:hAnsi="Arial" w:cs="Arial"/>
          <w:sz w:val="20"/>
          <w:szCs w:val="20"/>
          <w:lang w:eastAsia="en-US"/>
        </w:rPr>
        <w:t>452,200 attendances at events in libraries</w:t>
      </w:r>
      <w:r w:rsidR="00CB5A31">
        <w:rPr>
          <w:rFonts w:ascii="Arial" w:hAnsi="Arial" w:cs="Arial"/>
          <w:sz w:val="20"/>
          <w:szCs w:val="20"/>
          <w:lang w:eastAsia="en-US"/>
        </w:rPr>
        <w:t xml:space="preserve">, and </w:t>
      </w:r>
      <w:r w:rsidRPr="00DE475B">
        <w:rPr>
          <w:rFonts w:ascii="Arial" w:hAnsi="Arial" w:cs="Arial"/>
          <w:sz w:val="20"/>
          <w:szCs w:val="20"/>
          <w:lang w:eastAsia="en-US"/>
        </w:rPr>
        <w:t>565 partner organisations involved in programs</w:t>
      </w:r>
      <w:r w:rsidR="000076D6">
        <w:rPr>
          <w:rFonts w:ascii="Arial" w:hAnsi="Arial" w:cs="Arial"/>
          <w:sz w:val="20"/>
          <w:szCs w:val="20"/>
          <w:lang w:eastAsia="en-US"/>
        </w:rPr>
        <w:t xml:space="preserve"> across the S</w:t>
      </w:r>
      <w:r w:rsidRPr="00DE475B">
        <w:rPr>
          <w:rFonts w:ascii="Arial" w:hAnsi="Arial" w:cs="Arial"/>
          <w:sz w:val="20"/>
          <w:szCs w:val="20"/>
          <w:lang w:eastAsia="en-US"/>
        </w:rPr>
        <w:t>tate</w:t>
      </w:r>
      <w:r w:rsidR="00CB5A31">
        <w:rPr>
          <w:rFonts w:ascii="Arial" w:hAnsi="Arial" w:cs="Arial"/>
          <w:sz w:val="20"/>
          <w:szCs w:val="20"/>
          <w:lang w:eastAsia="en-US"/>
        </w:rPr>
        <w:t>. I</w:t>
      </w:r>
      <w:r w:rsidR="00CB5A31" w:rsidRPr="00DE475B">
        <w:rPr>
          <w:rFonts w:ascii="Arial" w:hAnsi="Arial" w:cs="Arial"/>
          <w:sz w:val="20"/>
          <w:szCs w:val="20"/>
          <w:lang w:eastAsia="en-US"/>
        </w:rPr>
        <w:t>n 2016</w:t>
      </w:r>
      <w:r w:rsidR="00CB5A31">
        <w:rPr>
          <w:rFonts w:ascii="Arial" w:hAnsi="Arial" w:cs="Arial"/>
          <w:sz w:val="20"/>
          <w:szCs w:val="20"/>
          <w:lang w:eastAsia="en-US"/>
        </w:rPr>
        <w:t xml:space="preserve">, </w:t>
      </w:r>
      <w:r w:rsidR="00CB5A31" w:rsidRPr="00DE475B">
        <w:rPr>
          <w:rFonts w:ascii="Arial" w:hAnsi="Arial" w:cs="Arial"/>
          <w:sz w:val="20"/>
          <w:szCs w:val="20"/>
          <w:lang w:eastAsia="en-US"/>
        </w:rPr>
        <w:t>25,700</w:t>
      </w:r>
      <w:r w:rsidR="00CB5A31" w:rsidRPr="00CB5A31">
        <w:rPr>
          <w:rFonts w:ascii="Arial" w:hAnsi="Arial" w:cs="Arial"/>
          <w:sz w:val="20"/>
          <w:szCs w:val="20"/>
          <w:lang w:eastAsia="en-US"/>
        </w:rPr>
        <w:t xml:space="preserve"> </w:t>
      </w:r>
      <w:r w:rsidR="00CB5A31" w:rsidRPr="00DE475B">
        <w:rPr>
          <w:rFonts w:ascii="Arial" w:hAnsi="Arial" w:cs="Arial"/>
          <w:sz w:val="20"/>
          <w:szCs w:val="20"/>
          <w:lang w:eastAsia="en-US"/>
        </w:rPr>
        <w:t>toolkits</w:t>
      </w:r>
      <w:r w:rsidR="00CB5A31">
        <w:rPr>
          <w:rFonts w:ascii="Arial" w:hAnsi="Arial" w:cs="Arial"/>
          <w:sz w:val="20"/>
          <w:szCs w:val="20"/>
          <w:lang w:eastAsia="en-US"/>
        </w:rPr>
        <w:t xml:space="preserve"> were</w:t>
      </w:r>
      <w:r w:rsidR="00CB5A31" w:rsidRPr="00DE475B">
        <w:rPr>
          <w:rFonts w:ascii="Arial" w:hAnsi="Arial" w:cs="Arial"/>
          <w:sz w:val="20"/>
          <w:szCs w:val="20"/>
          <w:lang w:eastAsia="en-US"/>
        </w:rPr>
        <w:t xml:space="preserve"> distributed</w:t>
      </w:r>
      <w:r w:rsidRPr="00DE475B">
        <w:rPr>
          <w:rFonts w:ascii="Arial" w:hAnsi="Arial" w:cs="Arial"/>
          <w:sz w:val="20"/>
          <w:szCs w:val="20"/>
          <w:lang w:eastAsia="en-US"/>
        </w:rPr>
        <w:t>, 35%</w:t>
      </w:r>
      <w:r w:rsidR="000257A1" w:rsidRPr="00DE475B">
        <w:rPr>
          <w:rFonts w:ascii="Arial" w:hAnsi="Arial" w:cs="Arial"/>
          <w:sz w:val="20"/>
          <w:szCs w:val="20"/>
          <w:lang w:eastAsia="en-US"/>
        </w:rPr>
        <w:t xml:space="preserve"> more than in </w:t>
      </w:r>
      <w:r w:rsidRPr="00DE475B">
        <w:rPr>
          <w:rFonts w:ascii="Arial" w:hAnsi="Arial" w:cs="Arial"/>
          <w:sz w:val="20"/>
          <w:szCs w:val="20"/>
          <w:lang w:eastAsia="en-US"/>
        </w:rPr>
        <w:t>2015</w:t>
      </w:r>
      <w:r w:rsidR="00CB5A31">
        <w:rPr>
          <w:rFonts w:ascii="Arial" w:hAnsi="Arial" w:cs="Arial"/>
          <w:sz w:val="20"/>
          <w:szCs w:val="20"/>
          <w:lang w:eastAsia="en-US"/>
        </w:rPr>
        <w:t>.</w:t>
      </w:r>
    </w:p>
    <w:p w:rsidR="000257A1" w:rsidRDefault="000257A1" w:rsidP="00FE3845">
      <w:pPr>
        <w:spacing w:after="120"/>
        <w:rPr>
          <w:rFonts w:ascii="Arial" w:hAnsi="Arial" w:cs="Arial"/>
          <w:sz w:val="20"/>
          <w:szCs w:val="20"/>
        </w:rPr>
      </w:pPr>
      <w:r w:rsidRPr="00DE475B">
        <w:rPr>
          <w:rFonts w:ascii="Arial" w:hAnsi="Arial" w:cs="Arial"/>
          <w:sz w:val="20"/>
          <w:szCs w:val="20"/>
        </w:rPr>
        <w:t xml:space="preserve">The Corner at SLQ </w:t>
      </w:r>
      <w:r w:rsidR="002C4A0F">
        <w:rPr>
          <w:rFonts w:ascii="Arial" w:hAnsi="Arial" w:cs="Arial"/>
          <w:sz w:val="20"/>
          <w:szCs w:val="20"/>
        </w:rPr>
        <w:t xml:space="preserve">South Bank </w:t>
      </w:r>
      <w:r w:rsidRPr="00DE475B">
        <w:rPr>
          <w:rFonts w:ascii="Arial" w:hAnsi="Arial" w:cs="Arial"/>
          <w:sz w:val="20"/>
          <w:szCs w:val="20"/>
        </w:rPr>
        <w:t xml:space="preserve">is popular with children and their </w:t>
      </w:r>
      <w:proofErr w:type="spellStart"/>
      <w:r w:rsidRPr="00DE475B">
        <w:rPr>
          <w:rFonts w:ascii="Arial" w:hAnsi="Arial" w:cs="Arial"/>
          <w:sz w:val="20"/>
          <w:szCs w:val="20"/>
        </w:rPr>
        <w:t>carers</w:t>
      </w:r>
      <w:proofErr w:type="spellEnd"/>
      <w:r w:rsidRPr="00DE475B">
        <w:rPr>
          <w:rFonts w:ascii="Arial" w:hAnsi="Arial" w:cs="Arial"/>
          <w:sz w:val="20"/>
          <w:szCs w:val="20"/>
        </w:rPr>
        <w:t xml:space="preserve">, who interact with different learning themes throughout the year. This concept of a dedicated play and learning space for children under </w:t>
      </w:r>
      <w:r w:rsidR="00E55D0A" w:rsidRPr="00DE475B">
        <w:rPr>
          <w:rFonts w:ascii="Arial" w:hAnsi="Arial" w:cs="Arial"/>
          <w:sz w:val="20"/>
          <w:szCs w:val="20"/>
        </w:rPr>
        <w:t>8</w:t>
      </w:r>
      <w:r w:rsidRPr="00DE475B">
        <w:rPr>
          <w:rFonts w:ascii="Arial" w:hAnsi="Arial" w:cs="Arial"/>
          <w:sz w:val="20"/>
          <w:szCs w:val="20"/>
        </w:rPr>
        <w:t xml:space="preserve"> is being expanded through regional centre</w:t>
      </w:r>
      <w:r w:rsidR="006C36A4">
        <w:rPr>
          <w:rFonts w:ascii="Arial" w:hAnsi="Arial" w:cs="Arial"/>
          <w:sz w:val="20"/>
          <w:szCs w:val="20"/>
        </w:rPr>
        <w:t>s</w:t>
      </w:r>
      <w:r w:rsidRPr="00DE475B">
        <w:rPr>
          <w:rFonts w:ascii="Arial" w:hAnsi="Arial" w:cs="Arial"/>
          <w:sz w:val="20"/>
          <w:szCs w:val="20"/>
        </w:rPr>
        <w:t xml:space="preserve"> with The Corner on the </w:t>
      </w:r>
      <w:r w:rsidR="006C36A4">
        <w:rPr>
          <w:rFonts w:ascii="Arial" w:hAnsi="Arial" w:cs="Arial"/>
          <w:sz w:val="20"/>
          <w:szCs w:val="20"/>
        </w:rPr>
        <w:t>Road</w:t>
      </w:r>
      <w:r w:rsidRPr="00DE475B">
        <w:rPr>
          <w:rFonts w:ascii="Arial" w:hAnsi="Arial" w:cs="Arial"/>
          <w:sz w:val="20"/>
          <w:szCs w:val="20"/>
        </w:rPr>
        <w:t xml:space="preserve">, </w:t>
      </w:r>
      <w:r w:rsidR="006C36A4">
        <w:rPr>
          <w:rFonts w:ascii="Arial" w:hAnsi="Arial" w:cs="Arial"/>
          <w:sz w:val="20"/>
          <w:szCs w:val="20"/>
        </w:rPr>
        <w:t>in</w:t>
      </w:r>
      <w:r w:rsidRPr="00DE475B">
        <w:rPr>
          <w:rFonts w:ascii="Arial" w:hAnsi="Arial" w:cs="Arial"/>
          <w:sz w:val="20"/>
          <w:szCs w:val="20"/>
        </w:rPr>
        <w:t xml:space="preserve"> partnership with Paroo Shire Council</w:t>
      </w:r>
      <w:r w:rsidR="006C36A4">
        <w:rPr>
          <w:rFonts w:ascii="Arial" w:hAnsi="Arial" w:cs="Arial"/>
          <w:sz w:val="20"/>
          <w:szCs w:val="20"/>
        </w:rPr>
        <w:t xml:space="preserve">. The program </w:t>
      </w:r>
      <w:r w:rsidRPr="00DE475B">
        <w:rPr>
          <w:rFonts w:ascii="Arial" w:hAnsi="Arial" w:cs="Arial"/>
          <w:sz w:val="20"/>
          <w:szCs w:val="20"/>
        </w:rPr>
        <w:t>deliver</w:t>
      </w:r>
      <w:r w:rsidR="006C36A4">
        <w:rPr>
          <w:rFonts w:ascii="Arial" w:hAnsi="Arial" w:cs="Arial"/>
          <w:sz w:val="20"/>
          <w:szCs w:val="20"/>
        </w:rPr>
        <w:t>ed</w:t>
      </w:r>
      <w:r w:rsidRPr="00DE475B">
        <w:rPr>
          <w:rFonts w:ascii="Arial" w:hAnsi="Arial" w:cs="Arial"/>
          <w:sz w:val="20"/>
          <w:szCs w:val="20"/>
        </w:rPr>
        <w:t xml:space="preserve"> early literacy programmi</w:t>
      </w:r>
      <w:r w:rsidR="006C36A4">
        <w:rPr>
          <w:rFonts w:ascii="Arial" w:hAnsi="Arial" w:cs="Arial"/>
          <w:sz w:val="20"/>
          <w:szCs w:val="20"/>
        </w:rPr>
        <w:t>ng and creative learning spaces through</w:t>
      </w:r>
      <w:r w:rsidRPr="00DE475B">
        <w:rPr>
          <w:rFonts w:ascii="Arial" w:hAnsi="Arial" w:cs="Arial"/>
          <w:sz w:val="20"/>
          <w:szCs w:val="20"/>
        </w:rPr>
        <w:t xml:space="preserve"> three successive themes</w:t>
      </w:r>
      <w:r w:rsidR="00C6520C">
        <w:rPr>
          <w:rFonts w:ascii="Arial" w:hAnsi="Arial" w:cs="Arial"/>
          <w:sz w:val="20"/>
          <w:szCs w:val="20"/>
        </w:rPr>
        <w:t xml:space="preserve"> from The Corner</w:t>
      </w:r>
      <w:r w:rsidRPr="00DE475B">
        <w:rPr>
          <w:rFonts w:ascii="Arial" w:hAnsi="Arial" w:cs="Arial"/>
          <w:sz w:val="20"/>
          <w:szCs w:val="20"/>
        </w:rPr>
        <w:t xml:space="preserve"> installed in Cunnamulla Library. Following professional development and in-person support during the installation of the first theme, Cunnamulla </w:t>
      </w:r>
      <w:r w:rsidRPr="00DE475B">
        <w:rPr>
          <w:rFonts w:ascii="Arial" w:hAnsi="Arial" w:cs="Arial"/>
          <w:sz w:val="20"/>
          <w:szCs w:val="20"/>
        </w:rPr>
        <w:lastRenderedPageBreak/>
        <w:t xml:space="preserve">Library staff led the installation of the next two themes with remote support by SLQ staff. </w:t>
      </w:r>
      <w:r w:rsidR="00C920BD">
        <w:rPr>
          <w:rFonts w:ascii="Arial" w:hAnsi="Arial" w:cs="Arial"/>
          <w:sz w:val="20"/>
          <w:szCs w:val="20"/>
        </w:rPr>
        <w:t xml:space="preserve">The </w:t>
      </w:r>
      <w:r w:rsidR="00C920BD" w:rsidRPr="00DE475B">
        <w:rPr>
          <w:rFonts w:ascii="Arial" w:hAnsi="Arial" w:cs="Arial"/>
          <w:sz w:val="20"/>
          <w:szCs w:val="20"/>
        </w:rPr>
        <w:t xml:space="preserve">Corner </w:t>
      </w:r>
      <w:r w:rsidR="000351A0">
        <w:rPr>
          <w:rFonts w:ascii="Arial" w:hAnsi="Arial" w:cs="Arial"/>
          <w:sz w:val="20"/>
          <w:szCs w:val="20"/>
        </w:rPr>
        <w:t xml:space="preserve">on the </w:t>
      </w:r>
      <w:r w:rsidR="006C36A4">
        <w:rPr>
          <w:rFonts w:ascii="Arial" w:hAnsi="Arial" w:cs="Arial"/>
          <w:sz w:val="20"/>
          <w:szCs w:val="20"/>
        </w:rPr>
        <w:t>Road</w:t>
      </w:r>
      <w:r w:rsidR="000351A0">
        <w:rPr>
          <w:rFonts w:ascii="Arial" w:hAnsi="Arial" w:cs="Arial"/>
          <w:sz w:val="20"/>
          <w:szCs w:val="20"/>
        </w:rPr>
        <w:t xml:space="preserve"> </w:t>
      </w:r>
      <w:r w:rsidR="00C920BD" w:rsidRPr="00DE475B">
        <w:rPr>
          <w:rFonts w:ascii="Arial" w:hAnsi="Arial" w:cs="Arial"/>
          <w:sz w:val="20"/>
          <w:szCs w:val="20"/>
        </w:rPr>
        <w:t>pr</w:t>
      </w:r>
      <w:r w:rsidR="00C920BD">
        <w:rPr>
          <w:rFonts w:ascii="Arial" w:hAnsi="Arial" w:cs="Arial"/>
          <w:sz w:val="20"/>
          <w:szCs w:val="20"/>
        </w:rPr>
        <w:t>ogram</w:t>
      </w:r>
      <w:r w:rsidR="00C920BD" w:rsidRPr="00DE475B">
        <w:rPr>
          <w:rFonts w:ascii="Arial" w:hAnsi="Arial" w:cs="Arial"/>
          <w:sz w:val="20"/>
          <w:szCs w:val="20"/>
        </w:rPr>
        <w:t xml:space="preserve"> </w:t>
      </w:r>
      <w:r w:rsidR="00C920BD">
        <w:rPr>
          <w:rFonts w:ascii="Arial" w:hAnsi="Arial" w:cs="Arial"/>
          <w:sz w:val="20"/>
          <w:szCs w:val="20"/>
        </w:rPr>
        <w:t xml:space="preserve">has resulted in </w:t>
      </w:r>
      <w:r w:rsidR="00C920BD" w:rsidRPr="00DE475B">
        <w:rPr>
          <w:rFonts w:ascii="Arial" w:hAnsi="Arial" w:cs="Arial"/>
          <w:sz w:val="20"/>
          <w:szCs w:val="20"/>
        </w:rPr>
        <w:t xml:space="preserve">increased visitation and length of engagements </w:t>
      </w:r>
      <w:r w:rsidR="00C920BD">
        <w:rPr>
          <w:rFonts w:ascii="Arial" w:hAnsi="Arial" w:cs="Arial"/>
          <w:sz w:val="20"/>
          <w:szCs w:val="20"/>
        </w:rPr>
        <w:t xml:space="preserve">at </w:t>
      </w:r>
      <w:r w:rsidRPr="00DE475B">
        <w:rPr>
          <w:rFonts w:ascii="Arial" w:hAnsi="Arial" w:cs="Arial"/>
          <w:sz w:val="20"/>
          <w:szCs w:val="20"/>
        </w:rPr>
        <w:t>Cunnamulla Library</w:t>
      </w:r>
      <w:r w:rsidR="00B01FF5">
        <w:rPr>
          <w:rFonts w:ascii="Arial" w:hAnsi="Arial" w:cs="Arial"/>
          <w:sz w:val="20"/>
          <w:szCs w:val="20"/>
        </w:rPr>
        <w:t>.</w:t>
      </w:r>
      <w:r w:rsidR="006C36A4">
        <w:rPr>
          <w:rFonts w:ascii="Arial" w:hAnsi="Arial" w:cs="Arial"/>
          <w:sz w:val="20"/>
          <w:szCs w:val="20"/>
        </w:rPr>
        <w:t xml:space="preserve"> A similar program was instigated in early 2017 with Townsville City Library.</w:t>
      </w:r>
    </w:p>
    <w:p w:rsidR="009A5E10" w:rsidRPr="009A5E10" w:rsidRDefault="009A5E10" w:rsidP="009A5E10">
      <w:pPr>
        <w:rPr>
          <w:rFonts w:ascii="Arial" w:hAnsi="Arial" w:cs="Arial"/>
          <w:b/>
          <w:sz w:val="20"/>
          <w:szCs w:val="20"/>
        </w:rPr>
      </w:pPr>
      <w:r w:rsidRPr="009A5E10">
        <w:rPr>
          <w:rFonts w:ascii="Arial" w:hAnsi="Arial" w:cs="Arial"/>
          <w:b/>
          <w:sz w:val="20"/>
          <w:szCs w:val="20"/>
        </w:rPr>
        <w:t>Digital literacy skills</w:t>
      </w:r>
    </w:p>
    <w:p w:rsidR="000257A1" w:rsidRPr="00DE475B" w:rsidRDefault="00FB3DC8" w:rsidP="00FE3845">
      <w:pPr>
        <w:pStyle w:val="ARText"/>
        <w:tabs>
          <w:tab w:val="left" w:pos="284"/>
          <w:tab w:val="left" w:pos="360"/>
        </w:tabs>
        <w:spacing w:before="0" w:after="120"/>
        <w:rPr>
          <w:szCs w:val="20"/>
        </w:rPr>
      </w:pPr>
      <w:r w:rsidRPr="00DE475B">
        <w:rPr>
          <w:szCs w:val="20"/>
        </w:rPr>
        <w:t xml:space="preserve">SLQ also provides resources for public libraries and </w:t>
      </w:r>
      <w:proofErr w:type="spellStart"/>
      <w:r w:rsidRPr="00DE475B">
        <w:rPr>
          <w:szCs w:val="20"/>
        </w:rPr>
        <w:t>IKCs</w:t>
      </w:r>
      <w:proofErr w:type="spellEnd"/>
      <w:r w:rsidRPr="00DE475B">
        <w:rPr>
          <w:szCs w:val="20"/>
        </w:rPr>
        <w:t xml:space="preserve"> to engage their communities in coding and robotics. For instance, t</w:t>
      </w:r>
      <w:r w:rsidR="000257A1" w:rsidRPr="00DE475B">
        <w:rPr>
          <w:szCs w:val="20"/>
        </w:rPr>
        <w:t xml:space="preserve">he STEM.I.AM coding and robotics grant is focused on building connections between Aboriginal and Torres Strait Islander people and libraries. It aims to </w:t>
      </w:r>
      <w:r w:rsidR="00067734" w:rsidRPr="00DE475B">
        <w:rPr>
          <w:szCs w:val="20"/>
        </w:rPr>
        <w:t>encourage</w:t>
      </w:r>
      <w:r w:rsidR="000257A1" w:rsidRPr="00DE475B">
        <w:rPr>
          <w:szCs w:val="20"/>
        </w:rPr>
        <w:t xml:space="preserve"> </w:t>
      </w:r>
      <w:r w:rsidRPr="00DE475B">
        <w:rPr>
          <w:szCs w:val="20"/>
        </w:rPr>
        <w:t>science, technology, engineering and mathematics (STEM)</w:t>
      </w:r>
      <w:r w:rsidR="000257A1" w:rsidRPr="00DE475B">
        <w:rPr>
          <w:szCs w:val="20"/>
        </w:rPr>
        <w:t xml:space="preserve"> engagement for Indigenous students from grades 5 to 12, </w:t>
      </w:r>
      <w:r w:rsidRPr="00DE475B">
        <w:rPr>
          <w:szCs w:val="20"/>
        </w:rPr>
        <w:t>to</w:t>
      </w:r>
      <w:r w:rsidR="000257A1" w:rsidRPr="00DE475B">
        <w:rPr>
          <w:szCs w:val="20"/>
        </w:rPr>
        <w:t xml:space="preserve"> help clos</w:t>
      </w:r>
      <w:r w:rsidRPr="00DE475B">
        <w:rPr>
          <w:szCs w:val="20"/>
        </w:rPr>
        <w:t xml:space="preserve">e the literacy and numeracy gap, and </w:t>
      </w:r>
      <w:r w:rsidR="000257A1" w:rsidRPr="00DE475B">
        <w:rPr>
          <w:szCs w:val="20"/>
        </w:rPr>
        <w:t xml:space="preserve">inspire </w:t>
      </w:r>
      <w:r w:rsidR="005A5D6B" w:rsidRPr="00DE475B">
        <w:rPr>
          <w:szCs w:val="20"/>
        </w:rPr>
        <w:t>further study in a STEM field</w:t>
      </w:r>
      <w:r w:rsidR="000257A1" w:rsidRPr="00DE475B">
        <w:rPr>
          <w:szCs w:val="20"/>
        </w:rPr>
        <w:t>. SLQ administered</w:t>
      </w:r>
      <w:r w:rsidR="00213FA3">
        <w:rPr>
          <w:szCs w:val="20"/>
        </w:rPr>
        <w:t xml:space="preserve"> the</w:t>
      </w:r>
      <w:r w:rsidR="000257A1" w:rsidRPr="00DE475B">
        <w:rPr>
          <w:szCs w:val="20"/>
        </w:rPr>
        <w:t xml:space="preserve"> $170,000 grant program for </w:t>
      </w:r>
      <w:r w:rsidR="00F772CC">
        <w:rPr>
          <w:szCs w:val="20"/>
        </w:rPr>
        <w:t xml:space="preserve">projects up to $25,000. </w:t>
      </w:r>
      <w:r w:rsidR="000257A1" w:rsidRPr="00DE475B">
        <w:rPr>
          <w:szCs w:val="20"/>
        </w:rPr>
        <w:t>This program is part of a st</w:t>
      </w:r>
      <w:r w:rsidR="008A5C10">
        <w:rPr>
          <w:szCs w:val="20"/>
        </w:rPr>
        <w:t xml:space="preserve">ate-wide initiative between the </w:t>
      </w:r>
      <w:r w:rsidR="000257A1" w:rsidRPr="00DE475B">
        <w:rPr>
          <w:szCs w:val="20"/>
        </w:rPr>
        <w:t>Department of Science, Information Technology and Innovation</w:t>
      </w:r>
      <w:r w:rsidR="008A5C10">
        <w:rPr>
          <w:szCs w:val="20"/>
        </w:rPr>
        <w:t xml:space="preserve"> (</w:t>
      </w:r>
      <w:proofErr w:type="spellStart"/>
      <w:r w:rsidR="008A5C10">
        <w:rPr>
          <w:szCs w:val="20"/>
        </w:rPr>
        <w:t>DSITI</w:t>
      </w:r>
      <w:proofErr w:type="spellEnd"/>
      <w:r w:rsidR="008A5C10">
        <w:rPr>
          <w:szCs w:val="20"/>
        </w:rPr>
        <w:t>)</w:t>
      </w:r>
      <w:r w:rsidR="000257A1" w:rsidRPr="00DE475B">
        <w:rPr>
          <w:szCs w:val="20"/>
        </w:rPr>
        <w:t>, Department of Education and Training, SLQ, Carbon Media, Google and FIRST Australia.</w:t>
      </w:r>
    </w:p>
    <w:p w:rsidR="000257A1" w:rsidRPr="00DE475B" w:rsidRDefault="000257A1" w:rsidP="00FE3845">
      <w:pPr>
        <w:spacing w:after="120"/>
        <w:rPr>
          <w:rFonts w:ascii="Arial" w:hAnsi="Arial" w:cs="Arial"/>
          <w:sz w:val="20"/>
          <w:szCs w:val="20"/>
        </w:rPr>
      </w:pPr>
      <w:r w:rsidRPr="00DE475B">
        <w:rPr>
          <w:rFonts w:ascii="Arial" w:hAnsi="Arial" w:cs="Arial"/>
          <w:sz w:val="20"/>
          <w:szCs w:val="20"/>
        </w:rPr>
        <w:t xml:space="preserve">SLQ </w:t>
      </w:r>
      <w:r w:rsidR="00F772CC">
        <w:rPr>
          <w:rFonts w:ascii="Arial" w:hAnsi="Arial" w:cs="Arial"/>
          <w:sz w:val="20"/>
          <w:szCs w:val="20"/>
        </w:rPr>
        <w:t xml:space="preserve">also </w:t>
      </w:r>
      <w:r w:rsidRPr="00DE475B">
        <w:rPr>
          <w:rFonts w:ascii="Arial" w:hAnsi="Arial" w:cs="Arial"/>
          <w:sz w:val="20"/>
          <w:szCs w:val="20"/>
        </w:rPr>
        <w:t>partnered with Regional Development Australia</w:t>
      </w:r>
      <w:r w:rsidR="00A9025C">
        <w:rPr>
          <w:rFonts w:ascii="Arial" w:hAnsi="Arial" w:cs="Arial"/>
          <w:sz w:val="20"/>
          <w:szCs w:val="20"/>
        </w:rPr>
        <w:t xml:space="preserve"> (RDA)</w:t>
      </w:r>
      <w:r w:rsidRPr="00DE475B">
        <w:rPr>
          <w:rFonts w:ascii="Arial" w:hAnsi="Arial" w:cs="Arial"/>
          <w:sz w:val="20"/>
          <w:szCs w:val="20"/>
        </w:rPr>
        <w:t xml:space="preserve"> (Darling Downs/South West region) to provide </w:t>
      </w:r>
      <w:r w:rsidR="000351A0">
        <w:rPr>
          <w:rFonts w:ascii="Arial" w:hAnsi="Arial" w:cs="Arial"/>
          <w:sz w:val="20"/>
          <w:szCs w:val="20"/>
        </w:rPr>
        <w:t xml:space="preserve">a </w:t>
      </w:r>
      <w:r w:rsidRPr="00DE475B">
        <w:rPr>
          <w:rFonts w:ascii="Arial" w:hAnsi="Arial" w:cs="Arial"/>
          <w:sz w:val="20"/>
          <w:szCs w:val="20"/>
        </w:rPr>
        <w:t xml:space="preserve">funding </w:t>
      </w:r>
      <w:r w:rsidR="000351A0">
        <w:rPr>
          <w:rFonts w:ascii="Arial" w:hAnsi="Arial" w:cs="Arial"/>
          <w:sz w:val="20"/>
          <w:szCs w:val="20"/>
        </w:rPr>
        <w:t xml:space="preserve">pool </w:t>
      </w:r>
      <w:r w:rsidR="00C6520C">
        <w:rPr>
          <w:rFonts w:ascii="Arial" w:hAnsi="Arial" w:cs="Arial"/>
          <w:sz w:val="20"/>
          <w:szCs w:val="20"/>
        </w:rPr>
        <w:t>of $21,000 to six c</w:t>
      </w:r>
      <w:r w:rsidRPr="00DE475B">
        <w:rPr>
          <w:rFonts w:ascii="Arial" w:hAnsi="Arial" w:cs="Arial"/>
          <w:sz w:val="20"/>
          <w:szCs w:val="20"/>
        </w:rPr>
        <w:t xml:space="preserve">ouncils in that region: Quilpie, Bulloo, </w:t>
      </w:r>
      <w:proofErr w:type="spellStart"/>
      <w:r w:rsidRPr="00DE475B">
        <w:rPr>
          <w:rFonts w:ascii="Arial" w:hAnsi="Arial" w:cs="Arial"/>
          <w:sz w:val="20"/>
          <w:szCs w:val="20"/>
        </w:rPr>
        <w:t>Murweh</w:t>
      </w:r>
      <w:proofErr w:type="spellEnd"/>
      <w:r w:rsidRPr="00DE475B">
        <w:rPr>
          <w:rFonts w:ascii="Arial" w:hAnsi="Arial" w:cs="Arial"/>
          <w:sz w:val="20"/>
          <w:szCs w:val="20"/>
        </w:rPr>
        <w:t xml:space="preserve">, Maranoa, Goondiwindi and Southern Downs. The </w:t>
      </w:r>
      <w:r w:rsidRPr="00DE475B">
        <w:rPr>
          <w:rFonts w:ascii="Arial" w:hAnsi="Arial" w:cs="Arial"/>
          <w:i/>
          <w:iCs/>
          <w:sz w:val="20"/>
          <w:szCs w:val="20"/>
        </w:rPr>
        <w:t>Skilling Our Future</w:t>
      </w:r>
      <w:r w:rsidRPr="00DE475B">
        <w:rPr>
          <w:rFonts w:ascii="Arial" w:hAnsi="Arial" w:cs="Arial"/>
          <w:sz w:val="20"/>
          <w:szCs w:val="20"/>
        </w:rPr>
        <w:t xml:space="preserve"> coding and robotics grant provided a stimulus for communities to learn to use technology and support growing technology trends in th</w:t>
      </w:r>
      <w:r w:rsidR="00C6520C">
        <w:rPr>
          <w:rFonts w:ascii="Arial" w:hAnsi="Arial" w:cs="Arial"/>
          <w:sz w:val="20"/>
          <w:szCs w:val="20"/>
        </w:rPr>
        <w:t>e agricultural industry. Three c</w:t>
      </w:r>
      <w:r w:rsidRPr="00DE475B">
        <w:rPr>
          <w:rFonts w:ascii="Arial" w:hAnsi="Arial" w:cs="Arial"/>
          <w:sz w:val="20"/>
          <w:szCs w:val="20"/>
        </w:rPr>
        <w:t>ouncils received funding to buy resources and deliver programming specific to their community needs, and three worked closely with SLQ to support coding</w:t>
      </w:r>
      <w:r w:rsidR="00F772CC">
        <w:rPr>
          <w:rFonts w:ascii="Arial" w:hAnsi="Arial" w:cs="Arial"/>
          <w:sz w:val="20"/>
          <w:szCs w:val="20"/>
        </w:rPr>
        <w:t xml:space="preserve"> and robotics in their communities</w:t>
      </w:r>
      <w:r w:rsidRPr="00DE475B">
        <w:rPr>
          <w:rFonts w:ascii="Arial" w:hAnsi="Arial" w:cs="Arial"/>
          <w:sz w:val="20"/>
          <w:szCs w:val="20"/>
        </w:rPr>
        <w:t>. SLQ hopes to extend this program with RDA for another year, to develop staff expertise in coding and robotics, and grant application workshops.</w:t>
      </w:r>
    </w:p>
    <w:p w:rsidR="00CC407B" w:rsidRDefault="008070FC" w:rsidP="00CC407B">
      <w:pPr>
        <w:pStyle w:val="Default"/>
        <w:spacing w:after="120"/>
        <w:rPr>
          <w:sz w:val="20"/>
          <w:szCs w:val="20"/>
        </w:rPr>
      </w:pPr>
      <w:r>
        <w:rPr>
          <w:sz w:val="20"/>
          <w:szCs w:val="20"/>
        </w:rPr>
        <w:t>Through a partnership</w:t>
      </w:r>
      <w:r w:rsidR="000257A1" w:rsidRPr="00DE475B">
        <w:rPr>
          <w:sz w:val="20"/>
          <w:szCs w:val="20"/>
        </w:rPr>
        <w:t xml:space="preserve"> with Education Technology Specialists</w:t>
      </w:r>
      <w:r>
        <w:rPr>
          <w:sz w:val="20"/>
          <w:szCs w:val="20"/>
        </w:rPr>
        <w:t>, SLQ</w:t>
      </w:r>
      <w:r w:rsidR="000257A1" w:rsidRPr="00DE475B">
        <w:rPr>
          <w:sz w:val="20"/>
          <w:szCs w:val="20"/>
        </w:rPr>
        <w:t xml:space="preserve"> offer</w:t>
      </w:r>
      <w:r>
        <w:rPr>
          <w:sz w:val="20"/>
          <w:szCs w:val="20"/>
        </w:rPr>
        <w:t>ed</w:t>
      </w:r>
      <w:r w:rsidR="000257A1" w:rsidRPr="00DE475B">
        <w:rPr>
          <w:sz w:val="20"/>
          <w:szCs w:val="20"/>
        </w:rPr>
        <w:t xml:space="preserve"> two $500 </w:t>
      </w:r>
      <w:proofErr w:type="spellStart"/>
      <w:r w:rsidR="000257A1" w:rsidRPr="00DE475B">
        <w:rPr>
          <w:sz w:val="20"/>
          <w:szCs w:val="20"/>
        </w:rPr>
        <w:t>Ozobot</w:t>
      </w:r>
      <w:proofErr w:type="spellEnd"/>
      <w:r w:rsidR="000257A1" w:rsidRPr="00DE475B">
        <w:rPr>
          <w:sz w:val="20"/>
          <w:szCs w:val="20"/>
        </w:rPr>
        <w:t xml:space="preserve"> prize packs to the public libraries or </w:t>
      </w:r>
      <w:proofErr w:type="spellStart"/>
      <w:r w:rsidR="000257A1" w:rsidRPr="00DE475B">
        <w:rPr>
          <w:sz w:val="20"/>
          <w:szCs w:val="20"/>
        </w:rPr>
        <w:t>IKCs</w:t>
      </w:r>
      <w:proofErr w:type="spellEnd"/>
      <w:r w:rsidR="000257A1" w:rsidRPr="00DE475B">
        <w:rPr>
          <w:sz w:val="20"/>
          <w:szCs w:val="20"/>
        </w:rPr>
        <w:t xml:space="preserve"> that created the best new </w:t>
      </w:r>
      <w:proofErr w:type="spellStart"/>
      <w:r w:rsidR="000257A1" w:rsidRPr="00DE475B">
        <w:rPr>
          <w:i/>
          <w:iCs/>
          <w:sz w:val="20"/>
          <w:szCs w:val="20"/>
        </w:rPr>
        <w:t>OzoFarm</w:t>
      </w:r>
      <w:proofErr w:type="spellEnd"/>
      <w:r w:rsidR="000257A1" w:rsidRPr="00DE475B">
        <w:rPr>
          <w:sz w:val="20"/>
          <w:szCs w:val="20"/>
        </w:rPr>
        <w:t xml:space="preserve"> game. The competition encourage</w:t>
      </w:r>
      <w:r>
        <w:rPr>
          <w:sz w:val="20"/>
          <w:szCs w:val="20"/>
        </w:rPr>
        <w:t>d</w:t>
      </w:r>
      <w:r w:rsidR="000257A1" w:rsidRPr="00DE475B">
        <w:rPr>
          <w:sz w:val="20"/>
          <w:szCs w:val="20"/>
        </w:rPr>
        <w:t xml:space="preserve"> </w:t>
      </w:r>
      <w:r w:rsidR="000257A1" w:rsidRPr="00DE475B">
        <w:rPr>
          <w:sz w:val="20"/>
          <w:szCs w:val="20"/>
        </w:rPr>
        <w:lastRenderedPageBreak/>
        <w:t>players to consider how the skills they develop now in coding and robotics could affect the future of farming. Prizes were awarded to Ipswich City Libraries and Fraser Coast Regional Libraries.</w:t>
      </w:r>
    </w:p>
    <w:p w:rsidR="000257A1" w:rsidRPr="00DE475B" w:rsidRDefault="00CC407B" w:rsidP="00CC407B">
      <w:pPr>
        <w:pStyle w:val="Default"/>
        <w:spacing w:after="120"/>
        <w:rPr>
          <w:sz w:val="20"/>
          <w:szCs w:val="20"/>
        </w:rPr>
      </w:pPr>
      <w:r w:rsidRPr="00DE475B">
        <w:rPr>
          <w:sz w:val="20"/>
          <w:szCs w:val="20"/>
        </w:rPr>
        <w:t>The Tech Savvy Seniors Queensland (</w:t>
      </w:r>
      <w:proofErr w:type="spellStart"/>
      <w:r w:rsidRPr="00DE475B">
        <w:rPr>
          <w:sz w:val="20"/>
          <w:szCs w:val="20"/>
        </w:rPr>
        <w:t>TSSQ</w:t>
      </w:r>
      <w:proofErr w:type="spellEnd"/>
      <w:r w:rsidRPr="00DE475B">
        <w:rPr>
          <w:sz w:val="20"/>
          <w:szCs w:val="20"/>
        </w:rPr>
        <w:t xml:space="preserve">) program is a partnership between the Queensland Government (led by SLQ) and Telstra, giving seniors (aged 60+) across Queensland the opportunity to develop the skills and confidence to use technology and participate in the digital world. In 2016 </w:t>
      </w:r>
      <w:r w:rsidR="004B4CB6">
        <w:rPr>
          <w:sz w:val="20"/>
          <w:szCs w:val="20"/>
        </w:rPr>
        <w:t xml:space="preserve">a total of </w:t>
      </w:r>
      <w:r w:rsidRPr="00DE475B">
        <w:rPr>
          <w:sz w:val="20"/>
          <w:szCs w:val="20"/>
        </w:rPr>
        <w:t xml:space="preserve">15,278 seniors participated in 2,971 </w:t>
      </w:r>
      <w:proofErr w:type="spellStart"/>
      <w:r w:rsidRPr="00DE475B">
        <w:rPr>
          <w:sz w:val="20"/>
          <w:szCs w:val="20"/>
        </w:rPr>
        <w:t>TSSQ</w:t>
      </w:r>
      <w:proofErr w:type="spellEnd"/>
      <w:r w:rsidRPr="00DE475B">
        <w:rPr>
          <w:sz w:val="20"/>
          <w:szCs w:val="20"/>
        </w:rPr>
        <w:t xml:space="preserve"> training sessions delivered across Queensland. Now in its second year (2017), grant funding of $366,000 ($100,000 from Telstra, $181,000 from SLQ and $85,000 from Department of Communities, Child Safety and Disab</w:t>
      </w:r>
      <w:r w:rsidR="00C6520C">
        <w:rPr>
          <w:sz w:val="20"/>
          <w:szCs w:val="20"/>
        </w:rPr>
        <w:t>ility Services) will enable 30 c</w:t>
      </w:r>
      <w:r w:rsidRPr="00DE475B">
        <w:rPr>
          <w:sz w:val="20"/>
          <w:szCs w:val="20"/>
        </w:rPr>
        <w:t xml:space="preserve">ouncils operating a library service or </w:t>
      </w:r>
      <w:proofErr w:type="spellStart"/>
      <w:r w:rsidRPr="00DE475B">
        <w:rPr>
          <w:sz w:val="20"/>
          <w:szCs w:val="20"/>
        </w:rPr>
        <w:t>IKCs</w:t>
      </w:r>
      <w:proofErr w:type="spellEnd"/>
      <w:r w:rsidRPr="00DE475B">
        <w:rPr>
          <w:sz w:val="20"/>
          <w:szCs w:val="20"/>
        </w:rPr>
        <w:t xml:space="preserve"> to deliver the program. </w:t>
      </w:r>
      <w:r w:rsidR="00CD5122">
        <w:rPr>
          <w:sz w:val="20"/>
          <w:szCs w:val="20"/>
        </w:rPr>
        <w:t>By increasing</w:t>
      </w:r>
      <w:r w:rsidRPr="00DE475B">
        <w:rPr>
          <w:sz w:val="20"/>
          <w:szCs w:val="20"/>
        </w:rPr>
        <w:t xml:space="preserve"> digital inclusion for older Queenslanders, </w:t>
      </w:r>
      <w:r w:rsidR="00CD5122">
        <w:rPr>
          <w:sz w:val="20"/>
          <w:szCs w:val="20"/>
        </w:rPr>
        <w:t>the program aims to reduce social isolation, improve</w:t>
      </w:r>
      <w:r w:rsidRPr="00DE475B">
        <w:rPr>
          <w:sz w:val="20"/>
          <w:szCs w:val="20"/>
        </w:rPr>
        <w:t xml:space="preserve"> access to and knowledge of online government information and services, and </w:t>
      </w:r>
      <w:r w:rsidR="00CD5122">
        <w:rPr>
          <w:sz w:val="20"/>
          <w:szCs w:val="20"/>
        </w:rPr>
        <w:t>reduce</w:t>
      </w:r>
      <w:r w:rsidRPr="00DE475B">
        <w:rPr>
          <w:sz w:val="20"/>
          <w:szCs w:val="20"/>
        </w:rPr>
        <w:t xml:space="preserve"> onl</w:t>
      </w:r>
      <w:r>
        <w:rPr>
          <w:sz w:val="20"/>
          <w:szCs w:val="20"/>
        </w:rPr>
        <w:t>ine fraud and financial abuse.</w:t>
      </w:r>
    </w:p>
    <w:p w:rsidR="00F0696A" w:rsidRPr="00F0696A" w:rsidRDefault="00F0696A" w:rsidP="00F0696A">
      <w:pPr>
        <w:rPr>
          <w:rFonts w:ascii="Arial" w:hAnsi="Arial" w:cs="Arial"/>
          <w:b/>
          <w:sz w:val="20"/>
          <w:szCs w:val="20"/>
        </w:rPr>
      </w:pPr>
      <w:r w:rsidRPr="00F0696A">
        <w:rPr>
          <w:rFonts w:ascii="Arial" w:hAnsi="Arial" w:cs="Arial"/>
          <w:b/>
          <w:sz w:val="20"/>
          <w:szCs w:val="20"/>
        </w:rPr>
        <w:t>Engaging with diverse audiences</w:t>
      </w:r>
    </w:p>
    <w:p w:rsidR="000257A1" w:rsidRPr="001A7D4D" w:rsidRDefault="00B057C7" w:rsidP="00FE3845">
      <w:pPr>
        <w:pStyle w:val="ARText"/>
        <w:tabs>
          <w:tab w:val="left" w:pos="284"/>
          <w:tab w:val="left" w:pos="360"/>
        </w:tabs>
        <w:spacing w:before="0" w:after="120"/>
        <w:rPr>
          <w:spacing w:val="-2"/>
          <w:kern w:val="20"/>
          <w:szCs w:val="20"/>
        </w:rPr>
      </w:pPr>
      <w:r>
        <w:rPr>
          <w:spacing w:val="-2"/>
          <w:kern w:val="20"/>
          <w:szCs w:val="20"/>
        </w:rPr>
        <w:t>I</w:t>
      </w:r>
      <w:r w:rsidR="000257A1" w:rsidRPr="001A7D4D">
        <w:rPr>
          <w:spacing w:val="-2"/>
          <w:kern w:val="20"/>
          <w:szCs w:val="20"/>
        </w:rPr>
        <w:t xml:space="preserve">n collaboration with MDA Ltd (Multicultural Development Australia), Study Queensland and Study Brisbane, </w:t>
      </w:r>
      <w:r>
        <w:rPr>
          <w:spacing w:val="-2"/>
          <w:kern w:val="20"/>
          <w:szCs w:val="20"/>
        </w:rPr>
        <w:t xml:space="preserve">SLQ </w:t>
      </w:r>
      <w:r w:rsidR="00115EE2">
        <w:rPr>
          <w:spacing w:val="-2"/>
          <w:kern w:val="20"/>
          <w:szCs w:val="20"/>
        </w:rPr>
        <w:t>pilot</w:t>
      </w:r>
      <w:r w:rsidR="000257A1" w:rsidRPr="001A7D4D">
        <w:rPr>
          <w:spacing w:val="-2"/>
          <w:kern w:val="20"/>
          <w:szCs w:val="20"/>
        </w:rPr>
        <w:t xml:space="preserve">ed a drop-in centre </w:t>
      </w:r>
      <w:r>
        <w:rPr>
          <w:spacing w:val="-2"/>
          <w:kern w:val="20"/>
          <w:szCs w:val="20"/>
        </w:rPr>
        <w:t xml:space="preserve">at The Edge </w:t>
      </w:r>
      <w:r w:rsidR="000257A1" w:rsidRPr="001A7D4D">
        <w:rPr>
          <w:spacing w:val="-2"/>
          <w:kern w:val="20"/>
          <w:szCs w:val="20"/>
        </w:rPr>
        <w:t xml:space="preserve">for international students in August 2016. Education is one of Australia’s biggest growth exports, and Brisbane is home to more than 75,000 international students from more than 160 different countries. The MDA Brisbane Student Hub is the first of its kind in Queensland, offering free support for international students three afternoons a week. </w:t>
      </w:r>
      <w:r w:rsidR="00E9768B" w:rsidRPr="001A7D4D">
        <w:rPr>
          <w:spacing w:val="-2"/>
          <w:kern w:val="20"/>
          <w:szCs w:val="20"/>
        </w:rPr>
        <w:t>It</w:t>
      </w:r>
      <w:r w:rsidR="000257A1" w:rsidRPr="001A7D4D">
        <w:rPr>
          <w:spacing w:val="-2"/>
          <w:kern w:val="20"/>
          <w:szCs w:val="20"/>
        </w:rPr>
        <w:t xml:space="preserve"> provides information, advice and referrals on healthcare, employment, budget management, accommodation and legal services, </w:t>
      </w:r>
      <w:r w:rsidR="00E9768B" w:rsidRPr="001A7D4D">
        <w:rPr>
          <w:spacing w:val="-2"/>
          <w:kern w:val="20"/>
          <w:szCs w:val="20"/>
        </w:rPr>
        <w:t>and</w:t>
      </w:r>
      <w:r w:rsidR="000257A1" w:rsidRPr="001A7D4D">
        <w:rPr>
          <w:spacing w:val="-2"/>
          <w:kern w:val="20"/>
          <w:szCs w:val="20"/>
        </w:rPr>
        <w:t xml:space="preserve"> </w:t>
      </w:r>
      <w:r w:rsidR="00A9025C" w:rsidRPr="001A7D4D">
        <w:rPr>
          <w:spacing w:val="-2"/>
          <w:kern w:val="20"/>
          <w:szCs w:val="20"/>
        </w:rPr>
        <w:t>connects</w:t>
      </w:r>
      <w:r w:rsidR="000257A1" w:rsidRPr="001A7D4D">
        <w:rPr>
          <w:spacing w:val="-2"/>
          <w:kern w:val="20"/>
          <w:szCs w:val="20"/>
        </w:rPr>
        <w:t xml:space="preserve"> students to local events and activities. In its first eight months the hub helped more than 700 students, </w:t>
      </w:r>
      <w:r w:rsidR="00656DF1">
        <w:rPr>
          <w:spacing w:val="-2"/>
          <w:kern w:val="20"/>
          <w:szCs w:val="20"/>
        </w:rPr>
        <w:t>main</w:t>
      </w:r>
      <w:r w:rsidR="000257A1" w:rsidRPr="001A7D4D">
        <w:rPr>
          <w:spacing w:val="-2"/>
          <w:kern w:val="20"/>
          <w:szCs w:val="20"/>
        </w:rPr>
        <w:t>ly from Chi</w:t>
      </w:r>
      <w:r w:rsidR="0026610E">
        <w:rPr>
          <w:spacing w:val="-2"/>
          <w:kern w:val="20"/>
          <w:szCs w:val="20"/>
        </w:rPr>
        <w:t>na, India, Brazil and Colo</w:t>
      </w:r>
      <w:r w:rsidR="00E9768B" w:rsidRPr="001A7D4D">
        <w:rPr>
          <w:spacing w:val="-2"/>
          <w:kern w:val="20"/>
          <w:szCs w:val="20"/>
        </w:rPr>
        <w:t>mbia.</w:t>
      </w:r>
    </w:p>
    <w:p w:rsidR="00E9768B" w:rsidRPr="00DE475B" w:rsidRDefault="00E9768B" w:rsidP="00FE3845">
      <w:pPr>
        <w:pStyle w:val="ARText"/>
        <w:tabs>
          <w:tab w:val="left" w:pos="284"/>
          <w:tab w:val="left" w:pos="360"/>
        </w:tabs>
        <w:spacing w:before="0" w:after="120"/>
        <w:rPr>
          <w:szCs w:val="20"/>
        </w:rPr>
      </w:pPr>
      <w:r w:rsidRPr="00DE475B">
        <w:rPr>
          <w:szCs w:val="20"/>
          <w:lang w:eastAsia="en-US"/>
        </w:rPr>
        <w:t xml:space="preserve">In 2016 two </w:t>
      </w:r>
      <w:proofErr w:type="spellStart"/>
      <w:r w:rsidRPr="00DE475B">
        <w:rPr>
          <w:szCs w:val="20"/>
          <w:lang w:eastAsia="en-US"/>
        </w:rPr>
        <w:t>QUT</w:t>
      </w:r>
      <w:proofErr w:type="spellEnd"/>
      <w:r w:rsidRPr="00DE475B">
        <w:rPr>
          <w:szCs w:val="20"/>
          <w:lang w:eastAsia="en-US"/>
        </w:rPr>
        <w:t xml:space="preserve"> Master of Social Work students conducted research on engagement and outreach with two targeted culturally and linguistically diverse communities. Focusing on the Indian and Vietnamese communities, the students worked with Logan City Council Libraries as a case study to devise rec</w:t>
      </w:r>
      <w:r w:rsidR="00EF2C94">
        <w:rPr>
          <w:szCs w:val="20"/>
          <w:lang w:eastAsia="en-US"/>
        </w:rPr>
        <w:t>ommendations for outreach plans</w:t>
      </w:r>
      <w:r w:rsidR="00602CC4">
        <w:rPr>
          <w:szCs w:val="20"/>
          <w:lang w:eastAsia="en-US"/>
        </w:rPr>
        <w:t>,</w:t>
      </w:r>
      <w:r w:rsidR="00EF2C94">
        <w:rPr>
          <w:szCs w:val="20"/>
          <w:lang w:eastAsia="en-US"/>
        </w:rPr>
        <w:t xml:space="preserve"> which </w:t>
      </w:r>
      <w:r>
        <w:rPr>
          <w:szCs w:val="20"/>
          <w:lang w:eastAsia="en-US"/>
        </w:rPr>
        <w:t xml:space="preserve">are now available </w:t>
      </w:r>
      <w:r w:rsidR="00EF2C94">
        <w:rPr>
          <w:szCs w:val="20"/>
          <w:lang w:eastAsia="en-US"/>
        </w:rPr>
        <w:t>online</w:t>
      </w:r>
      <w:r>
        <w:rPr>
          <w:szCs w:val="20"/>
          <w:lang w:eastAsia="en-US"/>
        </w:rPr>
        <w:t>.</w:t>
      </w:r>
    </w:p>
    <w:p w:rsidR="000257A1" w:rsidRPr="00B237C3" w:rsidRDefault="000257A1" w:rsidP="00FE3845">
      <w:pPr>
        <w:pStyle w:val="ARText"/>
        <w:tabs>
          <w:tab w:val="left" w:pos="317"/>
        </w:tabs>
        <w:spacing w:before="0" w:after="120"/>
        <w:rPr>
          <w:spacing w:val="-2"/>
          <w:kern w:val="20"/>
          <w:szCs w:val="20"/>
        </w:rPr>
      </w:pPr>
      <w:r w:rsidRPr="00B237C3">
        <w:rPr>
          <w:spacing w:val="-2"/>
          <w:kern w:val="20"/>
          <w:szCs w:val="20"/>
        </w:rPr>
        <w:t xml:space="preserve">In implementing the SLQ Disability Action Plan (DAP) 2016, the organisation continued to improve its services to people with disability, providing an accessible, inclusive and </w:t>
      </w:r>
      <w:r w:rsidRPr="00B237C3">
        <w:rPr>
          <w:spacing w:val="-2"/>
          <w:kern w:val="20"/>
          <w:szCs w:val="20"/>
        </w:rPr>
        <w:lastRenderedPageBreak/>
        <w:t>welcoming place, physically and virtually.  Developed with assistance from an external consultation group, comprising representatives</w:t>
      </w:r>
      <w:r w:rsidR="00B237C3" w:rsidRPr="00B237C3">
        <w:rPr>
          <w:spacing w:val="-2"/>
          <w:kern w:val="20"/>
          <w:szCs w:val="20"/>
        </w:rPr>
        <w:t xml:space="preserve"> </w:t>
      </w:r>
      <w:r w:rsidRPr="00B237C3">
        <w:rPr>
          <w:spacing w:val="-2"/>
          <w:kern w:val="20"/>
          <w:szCs w:val="20"/>
        </w:rPr>
        <w:t xml:space="preserve">from organisations servicing this community, the DAP goals and priorities are aligned with </w:t>
      </w:r>
      <w:proofErr w:type="spellStart"/>
      <w:r w:rsidRPr="00B237C3">
        <w:rPr>
          <w:spacing w:val="-2"/>
          <w:kern w:val="20"/>
          <w:szCs w:val="20"/>
        </w:rPr>
        <w:t>SLQ’s</w:t>
      </w:r>
      <w:proofErr w:type="spellEnd"/>
      <w:r w:rsidRPr="00B237C3">
        <w:rPr>
          <w:spacing w:val="-2"/>
          <w:kern w:val="20"/>
          <w:szCs w:val="20"/>
        </w:rPr>
        <w:t xml:space="preserve"> Strategic Plan </w:t>
      </w:r>
      <w:r w:rsidR="003E3178">
        <w:rPr>
          <w:spacing w:val="-2"/>
          <w:kern w:val="20"/>
          <w:szCs w:val="20"/>
        </w:rPr>
        <w:t>2016–</w:t>
      </w:r>
      <w:r w:rsidRPr="00B237C3">
        <w:rPr>
          <w:spacing w:val="-2"/>
          <w:kern w:val="20"/>
          <w:szCs w:val="20"/>
        </w:rPr>
        <w:t>20, operational priorities and drawn from the external consultation. Specific priorities include: improving assistive/adaptive technology, improved online and onsite access, whole-of-community activities and employing people with a disability.</w:t>
      </w:r>
    </w:p>
    <w:p w:rsidR="000257A1" w:rsidRPr="004B4CB6" w:rsidRDefault="000257A1" w:rsidP="00FE3845">
      <w:pPr>
        <w:pStyle w:val="ARText"/>
        <w:tabs>
          <w:tab w:val="left" w:pos="317"/>
        </w:tabs>
        <w:spacing w:before="0" w:after="120"/>
        <w:rPr>
          <w:spacing w:val="-2"/>
          <w:kern w:val="20"/>
          <w:szCs w:val="20"/>
        </w:rPr>
      </w:pPr>
      <w:r w:rsidRPr="004B4CB6">
        <w:rPr>
          <w:spacing w:val="-2"/>
          <w:kern w:val="20"/>
          <w:szCs w:val="20"/>
        </w:rPr>
        <w:t xml:space="preserve">In November 2016 a number of community groups visited SLQ to help identify areas for improvement in the way SLQ delivered services to people with a disability, and assess the adaptive technology it offered. These groups included </w:t>
      </w:r>
      <w:proofErr w:type="spellStart"/>
      <w:r w:rsidRPr="004B4CB6">
        <w:rPr>
          <w:spacing w:val="-2"/>
          <w:kern w:val="20"/>
          <w:szCs w:val="20"/>
        </w:rPr>
        <w:t>LifeTec</w:t>
      </w:r>
      <w:proofErr w:type="spellEnd"/>
      <w:r w:rsidRPr="004B4CB6">
        <w:rPr>
          <w:spacing w:val="-2"/>
          <w:kern w:val="20"/>
          <w:szCs w:val="20"/>
        </w:rPr>
        <w:t xml:space="preserve">, Vision Australia, CPL, </w:t>
      </w:r>
      <w:proofErr w:type="spellStart"/>
      <w:r w:rsidRPr="004B4CB6">
        <w:rPr>
          <w:spacing w:val="-2"/>
          <w:kern w:val="20"/>
          <w:szCs w:val="20"/>
        </w:rPr>
        <w:t>Multicap</w:t>
      </w:r>
      <w:proofErr w:type="spellEnd"/>
      <w:r w:rsidRPr="004B4CB6">
        <w:rPr>
          <w:spacing w:val="-2"/>
          <w:kern w:val="20"/>
          <w:szCs w:val="20"/>
        </w:rPr>
        <w:t xml:space="preserve">, Deaf Services </w:t>
      </w:r>
      <w:r w:rsidR="004B4CB6" w:rsidRPr="004B4CB6">
        <w:rPr>
          <w:spacing w:val="-2"/>
          <w:kern w:val="20"/>
          <w:szCs w:val="20"/>
        </w:rPr>
        <w:t xml:space="preserve">Queensland </w:t>
      </w:r>
      <w:r w:rsidRPr="004B4CB6">
        <w:rPr>
          <w:spacing w:val="-2"/>
          <w:kern w:val="20"/>
          <w:szCs w:val="20"/>
        </w:rPr>
        <w:t xml:space="preserve">and Uniting Care – Disability Services. The subsequent report informed the purchase of adaptive technology in the 2016–17 financial </w:t>
      </w:r>
      <w:proofErr w:type="gramStart"/>
      <w:r w:rsidRPr="004B4CB6">
        <w:rPr>
          <w:spacing w:val="-2"/>
          <w:kern w:val="20"/>
          <w:szCs w:val="20"/>
        </w:rPr>
        <w:t>year</w:t>
      </w:r>
      <w:proofErr w:type="gramEnd"/>
      <w:r w:rsidRPr="004B4CB6">
        <w:rPr>
          <w:spacing w:val="-2"/>
          <w:kern w:val="20"/>
          <w:szCs w:val="20"/>
        </w:rPr>
        <w:t>, and staff will be trained in its use.</w:t>
      </w:r>
    </w:p>
    <w:p w:rsidR="000257A1" w:rsidRPr="00DE475B" w:rsidRDefault="000257A1" w:rsidP="00FE3845">
      <w:pPr>
        <w:pStyle w:val="ARText"/>
        <w:tabs>
          <w:tab w:val="left" w:pos="317"/>
        </w:tabs>
        <w:spacing w:before="0" w:after="120"/>
        <w:rPr>
          <w:szCs w:val="20"/>
        </w:rPr>
      </w:pPr>
      <w:r w:rsidRPr="00DE475B">
        <w:rPr>
          <w:szCs w:val="20"/>
        </w:rPr>
        <w:t xml:space="preserve">SLQ has also been working with public libraries to improve their resources for working with people with disabilities. For instance, it has created new collection items, such as </w:t>
      </w:r>
      <w:r w:rsidR="009D7366" w:rsidRPr="009D7366">
        <w:rPr>
          <w:szCs w:val="20"/>
        </w:rPr>
        <w:t xml:space="preserve">signed </w:t>
      </w:r>
      <w:r w:rsidR="009D7366">
        <w:rPr>
          <w:szCs w:val="20"/>
        </w:rPr>
        <w:t>E</w:t>
      </w:r>
      <w:r w:rsidRPr="009D7366">
        <w:rPr>
          <w:szCs w:val="20"/>
        </w:rPr>
        <w:t xml:space="preserve">nglish </w:t>
      </w:r>
      <w:r w:rsidRPr="00DE475B">
        <w:rPr>
          <w:szCs w:val="20"/>
        </w:rPr>
        <w:t>storytelling kit</w:t>
      </w:r>
      <w:r w:rsidR="009D7366">
        <w:rPr>
          <w:szCs w:val="20"/>
        </w:rPr>
        <w:t>s</w:t>
      </w:r>
      <w:r w:rsidRPr="00DE475B">
        <w:rPr>
          <w:szCs w:val="20"/>
        </w:rPr>
        <w:t>, that aim to support hearing impaired people.</w:t>
      </w:r>
    </w:p>
    <w:p w:rsidR="00C22C0B" w:rsidRPr="00DE475B" w:rsidRDefault="000257A1" w:rsidP="00FE3845">
      <w:pPr>
        <w:suppressAutoHyphens w:val="0"/>
        <w:autoSpaceDE/>
        <w:spacing w:after="120"/>
        <w:rPr>
          <w:rFonts w:ascii="Arial" w:hAnsi="Arial" w:cs="Arial"/>
          <w:sz w:val="20"/>
          <w:szCs w:val="20"/>
          <w:lang w:eastAsia="en-US"/>
        </w:rPr>
      </w:pPr>
      <w:r w:rsidRPr="00DE475B">
        <w:rPr>
          <w:rFonts w:ascii="Arial" w:hAnsi="Arial" w:cs="Arial"/>
          <w:sz w:val="20"/>
          <w:szCs w:val="20"/>
          <w:lang w:eastAsia="en-US"/>
        </w:rPr>
        <w:t xml:space="preserve">SLQ partnered with Access Arts to deliver two events celebrating the International Day of People with Disability in December 2016. </w:t>
      </w:r>
      <w:r w:rsidRPr="00DE475B">
        <w:rPr>
          <w:rFonts w:ascii="Arial" w:hAnsi="Arial" w:cs="Arial"/>
          <w:i/>
          <w:sz w:val="20"/>
          <w:szCs w:val="20"/>
          <w:lang w:eastAsia="en-US"/>
        </w:rPr>
        <w:t>Inspirational: Art Meets Sport</w:t>
      </w:r>
      <w:r w:rsidRPr="00DE475B">
        <w:rPr>
          <w:rFonts w:ascii="Arial" w:hAnsi="Arial" w:cs="Arial"/>
          <w:sz w:val="20"/>
          <w:szCs w:val="20"/>
          <w:lang w:eastAsia="en-US"/>
        </w:rPr>
        <w:t xml:space="preserve"> brought together leading Queensland artists and sports people who exhibited their skills and talked about their experience in reaching this stage of their career. The full-day </w:t>
      </w:r>
      <w:r w:rsidRPr="00DE475B">
        <w:rPr>
          <w:rFonts w:ascii="Arial" w:hAnsi="Arial" w:cs="Arial"/>
          <w:i/>
          <w:sz w:val="20"/>
          <w:szCs w:val="20"/>
          <w:lang w:eastAsia="en-US"/>
        </w:rPr>
        <w:t>Be Inspired</w:t>
      </w:r>
      <w:r w:rsidRPr="00DE475B">
        <w:rPr>
          <w:rFonts w:ascii="Arial" w:hAnsi="Arial" w:cs="Arial"/>
          <w:sz w:val="20"/>
          <w:szCs w:val="20"/>
          <w:lang w:eastAsia="en-US"/>
        </w:rPr>
        <w:t xml:space="preserve"> event celebrated International Day of People with Disability through theatre, music, song, dance, the spoken word, visual arts and photography. </w:t>
      </w:r>
      <w:r w:rsidR="007715E4">
        <w:rPr>
          <w:rFonts w:ascii="Arial" w:hAnsi="Arial" w:cs="Arial"/>
          <w:sz w:val="20"/>
          <w:szCs w:val="20"/>
          <w:lang w:eastAsia="en-US"/>
        </w:rPr>
        <w:t xml:space="preserve">The </w:t>
      </w:r>
      <w:r w:rsidR="007715E4" w:rsidRPr="007715E4">
        <w:rPr>
          <w:rFonts w:ascii="Arial" w:hAnsi="Arial" w:cs="Arial"/>
          <w:iCs/>
          <w:sz w:val="20"/>
          <w:szCs w:val="20"/>
          <w:lang w:eastAsia="en-US"/>
        </w:rPr>
        <w:t>School of Hard Knocks Absolutely Everybody Choir</w:t>
      </w:r>
      <w:r w:rsidR="007715E4" w:rsidRPr="00DE475B">
        <w:rPr>
          <w:rFonts w:ascii="Arial" w:hAnsi="Arial" w:cs="Arial"/>
          <w:sz w:val="20"/>
          <w:szCs w:val="20"/>
          <w:lang w:eastAsia="en-US"/>
        </w:rPr>
        <w:t xml:space="preserve"> </w:t>
      </w:r>
      <w:r w:rsidRPr="00DE475B">
        <w:rPr>
          <w:rFonts w:ascii="Arial" w:hAnsi="Arial" w:cs="Arial"/>
          <w:sz w:val="20"/>
          <w:szCs w:val="20"/>
          <w:lang w:eastAsia="en-US"/>
        </w:rPr>
        <w:t>performed a</w:t>
      </w:r>
      <w:r w:rsidR="007715E4">
        <w:rPr>
          <w:rFonts w:ascii="Arial" w:hAnsi="Arial" w:cs="Arial"/>
          <w:sz w:val="20"/>
          <w:szCs w:val="20"/>
          <w:lang w:eastAsia="en-US"/>
        </w:rPr>
        <w:t>t</w:t>
      </w:r>
      <w:r w:rsidRPr="00DE475B">
        <w:rPr>
          <w:rFonts w:ascii="Arial" w:hAnsi="Arial" w:cs="Arial"/>
          <w:sz w:val="20"/>
          <w:szCs w:val="20"/>
          <w:lang w:eastAsia="en-US"/>
        </w:rPr>
        <w:t xml:space="preserve"> the event. A partnership with School of Hard Knocks delivered </w:t>
      </w:r>
      <w:r w:rsidRPr="00DE475B">
        <w:rPr>
          <w:rFonts w:ascii="Arial" w:hAnsi="Arial" w:cs="Arial"/>
          <w:i/>
          <w:sz w:val="20"/>
          <w:szCs w:val="20"/>
          <w:lang w:eastAsia="en-US"/>
        </w:rPr>
        <w:t>Word on the Street</w:t>
      </w:r>
      <w:r w:rsidRPr="00DE475B">
        <w:rPr>
          <w:rFonts w:ascii="Arial" w:hAnsi="Arial" w:cs="Arial"/>
          <w:sz w:val="20"/>
          <w:szCs w:val="20"/>
          <w:lang w:eastAsia="en-US"/>
        </w:rPr>
        <w:t xml:space="preserve">, a creative writing project working predominantly with mental health service </w:t>
      </w:r>
      <w:r w:rsidR="005B7169">
        <w:rPr>
          <w:rFonts w:ascii="Arial" w:hAnsi="Arial" w:cs="Arial"/>
          <w:sz w:val="20"/>
          <w:szCs w:val="20"/>
          <w:lang w:eastAsia="en-US"/>
        </w:rPr>
        <w:t>client</w:t>
      </w:r>
      <w:r w:rsidRPr="00DE475B">
        <w:rPr>
          <w:rFonts w:ascii="Arial" w:hAnsi="Arial" w:cs="Arial"/>
          <w:sz w:val="20"/>
          <w:szCs w:val="20"/>
          <w:lang w:eastAsia="en-US"/>
        </w:rPr>
        <w:t xml:space="preserve">s. </w:t>
      </w:r>
    </w:p>
    <w:p w:rsidR="00C22C0B" w:rsidRDefault="003E2C5C" w:rsidP="00E91EF4">
      <w:pPr>
        <w:pStyle w:val="ARheading3"/>
        <w:tabs>
          <w:tab w:val="left" w:pos="851"/>
        </w:tabs>
        <w:spacing w:after="120"/>
        <w:rPr>
          <w:color w:val="808080"/>
        </w:rPr>
      </w:pPr>
      <w:r w:rsidRPr="00E91EF4">
        <w:rPr>
          <w:color w:val="808080"/>
        </w:rPr>
        <w:t>Increase free access to digital content</w:t>
      </w:r>
    </w:p>
    <w:p w:rsidR="00E91EF4" w:rsidRPr="00E91EF4" w:rsidRDefault="00E91EF4" w:rsidP="00E91EF4">
      <w:pPr>
        <w:rPr>
          <w:rFonts w:ascii="Arial" w:hAnsi="Arial" w:cs="Arial"/>
          <w:b/>
          <w:sz w:val="20"/>
          <w:szCs w:val="20"/>
        </w:rPr>
      </w:pPr>
      <w:r w:rsidRPr="00E91EF4">
        <w:rPr>
          <w:rFonts w:ascii="Arial" w:hAnsi="Arial" w:cs="Arial"/>
          <w:b/>
          <w:sz w:val="20"/>
          <w:szCs w:val="20"/>
        </w:rPr>
        <w:t>Open data</w:t>
      </w:r>
    </w:p>
    <w:p w:rsidR="000257A1" w:rsidRPr="00DE475B" w:rsidRDefault="000257A1" w:rsidP="00FE3845">
      <w:pPr>
        <w:pStyle w:val="ARText"/>
        <w:tabs>
          <w:tab w:val="left" w:pos="284"/>
          <w:tab w:val="left" w:pos="360"/>
        </w:tabs>
        <w:spacing w:before="0" w:after="120"/>
        <w:rPr>
          <w:iCs/>
          <w:szCs w:val="20"/>
        </w:rPr>
      </w:pPr>
      <w:r w:rsidRPr="00DE475B">
        <w:rPr>
          <w:iCs/>
          <w:szCs w:val="20"/>
        </w:rPr>
        <w:t>SLQ is committed to championing the release and creative use of open data. As part of increasing awareness of open data, SLQ invited the Open Data Institute Queensland to deliver two talks in the Digital Futures series, outlining how individuals and businesses could unlock the value of open data.</w:t>
      </w:r>
    </w:p>
    <w:p w:rsidR="000257A1" w:rsidRDefault="000257A1" w:rsidP="00FE3845">
      <w:pPr>
        <w:pStyle w:val="ARText"/>
        <w:tabs>
          <w:tab w:val="left" w:pos="284"/>
          <w:tab w:val="left" w:pos="360"/>
        </w:tabs>
        <w:spacing w:before="0" w:after="120"/>
        <w:rPr>
          <w:spacing w:val="-2"/>
          <w:kern w:val="20"/>
          <w:szCs w:val="20"/>
        </w:rPr>
      </w:pPr>
      <w:r w:rsidRPr="004A58F7">
        <w:rPr>
          <w:iCs/>
          <w:spacing w:val="-2"/>
          <w:kern w:val="20"/>
          <w:szCs w:val="20"/>
        </w:rPr>
        <w:t xml:space="preserve">In </w:t>
      </w:r>
      <w:r w:rsidR="00835549" w:rsidRPr="004A58F7">
        <w:rPr>
          <w:iCs/>
          <w:spacing w:val="-2"/>
          <w:kern w:val="20"/>
          <w:szCs w:val="20"/>
        </w:rPr>
        <w:t xml:space="preserve">2016–17 there were 183 downloads of </w:t>
      </w:r>
      <w:r w:rsidR="00E0022C">
        <w:rPr>
          <w:iCs/>
          <w:spacing w:val="-2"/>
          <w:kern w:val="20"/>
          <w:szCs w:val="20"/>
        </w:rPr>
        <w:t xml:space="preserve">SLQ </w:t>
      </w:r>
      <w:r w:rsidR="00835549" w:rsidRPr="004A58F7">
        <w:rPr>
          <w:iCs/>
          <w:spacing w:val="-2"/>
          <w:kern w:val="20"/>
          <w:szCs w:val="20"/>
        </w:rPr>
        <w:t xml:space="preserve">open datasets </w:t>
      </w:r>
      <w:r w:rsidRPr="004A58F7">
        <w:rPr>
          <w:iCs/>
          <w:spacing w:val="-2"/>
          <w:kern w:val="20"/>
          <w:szCs w:val="20"/>
        </w:rPr>
        <w:t xml:space="preserve">through the </w:t>
      </w:r>
      <w:r w:rsidR="00835549" w:rsidRPr="004A58F7">
        <w:rPr>
          <w:iCs/>
          <w:spacing w:val="-2"/>
          <w:kern w:val="20"/>
          <w:szCs w:val="20"/>
        </w:rPr>
        <w:t xml:space="preserve">Australian </w:t>
      </w:r>
      <w:r w:rsidRPr="004A58F7">
        <w:rPr>
          <w:iCs/>
          <w:spacing w:val="-2"/>
          <w:kern w:val="20"/>
          <w:szCs w:val="20"/>
        </w:rPr>
        <w:lastRenderedPageBreak/>
        <w:t xml:space="preserve">Government Open Data Portal. The most popular dataset was </w:t>
      </w:r>
      <w:r w:rsidRPr="004A58F7">
        <w:rPr>
          <w:i/>
          <w:iCs/>
          <w:spacing w:val="-2"/>
          <w:kern w:val="20"/>
          <w:szCs w:val="20"/>
        </w:rPr>
        <w:t>The Queenslander</w:t>
      </w:r>
      <w:r w:rsidRPr="004A58F7">
        <w:rPr>
          <w:iCs/>
          <w:spacing w:val="-2"/>
          <w:kern w:val="20"/>
          <w:szCs w:val="20"/>
        </w:rPr>
        <w:t xml:space="preserve"> (30,000 port</w:t>
      </w:r>
      <w:r w:rsidR="00D86EE7" w:rsidRPr="004A58F7">
        <w:rPr>
          <w:iCs/>
          <w:spacing w:val="-2"/>
          <w:kern w:val="20"/>
          <w:szCs w:val="20"/>
        </w:rPr>
        <w:t xml:space="preserve">raits with </w:t>
      </w:r>
      <w:r w:rsidR="00835549" w:rsidRPr="004A58F7">
        <w:rPr>
          <w:iCs/>
          <w:spacing w:val="-2"/>
          <w:kern w:val="20"/>
          <w:szCs w:val="20"/>
        </w:rPr>
        <w:t xml:space="preserve">55 </w:t>
      </w:r>
      <w:proofErr w:type="gramStart"/>
      <w:r w:rsidR="00D86EE7" w:rsidRPr="004A58F7">
        <w:rPr>
          <w:iCs/>
          <w:spacing w:val="-2"/>
          <w:kern w:val="20"/>
          <w:szCs w:val="20"/>
        </w:rPr>
        <w:t>downloads</w:t>
      </w:r>
      <w:proofErr w:type="gramEnd"/>
      <w:r w:rsidR="00D86EE7" w:rsidRPr="004A58F7">
        <w:rPr>
          <w:iCs/>
          <w:spacing w:val="-2"/>
          <w:kern w:val="20"/>
          <w:szCs w:val="20"/>
        </w:rPr>
        <w:t>).</w:t>
      </w:r>
      <w:r w:rsidRPr="004A58F7">
        <w:rPr>
          <w:iCs/>
          <w:spacing w:val="-2"/>
          <w:kern w:val="20"/>
          <w:szCs w:val="20"/>
        </w:rPr>
        <w:t xml:space="preserve"> First World War datasets (portraits, catalogue records, photographs) account</w:t>
      </w:r>
      <w:r w:rsidR="00F117F4">
        <w:rPr>
          <w:iCs/>
          <w:spacing w:val="-2"/>
          <w:kern w:val="20"/>
          <w:szCs w:val="20"/>
        </w:rPr>
        <w:t>ed</w:t>
      </w:r>
      <w:r w:rsidRPr="004A58F7">
        <w:rPr>
          <w:iCs/>
          <w:spacing w:val="-2"/>
          <w:kern w:val="20"/>
          <w:szCs w:val="20"/>
        </w:rPr>
        <w:t xml:space="preserve"> for 47% of downloads, demonstrating the strong open data outcomes achieved through the </w:t>
      </w:r>
      <w:r w:rsidRPr="006E031A">
        <w:rPr>
          <w:i/>
          <w:iCs/>
          <w:spacing w:val="-2"/>
          <w:kern w:val="20"/>
          <w:szCs w:val="20"/>
        </w:rPr>
        <w:t>Q ANZAC 100</w:t>
      </w:r>
      <w:r w:rsidRPr="004A58F7">
        <w:rPr>
          <w:iCs/>
          <w:spacing w:val="-2"/>
          <w:kern w:val="20"/>
          <w:szCs w:val="20"/>
        </w:rPr>
        <w:t xml:space="preserve"> project (page </w:t>
      </w:r>
      <w:r w:rsidR="004A58F7" w:rsidRPr="004A58F7">
        <w:rPr>
          <w:iCs/>
          <w:spacing w:val="-2"/>
          <w:kern w:val="20"/>
          <w:szCs w:val="20"/>
        </w:rPr>
        <w:t>2</w:t>
      </w:r>
      <w:r w:rsidR="007B5815">
        <w:rPr>
          <w:iCs/>
          <w:spacing w:val="-2"/>
          <w:kern w:val="20"/>
          <w:szCs w:val="20"/>
        </w:rPr>
        <w:t>5</w:t>
      </w:r>
      <w:r w:rsidRPr="004A58F7">
        <w:rPr>
          <w:iCs/>
          <w:spacing w:val="-2"/>
          <w:kern w:val="20"/>
          <w:szCs w:val="20"/>
        </w:rPr>
        <w:t xml:space="preserve">). </w:t>
      </w:r>
      <w:r w:rsidRPr="004A58F7">
        <w:rPr>
          <w:spacing w:val="-2"/>
          <w:kern w:val="20"/>
          <w:szCs w:val="20"/>
        </w:rPr>
        <w:t>Open dat</w:t>
      </w:r>
      <w:r w:rsidR="00D86EE7" w:rsidRPr="004A58F7">
        <w:rPr>
          <w:spacing w:val="-2"/>
          <w:kern w:val="20"/>
          <w:szCs w:val="20"/>
        </w:rPr>
        <w:t xml:space="preserve">a has also been used by third party </w:t>
      </w:r>
      <w:r w:rsidRPr="004A58F7">
        <w:rPr>
          <w:spacing w:val="-2"/>
          <w:kern w:val="20"/>
          <w:szCs w:val="20"/>
        </w:rPr>
        <w:t xml:space="preserve">apps (page </w:t>
      </w:r>
      <w:r w:rsidR="004A58F7" w:rsidRPr="004A58F7">
        <w:rPr>
          <w:spacing w:val="-2"/>
          <w:kern w:val="20"/>
          <w:szCs w:val="20"/>
        </w:rPr>
        <w:t>23</w:t>
      </w:r>
      <w:r w:rsidRPr="004A58F7">
        <w:rPr>
          <w:spacing w:val="-2"/>
          <w:kern w:val="20"/>
          <w:szCs w:val="20"/>
        </w:rPr>
        <w:t>).</w:t>
      </w:r>
    </w:p>
    <w:p w:rsidR="00E91EF4" w:rsidRPr="00E91EF4" w:rsidRDefault="00E91EF4" w:rsidP="00E91EF4">
      <w:pPr>
        <w:rPr>
          <w:rFonts w:ascii="Arial" w:hAnsi="Arial" w:cs="Arial"/>
          <w:b/>
          <w:sz w:val="20"/>
          <w:szCs w:val="20"/>
        </w:rPr>
      </w:pPr>
      <w:r w:rsidRPr="00E91EF4">
        <w:rPr>
          <w:rFonts w:ascii="Arial" w:hAnsi="Arial" w:cs="Arial"/>
          <w:b/>
          <w:sz w:val="20"/>
          <w:szCs w:val="20"/>
        </w:rPr>
        <w:t>Content strategy</w:t>
      </w:r>
    </w:p>
    <w:p w:rsidR="000257A1" w:rsidRDefault="000257A1" w:rsidP="00FE3845">
      <w:pPr>
        <w:pStyle w:val="ARText"/>
        <w:tabs>
          <w:tab w:val="left" w:pos="284"/>
          <w:tab w:val="left" w:pos="360"/>
        </w:tabs>
        <w:spacing w:before="0" w:after="120"/>
        <w:rPr>
          <w:kern w:val="20"/>
          <w:szCs w:val="20"/>
        </w:rPr>
      </w:pPr>
      <w:r w:rsidRPr="00F117F4">
        <w:rPr>
          <w:kern w:val="20"/>
          <w:szCs w:val="20"/>
        </w:rPr>
        <w:t xml:space="preserve">The </w:t>
      </w:r>
      <w:r w:rsidR="00F117F4" w:rsidRPr="00F117F4">
        <w:rPr>
          <w:kern w:val="20"/>
          <w:szCs w:val="20"/>
        </w:rPr>
        <w:t xml:space="preserve">Library Board approved the </w:t>
      </w:r>
      <w:r w:rsidRPr="00F117F4">
        <w:rPr>
          <w:kern w:val="20"/>
          <w:szCs w:val="20"/>
        </w:rPr>
        <w:t xml:space="preserve">new SLQ Content Strategy in April 2017. This Content Strategy is a high-level vision that provides a </w:t>
      </w:r>
      <w:r w:rsidR="00BD007C" w:rsidRPr="00F117F4">
        <w:rPr>
          <w:kern w:val="20"/>
          <w:szCs w:val="20"/>
        </w:rPr>
        <w:t>consistent</w:t>
      </w:r>
      <w:r w:rsidRPr="00F117F4">
        <w:rPr>
          <w:kern w:val="20"/>
          <w:szCs w:val="20"/>
        </w:rPr>
        <w:t xml:space="preserve"> approach to all of </w:t>
      </w:r>
      <w:proofErr w:type="spellStart"/>
      <w:r w:rsidRPr="00F117F4">
        <w:rPr>
          <w:kern w:val="20"/>
          <w:szCs w:val="20"/>
        </w:rPr>
        <w:t>SLQ’s</w:t>
      </w:r>
      <w:proofErr w:type="spellEnd"/>
      <w:r w:rsidRPr="00F117F4">
        <w:rPr>
          <w:kern w:val="20"/>
          <w:szCs w:val="20"/>
        </w:rPr>
        <w:t xml:space="preserve"> collection activities. It guides </w:t>
      </w:r>
      <w:proofErr w:type="spellStart"/>
      <w:r w:rsidRPr="00F117F4">
        <w:rPr>
          <w:kern w:val="20"/>
          <w:szCs w:val="20"/>
        </w:rPr>
        <w:t>SLQ’s</w:t>
      </w:r>
      <w:proofErr w:type="spellEnd"/>
      <w:r w:rsidRPr="00F117F4">
        <w:rPr>
          <w:kern w:val="20"/>
          <w:szCs w:val="20"/>
        </w:rPr>
        <w:t xml:space="preserve"> collection development, management and engagement to ensure the organisation is able to provide the content </w:t>
      </w:r>
      <w:r w:rsidR="003A2F38" w:rsidRPr="00F117F4">
        <w:rPr>
          <w:kern w:val="20"/>
          <w:szCs w:val="20"/>
        </w:rPr>
        <w:t xml:space="preserve">people </w:t>
      </w:r>
      <w:r w:rsidRPr="00F117F4">
        <w:rPr>
          <w:kern w:val="20"/>
          <w:szCs w:val="20"/>
        </w:rPr>
        <w:t>need now and in the future. Guidelines are now being developed to guide implementation by providing clear</w:t>
      </w:r>
      <w:r w:rsidR="007B5815">
        <w:rPr>
          <w:kern w:val="20"/>
          <w:szCs w:val="20"/>
        </w:rPr>
        <w:t xml:space="preserve"> direction to staff on decision </w:t>
      </w:r>
      <w:r w:rsidRPr="00F117F4">
        <w:rPr>
          <w:kern w:val="20"/>
          <w:szCs w:val="20"/>
        </w:rPr>
        <w:t>making in regard to content add</w:t>
      </w:r>
      <w:r w:rsidR="00F117F4" w:rsidRPr="00F117F4">
        <w:rPr>
          <w:kern w:val="20"/>
          <w:szCs w:val="20"/>
        </w:rPr>
        <w:t>ed</w:t>
      </w:r>
      <w:r w:rsidRPr="00F117F4">
        <w:rPr>
          <w:kern w:val="20"/>
          <w:szCs w:val="20"/>
        </w:rPr>
        <w:t xml:space="preserve"> to the collection. These </w:t>
      </w:r>
      <w:r w:rsidR="00F117F4" w:rsidRPr="00F117F4">
        <w:rPr>
          <w:kern w:val="20"/>
          <w:szCs w:val="20"/>
        </w:rPr>
        <w:t xml:space="preserve">guidelines </w:t>
      </w:r>
      <w:r w:rsidRPr="00F117F4">
        <w:rPr>
          <w:kern w:val="20"/>
          <w:szCs w:val="20"/>
        </w:rPr>
        <w:t>will ensure the content collected continues to fulfil our obligations to preserve Queensland’s documentary heritage, while addressing the emerging challen</w:t>
      </w:r>
      <w:r w:rsidR="00F117F4" w:rsidRPr="00F117F4">
        <w:rPr>
          <w:kern w:val="20"/>
          <w:szCs w:val="20"/>
        </w:rPr>
        <w:t>ges in an increasingly digital</w:t>
      </w:r>
      <w:r w:rsidRPr="00F117F4">
        <w:rPr>
          <w:kern w:val="20"/>
          <w:szCs w:val="20"/>
        </w:rPr>
        <w:t xml:space="preserve"> world.</w:t>
      </w:r>
    </w:p>
    <w:p w:rsidR="00954086" w:rsidRPr="00954086" w:rsidRDefault="00954086" w:rsidP="00954086">
      <w:pPr>
        <w:rPr>
          <w:rFonts w:ascii="Arial" w:hAnsi="Arial" w:cs="Arial"/>
          <w:b/>
          <w:sz w:val="20"/>
          <w:szCs w:val="20"/>
        </w:rPr>
      </w:pPr>
      <w:r w:rsidRPr="00954086">
        <w:rPr>
          <w:rFonts w:ascii="Arial" w:hAnsi="Arial" w:cs="Arial"/>
          <w:b/>
          <w:sz w:val="20"/>
          <w:szCs w:val="20"/>
        </w:rPr>
        <w:t>Priority digitisation projects</w:t>
      </w:r>
    </w:p>
    <w:p w:rsidR="000257A1" w:rsidRDefault="000257A1" w:rsidP="00FE3845">
      <w:pPr>
        <w:pStyle w:val="ARText"/>
        <w:tabs>
          <w:tab w:val="left" w:pos="284"/>
          <w:tab w:val="left" w:pos="360"/>
        </w:tabs>
        <w:spacing w:before="0" w:after="120"/>
        <w:rPr>
          <w:szCs w:val="20"/>
        </w:rPr>
      </w:pPr>
      <w:r w:rsidRPr="00DE475B">
        <w:rPr>
          <w:iCs/>
          <w:szCs w:val="20"/>
        </w:rPr>
        <w:t xml:space="preserve">SLQ launched the </w:t>
      </w:r>
      <w:r w:rsidRPr="00DE475B">
        <w:rPr>
          <w:i/>
          <w:iCs/>
          <w:szCs w:val="20"/>
        </w:rPr>
        <w:t>Community Heritage Digitisation Offer</w:t>
      </w:r>
      <w:r w:rsidRPr="00DE475B">
        <w:rPr>
          <w:szCs w:val="20"/>
        </w:rPr>
        <w:t xml:space="preserve"> in 2016 to build the documentary heritage of Queensland. The offer allows authors of publications </w:t>
      </w:r>
      <w:r w:rsidR="00D50281">
        <w:rPr>
          <w:szCs w:val="20"/>
        </w:rPr>
        <w:t>that</w:t>
      </w:r>
      <w:r w:rsidRPr="00DE475B">
        <w:rPr>
          <w:szCs w:val="20"/>
        </w:rPr>
        <w:t xml:space="preserve"> relate substantially to the history of our state — and to its cultural, social, economic, political or scientific development — to digitise their work which is of interest to the wider community. Th</w:t>
      </w:r>
      <w:r w:rsidR="007B5815">
        <w:rPr>
          <w:szCs w:val="20"/>
        </w:rPr>
        <w:t xml:space="preserve">ese publications, typically out </w:t>
      </w:r>
      <w:r w:rsidRPr="00DE475B">
        <w:rPr>
          <w:szCs w:val="20"/>
        </w:rPr>
        <w:t>of</w:t>
      </w:r>
      <w:r w:rsidR="007B5815">
        <w:rPr>
          <w:szCs w:val="20"/>
        </w:rPr>
        <w:t xml:space="preserve"> </w:t>
      </w:r>
      <w:r w:rsidRPr="00DE475B">
        <w:rPr>
          <w:szCs w:val="20"/>
        </w:rPr>
        <w:t xml:space="preserve">print or of limited distribution, are made discoverable through </w:t>
      </w:r>
      <w:proofErr w:type="spellStart"/>
      <w:r w:rsidRPr="00DE475B">
        <w:rPr>
          <w:szCs w:val="20"/>
        </w:rPr>
        <w:t>SLQ’s</w:t>
      </w:r>
      <w:proofErr w:type="spellEnd"/>
      <w:r w:rsidRPr="00DE475B">
        <w:rPr>
          <w:szCs w:val="20"/>
        </w:rPr>
        <w:t xml:space="preserve"> online catalogue, One Search, and through the Trove database</w:t>
      </w:r>
      <w:r w:rsidR="007B5815">
        <w:rPr>
          <w:szCs w:val="20"/>
        </w:rPr>
        <w:t>,</w:t>
      </w:r>
      <w:r w:rsidRPr="00DE475B">
        <w:rPr>
          <w:szCs w:val="20"/>
        </w:rPr>
        <w:t xml:space="preserve"> whose contents are harvested by Google. Local histories and studies constitute a significant part of the John Oxley Library’s collection. They are generally unique publications based on original research, and are often the only work, or one of very few, written on a community or related topic. This program allows Queensland stories to be</w:t>
      </w:r>
      <w:r w:rsidR="000076D6">
        <w:rPr>
          <w:szCs w:val="20"/>
        </w:rPr>
        <w:t xml:space="preserve"> shared more easily across the S</w:t>
      </w:r>
      <w:r w:rsidRPr="00DE475B">
        <w:rPr>
          <w:szCs w:val="20"/>
        </w:rPr>
        <w:t xml:space="preserve">tate, increasing access to our community heritage collections. </w:t>
      </w:r>
    </w:p>
    <w:p w:rsidR="00C9213E" w:rsidRPr="00C9213E" w:rsidRDefault="00C9213E" w:rsidP="00C9213E">
      <w:pPr>
        <w:rPr>
          <w:rFonts w:ascii="Arial" w:hAnsi="Arial" w:cs="Arial"/>
          <w:b/>
          <w:sz w:val="20"/>
          <w:szCs w:val="20"/>
        </w:rPr>
      </w:pPr>
      <w:r w:rsidRPr="00C9213E">
        <w:rPr>
          <w:rFonts w:ascii="Arial" w:hAnsi="Arial" w:cs="Arial"/>
          <w:b/>
          <w:sz w:val="20"/>
          <w:szCs w:val="20"/>
        </w:rPr>
        <w:t xml:space="preserve">Improve digital access </w:t>
      </w:r>
      <w:r>
        <w:rPr>
          <w:rFonts w:ascii="Arial" w:hAnsi="Arial" w:cs="Arial"/>
          <w:b/>
          <w:sz w:val="20"/>
          <w:szCs w:val="20"/>
        </w:rPr>
        <w:t>in</w:t>
      </w:r>
      <w:r w:rsidRPr="00C9213E">
        <w:rPr>
          <w:rFonts w:ascii="Arial" w:hAnsi="Arial" w:cs="Arial"/>
          <w:b/>
          <w:sz w:val="20"/>
          <w:szCs w:val="20"/>
        </w:rPr>
        <w:t xml:space="preserve"> public libraries</w:t>
      </w:r>
    </w:p>
    <w:p w:rsidR="000257A1" w:rsidRPr="00DE475B" w:rsidRDefault="000257A1" w:rsidP="00FE3845">
      <w:pPr>
        <w:pStyle w:val="ARText"/>
        <w:tabs>
          <w:tab w:val="left" w:pos="284"/>
          <w:tab w:val="left" w:pos="360"/>
        </w:tabs>
        <w:spacing w:before="0" w:after="120"/>
        <w:rPr>
          <w:szCs w:val="20"/>
        </w:rPr>
      </w:pPr>
      <w:r w:rsidRPr="00DE475B">
        <w:rPr>
          <w:szCs w:val="20"/>
        </w:rPr>
        <w:t xml:space="preserve">As digital content becomes more readily accessible through </w:t>
      </w:r>
      <w:proofErr w:type="spellStart"/>
      <w:r w:rsidRPr="00DE475B">
        <w:rPr>
          <w:szCs w:val="20"/>
        </w:rPr>
        <w:t>SLQ’s</w:t>
      </w:r>
      <w:proofErr w:type="spellEnd"/>
      <w:r w:rsidRPr="00DE475B">
        <w:rPr>
          <w:szCs w:val="20"/>
        </w:rPr>
        <w:t xml:space="preserve"> digital offer and online, the organisation aims to ensure libraries in rural and r</w:t>
      </w:r>
      <w:r w:rsidR="00F92BE1">
        <w:rPr>
          <w:szCs w:val="20"/>
        </w:rPr>
        <w:t>emote</w:t>
      </w:r>
      <w:r w:rsidRPr="00DE475B">
        <w:rPr>
          <w:szCs w:val="20"/>
        </w:rPr>
        <w:t xml:space="preserve"> Queensland have the means to access this content and offer it to their clients. Public libraries can apply for grants through the Online Public Access in Libraries (OPAL) Program, funded </w:t>
      </w:r>
      <w:r w:rsidRPr="00DE475B">
        <w:rPr>
          <w:szCs w:val="20"/>
        </w:rPr>
        <w:lastRenderedPageBreak/>
        <w:t xml:space="preserve">by the Queensland Government and managed by SLQ. In 2016–17, $181,000 OPAL funding </w:t>
      </w:r>
      <w:r w:rsidR="00F92BE1">
        <w:rPr>
          <w:szCs w:val="20"/>
        </w:rPr>
        <w:t xml:space="preserve">was allocated </w:t>
      </w:r>
      <w:r w:rsidRPr="00DE475B">
        <w:rPr>
          <w:szCs w:val="20"/>
        </w:rPr>
        <w:t xml:space="preserve">to </w:t>
      </w:r>
      <w:proofErr w:type="spellStart"/>
      <w:r w:rsidRPr="00DE475B">
        <w:rPr>
          <w:szCs w:val="20"/>
        </w:rPr>
        <w:t>TSSQ</w:t>
      </w:r>
      <w:proofErr w:type="spellEnd"/>
      <w:r w:rsidRPr="00DE475B">
        <w:rPr>
          <w:szCs w:val="20"/>
        </w:rPr>
        <w:t xml:space="preserve"> (p</w:t>
      </w:r>
      <w:r w:rsidR="009360B2">
        <w:rPr>
          <w:szCs w:val="20"/>
        </w:rPr>
        <w:t xml:space="preserve">age </w:t>
      </w:r>
      <w:r w:rsidR="00F92BE1" w:rsidRPr="005147B1">
        <w:rPr>
          <w:szCs w:val="20"/>
        </w:rPr>
        <w:t>21</w:t>
      </w:r>
      <w:r w:rsidRPr="005147B1">
        <w:rPr>
          <w:szCs w:val="20"/>
        </w:rPr>
        <w:t>)</w:t>
      </w:r>
      <w:r w:rsidRPr="00DE475B">
        <w:rPr>
          <w:szCs w:val="20"/>
        </w:rPr>
        <w:t xml:space="preserve"> Grant round and an additional $50,000 of OPAL funding </w:t>
      </w:r>
      <w:r w:rsidR="004D1B93">
        <w:rPr>
          <w:szCs w:val="20"/>
        </w:rPr>
        <w:t>was allocated to</w:t>
      </w:r>
      <w:r w:rsidRPr="00DE475B">
        <w:rPr>
          <w:szCs w:val="20"/>
        </w:rPr>
        <w:t xml:space="preserve"> the professional development of public library staff to develop their skills to deliver the </w:t>
      </w:r>
      <w:proofErr w:type="spellStart"/>
      <w:r w:rsidRPr="00DE475B">
        <w:rPr>
          <w:szCs w:val="20"/>
        </w:rPr>
        <w:t>TSSQ</w:t>
      </w:r>
      <w:proofErr w:type="spellEnd"/>
      <w:r w:rsidRPr="00DE475B">
        <w:rPr>
          <w:szCs w:val="20"/>
        </w:rPr>
        <w:t xml:space="preserve"> program in their local communities.</w:t>
      </w:r>
    </w:p>
    <w:p w:rsidR="000257A1" w:rsidRPr="00DE475B" w:rsidRDefault="000257A1" w:rsidP="00FE3845">
      <w:pPr>
        <w:spacing w:after="120"/>
        <w:rPr>
          <w:rFonts w:ascii="Arial" w:hAnsi="Arial" w:cs="Arial"/>
          <w:sz w:val="20"/>
          <w:szCs w:val="20"/>
        </w:rPr>
      </w:pPr>
      <w:r w:rsidRPr="00DE475B">
        <w:rPr>
          <w:rFonts w:ascii="Arial" w:hAnsi="Arial" w:cs="Arial"/>
          <w:sz w:val="20"/>
          <w:szCs w:val="20"/>
        </w:rPr>
        <w:t xml:space="preserve">A pool of $400,000 was also made available through the OPAL and VISION 2017 Programs, allowing public libraries and </w:t>
      </w:r>
      <w:proofErr w:type="spellStart"/>
      <w:r w:rsidRPr="00DE475B">
        <w:rPr>
          <w:rFonts w:ascii="Arial" w:hAnsi="Arial" w:cs="Arial"/>
          <w:sz w:val="20"/>
          <w:szCs w:val="20"/>
        </w:rPr>
        <w:t>IKCs</w:t>
      </w:r>
      <w:proofErr w:type="spellEnd"/>
      <w:r w:rsidRPr="00DE475B">
        <w:rPr>
          <w:rFonts w:ascii="Arial" w:hAnsi="Arial" w:cs="Arial"/>
          <w:sz w:val="20"/>
          <w:szCs w:val="20"/>
        </w:rPr>
        <w:t xml:space="preserve"> to apply for up to $25,000 to deliver strategic initiatives. Projects reflect one or more of the themes outlined in </w:t>
      </w:r>
      <w:r w:rsidRPr="00DE475B">
        <w:rPr>
          <w:rFonts w:ascii="Arial" w:hAnsi="Arial" w:cs="Arial"/>
          <w:i/>
          <w:sz w:val="20"/>
          <w:szCs w:val="20"/>
        </w:rPr>
        <w:t xml:space="preserve">The Next Horizon: </w:t>
      </w:r>
      <w:r w:rsidR="007B5815" w:rsidRPr="00DE475B">
        <w:rPr>
          <w:rFonts w:ascii="Arial" w:hAnsi="Arial" w:cs="Arial"/>
          <w:i/>
          <w:sz w:val="20"/>
          <w:szCs w:val="20"/>
        </w:rPr>
        <w:t>VISION</w:t>
      </w:r>
      <w:r w:rsidRPr="00DE475B">
        <w:rPr>
          <w:rFonts w:ascii="Arial" w:hAnsi="Arial" w:cs="Arial"/>
          <w:i/>
          <w:sz w:val="20"/>
          <w:szCs w:val="20"/>
        </w:rPr>
        <w:t xml:space="preserve"> 2017 for Public Libraries</w:t>
      </w:r>
      <w:r w:rsidRPr="00DE475B">
        <w:rPr>
          <w:rFonts w:ascii="Arial" w:hAnsi="Arial" w:cs="Arial"/>
          <w:sz w:val="20"/>
          <w:szCs w:val="20"/>
        </w:rPr>
        <w:t xml:space="preserve">, or support the OPAL Program objectives to accelerate the transition to digital modes of delivery to make content, services and programs accessible to everyone, which includes increasing access and digital literacy skills. </w:t>
      </w:r>
    </w:p>
    <w:p w:rsidR="000257A1" w:rsidRPr="00DE475B" w:rsidRDefault="00D86EE7" w:rsidP="00FE3845">
      <w:pPr>
        <w:pStyle w:val="ARText"/>
        <w:tabs>
          <w:tab w:val="left" w:pos="284"/>
          <w:tab w:val="left" w:pos="360"/>
        </w:tabs>
        <w:spacing w:before="0" w:after="120"/>
        <w:rPr>
          <w:szCs w:val="20"/>
        </w:rPr>
      </w:pPr>
      <w:r>
        <w:rPr>
          <w:szCs w:val="20"/>
        </w:rPr>
        <w:t xml:space="preserve">For instance, </w:t>
      </w:r>
      <w:r w:rsidR="000257A1" w:rsidRPr="00DE475B">
        <w:rPr>
          <w:szCs w:val="20"/>
        </w:rPr>
        <w:t>Balonne Shire Council secured $25,000 to establish three in</w:t>
      </w:r>
      <w:r>
        <w:rPr>
          <w:szCs w:val="20"/>
        </w:rPr>
        <w:t>novative new programs: a pop</w:t>
      </w:r>
      <w:r w:rsidR="003A2F38">
        <w:rPr>
          <w:szCs w:val="20"/>
        </w:rPr>
        <w:t>-</w:t>
      </w:r>
      <w:r>
        <w:rPr>
          <w:szCs w:val="20"/>
        </w:rPr>
        <w:t>up l</w:t>
      </w:r>
      <w:r w:rsidR="000257A1" w:rsidRPr="00DE475B">
        <w:rPr>
          <w:szCs w:val="20"/>
        </w:rPr>
        <w:t xml:space="preserve">ibrary program to take library services </w:t>
      </w:r>
      <w:r>
        <w:rPr>
          <w:szCs w:val="20"/>
        </w:rPr>
        <w:t xml:space="preserve">out into the region; a history </w:t>
      </w:r>
      <w:r w:rsidR="000257A1" w:rsidRPr="00DE475B">
        <w:rPr>
          <w:szCs w:val="20"/>
        </w:rPr>
        <w:t xml:space="preserve">corner </w:t>
      </w:r>
      <w:r>
        <w:rPr>
          <w:szCs w:val="20"/>
        </w:rPr>
        <w:t>providing locals with a</w:t>
      </w:r>
      <w:r w:rsidR="000257A1" w:rsidRPr="00DE475B">
        <w:rPr>
          <w:szCs w:val="20"/>
        </w:rPr>
        <w:t xml:space="preserve">ccess </w:t>
      </w:r>
      <w:r>
        <w:rPr>
          <w:szCs w:val="20"/>
        </w:rPr>
        <w:t xml:space="preserve">to </w:t>
      </w:r>
      <w:r w:rsidR="000257A1" w:rsidRPr="00DE475B">
        <w:rPr>
          <w:szCs w:val="20"/>
        </w:rPr>
        <w:t xml:space="preserve">technology </w:t>
      </w:r>
      <w:r>
        <w:rPr>
          <w:szCs w:val="20"/>
        </w:rPr>
        <w:t>to</w:t>
      </w:r>
      <w:r w:rsidR="000257A1" w:rsidRPr="00DE475B">
        <w:rPr>
          <w:szCs w:val="20"/>
        </w:rPr>
        <w:t xml:space="preserve"> research, record and collate their own historical stories and preserve old images; and a region-wide program to develop workshops and outreach sessions which introduce experimental new technologies or concepts to disadvantaged community groups.</w:t>
      </w:r>
    </w:p>
    <w:p w:rsidR="000257A1" w:rsidRDefault="000257A1" w:rsidP="00C9213E">
      <w:pPr>
        <w:pStyle w:val="ARheading3"/>
        <w:tabs>
          <w:tab w:val="left" w:pos="851"/>
        </w:tabs>
        <w:spacing w:after="120"/>
        <w:rPr>
          <w:color w:val="808080"/>
        </w:rPr>
      </w:pPr>
      <w:r w:rsidRPr="00C9213E">
        <w:rPr>
          <w:color w:val="808080"/>
        </w:rPr>
        <w:t>Infrastructure and discovery</w:t>
      </w:r>
    </w:p>
    <w:p w:rsidR="00C9213E" w:rsidRPr="00C9213E" w:rsidRDefault="00C9213E" w:rsidP="00C9213E">
      <w:pPr>
        <w:rPr>
          <w:rFonts w:ascii="Arial" w:hAnsi="Arial" w:cs="Arial"/>
          <w:b/>
          <w:sz w:val="20"/>
          <w:szCs w:val="20"/>
        </w:rPr>
      </w:pPr>
      <w:r w:rsidRPr="00C9213E">
        <w:rPr>
          <w:rFonts w:ascii="Arial" w:hAnsi="Arial" w:cs="Arial"/>
          <w:b/>
          <w:sz w:val="20"/>
          <w:szCs w:val="20"/>
        </w:rPr>
        <w:t>Back end systems</w:t>
      </w:r>
    </w:p>
    <w:p w:rsidR="000C1543" w:rsidRDefault="000C1543" w:rsidP="000C1543">
      <w:pPr>
        <w:spacing w:after="120"/>
        <w:rPr>
          <w:rFonts w:ascii="Arial" w:hAnsi="Arial" w:cs="Arial"/>
          <w:sz w:val="20"/>
          <w:szCs w:val="20"/>
        </w:rPr>
      </w:pPr>
      <w:r w:rsidRPr="009B48C8">
        <w:rPr>
          <w:rFonts w:ascii="Arial" w:hAnsi="Arial" w:cs="Arial"/>
          <w:sz w:val="20"/>
          <w:szCs w:val="20"/>
        </w:rPr>
        <w:t xml:space="preserve">SLQ uses a suite of products from vendor Ex </w:t>
      </w:r>
      <w:proofErr w:type="spellStart"/>
      <w:r w:rsidRPr="009B48C8">
        <w:rPr>
          <w:rFonts w:ascii="Arial" w:hAnsi="Arial" w:cs="Arial"/>
          <w:sz w:val="20"/>
          <w:szCs w:val="20"/>
        </w:rPr>
        <w:t>Libris</w:t>
      </w:r>
      <w:proofErr w:type="spellEnd"/>
      <w:r w:rsidRPr="009B48C8">
        <w:rPr>
          <w:rFonts w:ascii="Arial" w:hAnsi="Arial" w:cs="Arial"/>
          <w:sz w:val="20"/>
          <w:szCs w:val="20"/>
        </w:rPr>
        <w:t xml:space="preserve"> to manage its extensive physical, electronic and digital collections, and to provide client discovery and access to these collections. </w:t>
      </w:r>
    </w:p>
    <w:p w:rsidR="000C1543" w:rsidRPr="00601F2B" w:rsidRDefault="000C1543" w:rsidP="000C1543">
      <w:pPr>
        <w:spacing w:after="120"/>
        <w:rPr>
          <w:rFonts w:ascii="Arial" w:hAnsi="Arial" w:cs="Arial"/>
          <w:spacing w:val="-2"/>
          <w:sz w:val="20"/>
          <w:szCs w:val="20"/>
        </w:rPr>
      </w:pPr>
      <w:r w:rsidRPr="00601F2B">
        <w:rPr>
          <w:rFonts w:ascii="Arial" w:hAnsi="Arial" w:cs="Arial"/>
          <w:spacing w:val="-2"/>
          <w:sz w:val="20"/>
          <w:szCs w:val="20"/>
        </w:rPr>
        <w:t xml:space="preserve">The cloud-based Alma library management system follows a path of continuous improvement through monthly releases. Rosetta, which is currently being implemented, will increase </w:t>
      </w:r>
      <w:proofErr w:type="spellStart"/>
      <w:r w:rsidRPr="00601F2B">
        <w:rPr>
          <w:rFonts w:ascii="Arial" w:hAnsi="Arial" w:cs="Arial"/>
          <w:spacing w:val="-2"/>
          <w:sz w:val="20"/>
          <w:szCs w:val="20"/>
        </w:rPr>
        <w:t>SLQ’s</w:t>
      </w:r>
      <w:proofErr w:type="spellEnd"/>
      <w:r w:rsidRPr="00601F2B">
        <w:rPr>
          <w:rFonts w:ascii="Arial" w:hAnsi="Arial" w:cs="Arial"/>
          <w:spacing w:val="-2"/>
          <w:sz w:val="20"/>
          <w:szCs w:val="20"/>
        </w:rPr>
        <w:t xml:space="preserve"> digital preservation capabilities while also taking over the role of digital asset management. Primo, which powers </w:t>
      </w:r>
      <w:proofErr w:type="spellStart"/>
      <w:r w:rsidRPr="00601F2B">
        <w:rPr>
          <w:rFonts w:ascii="Arial" w:hAnsi="Arial" w:cs="Arial"/>
          <w:spacing w:val="-2"/>
          <w:sz w:val="20"/>
          <w:szCs w:val="20"/>
        </w:rPr>
        <w:t>SLQ’s</w:t>
      </w:r>
      <w:proofErr w:type="spellEnd"/>
      <w:r w:rsidRPr="00601F2B">
        <w:rPr>
          <w:rFonts w:ascii="Arial" w:hAnsi="Arial" w:cs="Arial"/>
          <w:spacing w:val="-2"/>
          <w:sz w:val="20"/>
          <w:szCs w:val="20"/>
        </w:rPr>
        <w:t xml:space="preserve"> One Search catalogue, makes </w:t>
      </w:r>
      <w:r w:rsidR="00601F2B" w:rsidRPr="00601F2B">
        <w:rPr>
          <w:rFonts w:ascii="Arial" w:hAnsi="Arial" w:cs="Arial"/>
          <w:spacing w:val="-2"/>
          <w:sz w:val="20"/>
          <w:szCs w:val="20"/>
        </w:rPr>
        <w:t xml:space="preserve">accessible </w:t>
      </w:r>
      <w:r w:rsidRPr="00601F2B">
        <w:rPr>
          <w:rFonts w:ascii="Arial" w:hAnsi="Arial" w:cs="Arial"/>
          <w:spacing w:val="-2"/>
          <w:sz w:val="20"/>
          <w:szCs w:val="20"/>
        </w:rPr>
        <w:t xml:space="preserve">local collection items (physical, electronic and digital) as well </w:t>
      </w:r>
      <w:r w:rsidR="00601F2B" w:rsidRPr="00601F2B">
        <w:rPr>
          <w:rFonts w:ascii="Arial" w:hAnsi="Arial" w:cs="Arial"/>
          <w:spacing w:val="-2"/>
          <w:sz w:val="20"/>
          <w:szCs w:val="20"/>
        </w:rPr>
        <w:t>as millions of journal articles and</w:t>
      </w:r>
      <w:r w:rsidR="00E755FD">
        <w:rPr>
          <w:rFonts w:ascii="Arial" w:hAnsi="Arial" w:cs="Arial"/>
          <w:spacing w:val="-2"/>
          <w:sz w:val="20"/>
          <w:szCs w:val="20"/>
        </w:rPr>
        <w:t xml:space="preserve"> </w:t>
      </w:r>
      <w:proofErr w:type="spellStart"/>
      <w:r w:rsidR="00E755FD">
        <w:rPr>
          <w:rFonts w:ascii="Arial" w:hAnsi="Arial" w:cs="Arial"/>
          <w:spacing w:val="-2"/>
          <w:sz w:val="20"/>
          <w:szCs w:val="20"/>
        </w:rPr>
        <w:t>eb</w:t>
      </w:r>
      <w:r w:rsidRPr="00601F2B">
        <w:rPr>
          <w:rFonts w:ascii="Arial" w:hAnsi="Arial" w:cs="Arial"/>
          <w:spacing w:val="-2"/>
          <w:sz w:val="20"/>
          <w:szCs w:val="20"/>
        </w:rPr>
        <w:t>ooks</w:t>
      </w:r>
      <w:proofErr w:type="spellEnd"/>
      <w:r w:rsidRPr="00601F2B">
        <w:rPr>
          <w:rFonts w:ascii="Arial" w:hAnsi="Arial" w:cs="Arial"/>
          <w:spacing w:val="-2"/>
          <w:sz w:val="20"/>
          <w:szCs w:val="20"/>
        </w:rPr>
        <w:t>. SLQ blog sto</w:t>
      </w:r>
      <w:r w:rsidR="00601F2B" w:rsidRPr="00601F2B">
        <w:rPr>
          <w:rFonts w:ascii="Arial" w:hAnsi="Arial" w:cs="Arial"/>
          <w:spacing w:val="-2"/>
          <w:sz w:val="20"/>
          <w:szCs w:val="20"/>
        </w:rPr>
        <w:t>ries have been made available through</w:t>
      </w:r>
      <w:r w:rsidRPr="00601F2B">
        <w:rPr>
          <w:rFonts w:ascii="Arial" w:hAnsi="Arial" w:cs="Arial"/>
          <w:spacing w:val="-2"/>
          <w:sz w:val="20"/>
          <w:szCs w:val="20"/>
        </w:rPr>
        <w:t xml:space="preserve"> Primo </w:t>
      </w:r>
      <w:r w:rsidR="00601F2B" w:rsidRPr="00601F2B">
        <w:rPr>
          <w:rFonts w:ascii="Arial" w:hAnsi="Arial" w:cs="Arial"/>
          <w:spacing w:val="-2"/>
          <w:sz w:val="20"/>
          <w:szCs w:val="20"/>
        </w:rPr>
        <w:t xml:space="preserve">to </w:t>
      </w:r>
      <w:r w:rsidRPr="00601F2B">
        <w:rPr>
          <w:rFonts w:ascii="Arial" w:hAnsi="Arial" w:cs="Arial"/>
          <w:spacing w:val="-2"/>
          <w:sz w:val="20"/>
          <w:szCs w:val="20"/>
        </w:rPr>
        <w:t>increas</w:t>
      </w:r>
      <w:r w:rsidR="00601F2B" w:rsidRPr="00601F2B">
        <w:rPr>
          <w:rFonts w:ascii="Arial" w:hAnsi="Arial" w:cs="Arial"/>
          <w:spacing w:val="-2"/>
          <w:sz w:val="20"/>
          <w:szCs w:val="20"/>
        </w:rPr>
        <w:t>e</w:t>
      </w:r>
      <w:r w:rsidRPr="00601F2B">
        <w:rPr>
          <w:rFonts w:ascii="Arial" w:hAnsi="Arial" w:cs="Arial"/>
          <w:spacing w:val="-2"/>
          <w:sz w:val="20"/>
          <w:szCs w:val="20"/>
        </w:rPr>
        <w:t xml:space="preserve"> visibility and </w:t>
      </w:r>
      <w:r w:rsidR="00601F2B" w:rsidRPr="00601F2B">
        <w:rPr>
          <w:rFonts w:ascii="Arial" w:hAnsi="Arial" w:cs="Arial"/>
          <w:spacing w:val="-2"/>
          <w:sz w:val="20"/>
          <w:szCs w:val="20"/>
        </w:rPr>
        <w:t xml:space="preserve">improve </w:t>
      </w:r>
      <w:r w:rsidRPr="00601F2B">
        <w:rPr>
          <w:rFonts w:ascii="Arial" w:hAnsi="Arial" w:cs="Arial"/>
          <w:spacing w:val="-2"/>
          <w:sz w:val="20"/>
          <w:szCs w:val="20"/>
        </w:rPr>
        <w:t xml:space="preserve">usage of </w:t>
      </w:r>
      <w:r w:rsidR="00601F2B" w:rsidRPr="00601F2B">
        <w:rPr>
          <w:rFonts w:ascii="Arial" w:hAnsi="Arial" w:cs="Arial"/>
          <w:spacing w:val="-2"/>
          <w:sz w:val="20"/>
          <w:szCs w:val="20"/>
        </w:rPr>
        <w:t>the</w:t>
      </w:r>
      <w:r w:rsidRPr="00601F2B">
        <w:rPr>
          <w:rFonts w:ascii="Arial" w:hAnsi="Arial" w:cs="Arial"/>
          <w:spacing w:val="-2"/>
          <w:sz w:val="20"/>
          <w:szCs w:val="20"/>
        </w:rPr>
        <w:t xml:space="preserve"> resource</w:t>
      </w:r>
      <w:r w:rsidR="00601F2B" w:rsidRPr="00601F2B">
        <w:rPr>
          <w:rFonts w:ascii="Arial" w:hAnsi="Arial" w:cs="Arial"/>
          <w:spacing w:val="-2"/>
          <w:sz w:val="20"/>
          <w:szCs w:val="20"/>
        </w:rPr>
        <w:t>s they reference</w:t>
      </w:r>
      <w:r w:rsidRPr="00601F2B">
        <w:rPr>
          <w:rFonts w:ascii="Arial" w:hAnsi="Arial" w:cs="Arial"/>
          <w:spacing w:val="-2"/>
          <w:sz w:val="20"/>
          <w:szCs w:val="20"/>
        </w:rPr>
        <w:t>.</w:t>
      </w:r>
    </w:p>
    <w:p w:rsidR="000C1543" w:rsidRPr="009B48C8" w:rsidRDefault="000C1543" w:rsidP="000C1543">
      <w:pPr>
        <w:spacing w:after="120"/>
        <w:rPr>
          <w:rFonts w:ascii="Arial" w:hAnsi="Arial" w:cs="Arial"/>
          <w:sz w:val="20"/>
          <w:szCs w:val="20"/>
        </w:rPr>
      </w:pPr>
      <w:r w:rsidRPr="009B48C8">
        <w:rPr>
          <w:rFonts w:ascii="Arial" w:hAnsi="Arial" w:cs="Arial"/>
          <w:sz w:val="20"/>
          <w:szCs w:val="20"/>
        </w:rPr>
        <w:t xml:space="preserve">SLQ works with libraries using Ex </w:t>
      </w:r>
      <w:proofErr w:type="spellStart"/>
      <w:r w:rsidRPr="009B48C8">
        <w:rPr>
          <w:rFonts w:ascii="Arial" w:hAnsi="Arial" w:cs="Arial"/>
          <w:sz w:val="20"/>
          <w:szCs w:val="20"/>
        </w:rPr>
        <w:t>Libris</w:t>
      </w:r>
      <w:proofErr w:type="spellEnd"/>
      <w:r w:rsidRPr="009B48C8">
        <w:rPr>
          <w:rFonts w:ascii="Arial" w:hAnsi="Arial" w:cs="Arial"/>
          <w:sz w:val="20"/>
          <w:szCs w:val="20"/>
        </w:rPr>
        <w:t xml:space="preserve"> products </w:t>
      </w:r>
      <w:r>
        <w:rPr>
          <w:rFonts w:ascii="Arial" w:hAnsi="Arial" w:cs="Arial"/>
          <w:sz w:val="20"/>
          <w:szCs w:val="20"/>
        </w:rPr>
        <w:t xml:space="preserve">to </w:t>
      </w:r>
      <w:r w:rsidRPr="009B48C8">
        <w:rPr>
          <w:rFonts w:ascii="Arial" w:hAnsi="Arial" w:cs="Arial"/>
          <w:sz w:val="20"/>
          <w:szCs w:val="20"/>
        </w:rPr>
        <w:t>shar</w:t>
      </w:r>
      <w:r>
        <w:rPr>
          <w:rFonts w:ascii="Arial" w:hAnsi="Arial" w:cs="Arial"/>
          <w:sz w:val="20"/>
          <w:szCs w:val="20"/>
        </w:rPr>
        <w:t>e</w:t>
      </w:r>
      <w:r w:rsidRPr="009B48C8">
        <w:rPr>
          <w:rFonts w:ascii="Arial" w:hAnsi="Arial" w:cs="Arial"/>
          <w:sz w:val="20"/>
          <w:szCs w:val="20"/>
        </w:rPr>
        <w:t xml:space="preserve"> issues and solutions</w:t>
      </w:r>
      <w:r>
        <w:rPr>
          <w:rFonts w:ascii="Arial" w:hAnsi="Arial" w:cs="Arial"/>
          <w:sz w:val="20"/>
          <w:szCs w:val="20"/>
        </w:rPr>
        <w:t>,</w:t>
      </w:r>
      <w:r w:rsidRPr="009B48C8">
        <w:rPr>
          <w:rFonts w:ascii="Arial" w:hAnsi="Arial" w:cs="Arial"/>
          <w:sz w:val="20"/>
          <w:szCs w:val="20"/>
        </w:rPr>
        <w:t xml:space="preserve"> in</w:t>
      </w:r>
      <w:r>
        <w:rPr>
          <w:rFonts w:ascii="Arial" w:hAnsi="Arial" w:cs="Arial"/>
          <w:sz w:val="20"/>
          <w:szCs w:val="20"/>
        </w:rPr>
        <w:t>cluding training opportunities.</w:t>
      </w:r>
      <w:r w:rsidRPr="009B48C8">
        <w:rPr>
          <w:rFonts w:ascii="Arial" w:hAnsi="Arial" w:cs="Arial"/>
          <w:sz w:val="20"/>
          <w:szCs w:val="20"/>
        </w:rPr>
        <w:t xml:space="preserve"> Regular feedback and suggestions for enhancements </w:t>
      </w:r>
      <w:r w:rsidRPr="009B48C8">
        <w:rPr>
          <w:rFonts w:ascii="Arial" w:hAnsi="Arial" w:cs="Arial"/>
          <w:sz w:val="20"/>
          <w:szCs w:val="20"/>
        </w:rPr>
        <w:lastRenderedPageBreak/>
        <w:t xml:space="preserve">and improvements are also forwarded </w:t>
      </w:r>
      <w:r>
        <w:rPr>
          <w:rFonts w:ascii="Arial" w:hAnsi="Arial" w:cs="Arial"/>
          <w:sz w:val="20"/>
          <w:szCs w:val="20"/>
        </w:rPr>
        <w:t xml:space="preserve">to Ex </w:t>
      </w:r>
      <w:proofErr w:type="spellStart"/>
      <w:r>
        <w:rPr>
          <w:rFonts w:ascii="Arial" w:hAnsi="Arial" w:cs="Arial"/>
          <w:sz w:val="20"/>
          <w:szCs w:val="20"/>
        </w:rPr>
        <w:t>Libris</w:t>
      </w:r>
      <w:proofErr w:type="spellEnd"/>
      <w:r>
        <w:rPr>
          <w:rFonts w:ascii="Arial" w:hAnsi="Arial" w:cs="Arial"/>
          <w:sz w:val="20"/>
          <w:szCs w:val="20"/>
        </w:rPr>
        <w:t>.</w:t>
      </w:r>
      <w:r w:rsidRPr="009B48C8">
        <w:rPr>
          <w:rFonts w:ascii="Arial" w:hAnsi="Arial" w:cs="Arial"/>
          <w:sz w:val="20"/>
          <w:szCs w:val="20"/>
        </w:rPr>
        <w:t xml:space="preserve"> This year S</w:t>
      </w:r>
      <w:r>
        <w:rPr>
          <w:rFonts w:ascii="Arial" w:hAnsi="Arial" w:cs="Arial"/>
          <w:sz w:val="20"/>
          <w:szCs w:val="20"/>
        </w:rPr>
        <w:t>LQ</w:t>
      </w:r>
      <w:r w:rsidRPr="009B48C8">
        <w:rPr>
          <w:rFonts w:ascii="Arial" w:hAnsi="Arial" w:cs="Arial"/>
          <w:sz w:val="20"/>
          <w:szCs w:val="20"/>
        </w:rPr>
        <w:t xml:space="preserve"> committed staffing resources to a</w:t>
      </w:r>
      <w:r>
        <w:rPr>
          <w:rFonts w:ascii="Arial" w:hAnsi="Arial" w:cs="Arial"/>
          <w:sz w:val="20"/>
          <w:szCs w:val="20"/>
        </w:rPr>
        <w:t>id</w:t>
      </w:r>
      <w:r w:rsidRPr="009B48C8">
        <w:rPr>
          <w:rFonts w:ascii="Arial" w:hAnsi="Arial" w:cs="Arial"/>
          <w:sz w:val="20"/>
          <w:szCs w:val="20"/>
        </w:rPr>
        <w:t xml:space="preserve"> the development and testing of a new user interface for Alma, improving staff u</w:t>
      </w:r>
      <w:r>
        <w:rPr>
          <w:rFonts w:ascii="Arial" w:hAnsi="Arial" w:cs="Arial"/>
          <w:sz w:val="20"/>
          <w:szCs w:val="20"/>
        </w:rPr>
        <w:t>ser experience and efficiencies.</w:t>
      </w:r>
    </w:p>
    <w:p w:rsidR="000C1543" w:rsidRDefault="000C1543" w:rsidP="000C1543">
      <w:pPr>
        <w:spacing w:after="120"/>
        <w:rPr>
          <w:rFonts w:ascii="Arial" w:hAnsi="Arial" w:cs="Arial"/>
          <w:sz w:val="20"/>
          <w:szCs w:val="20"/>
        </w:rPr>
      </w:pPr>
      <w:r w:rsidRPr="009B48C8">
        <w:rPr>
          <w:rFonts w:ascii="Arial" w:hAnsi="Arial" w:cs="Arial"/>
          <w:sz w:val="20"/>
          <w:szCs w:val="20"/>
        </w:rPr>
        <w:t>To support these sys</w:t>
      </w:r>
      <w:r w:rsidR="004164FF">
        <w:rPr>
          <w:rFonts w:ascii="Arial" w:hAnsi="Arial" w:cs="Arial"/>
          <w:sz w:val="20"/>
          <w:szCs w:val="20"/>
        </w:rPr>
        <w:t>tems, SLQ improved its virtual m</w:t>
      </w:r>
      <w:r w:rsidRPr="009B48C8">
        <w:rPr>
          <w:rFonts w:ascii="Arial" w:hAnsi="Arial" w:cs="Arial"/>
          <w:sz w:val="20"/>
          <w:szCs w:val="20"/>
        </w:rPr>
        <w:t xml:space="preserve">achine environment and monitoring systems in 2016–17. Primo was migrated to the </w:t>
      </w:r>
      <w:r w:rsidR="004164FF">
        <w:rPr>
          <w:rFonts w:ascii="Arial" w:hAnsi="Arial" w:cs="Arial"/>
          <w:sz w:val="20"/>
          <w:szCs w:val="20"/>
        </w:rPr>
        <w:t>v</w:t>
      </w:r>
      <w:r w:rsidRPr="009B48C8">
        <w:rPr>
          <w:rFonts w:ascii="Arial" w:hAnsi="Arial" w:cs="Arial"/>
          <w:sz w:val="20"/>
          <w:szCs w:val="20"/>
        </w:rPr>
        <w:t>irtual</w:t>
      </w:r>
      <w:r w:rsidR="004164FF">
        <w:rPr>
          <w:rFonts w:ascii="Arial" w:hAnsi="Arial" w:cs="Arial"/>
          <w:sz w:val="20"/>
          <w:szCs w:val="20"/>
        </w:rPr>
        <w:t xml:space="preserve"> m</w:t>
      </w:r>
      <w:r w:rsidRPr="009B48C8">
        <w:rPr>
          <w:rFonts w:ascii="Arial" w:hAnsi="Arial" w:cs="Arial"/>
          <w:sz w:val="20"/>
          <w:szCs w:val="20"/>
        </w:rPr>
        <w:t>achine environment in November 2016 to provide a more robust and stable environment than the previous single server environment.</w:t>
      </w:r>
    </w:p>
    <w:p w:rsidR="007B1185" w:rsidRPr="007B1185" w:rsidRDefault="007B1185" w:rsidP="007B1185">
      <w:pPr>
        <w:rPr>
          <w:rFonts w:ascii="Arial" w:hAnsi="Arial" w:cs="Arial"/>
          <w:b/>
          <w:sz w:val="20"/>
          <w:szCs w:val="20"/>
        </w:rPr>
      </w:pPr>
      <w:r w:rsidRPr="007B1185">
        <w:rPr>
          <w:rFonts w:ascii="Arial" w:hAnsi="Arial" w:cs="Arial"/>
          <w:b/>
          <w:sz w:val="20"/>
          <w:szCs w:val="20"/>
        </w:rPr>
        <w:t>Discovery platforms</w:t>
      </w:r>
    </w:p>
    <w:p w:rsidR="000257A1" w:rsidRPr="00FE13D9" w:rsidRDefault="000257A1" w:rsidP="00FE3845">
      <w:pPr>
        <w:spacing w:after="120"/>
        <w:rPr>
          <w:rFonts w:ascii="Arial" w:hAnsi="Arial" w:cs="Arial"/>
          <w:spacing w:val="-2"/>
          <w:sz w:val="20"/>
          <w:szCs w:val="20"/>
        </w:rPr>
      </w:pPr>
      <w:r w:rsidRPr="00FE13D9">
        <w:rPr>
          <w:rFonts w:ascii="Arial" w:hAnsi="Arial" w:cs="Arial"/>
          <w:spacing w:val="-2"/>
          <w:sz w:val="20"/>
          <w:szCs w:val="20"/>
        </w:rPr>
        <w:t>SLQ joined the Google Cultural Institute partnership in 2016–17, and Google captured Museum View</w:t>
      </w:r>
      <w:r w:rsidR="00040B3F" w:rsidRPr="00FE13D9">
        <w:rPr>
          <w:rFonts w:ascii="Arial" w:hAnsi="Arial" w:cs="Arial"/>
          <w:spacing w:val="-2"/>
          <w:sz w:val="20"/>
          <w:szCs w:val="20"/>
        </w:rPr>
        <w:t xml:space="preserve"> imagery of all public spaces, c</w:t>
      </w:r>
      <w:r w:rsidRPr="00FE13D9">
        <w:rPr>
          <w:rFonts w:ascii="Arial" w:hAnsi="Arial" w:cs="Arial"/>
          <w:spacing w:val="-2"/>
          <w:sz w:val="20"/>
          <w:szCs w:val="20"/>
        </w:rPr>
        <w:t>on</w:t>
      </w:r>
      <w:r w:rsidR="00040B3F" w:rsidRPr="00FE13D9">
        <w:rPr>
          <w:rFonts w:ascii="Arial" w:hAnsi="Arial" w:cs="Arial"/>
          <w:spacing w:val="-2"/>
          <w:sz w:val="20"/>
          <w:szCs w:val="20"/>
        </w:rPr>
        <w:t>servation area and r</w:t>
      </w:r>
      <w:r w:rsidRPr="00FE13D9">
        <w:rPr>
          <w:rFonts w:ascii="Arial" w:hAnsi="Arial" w:cs="Arial"/>
          <w:spacing w:val="-2"/>
          <w:sz w:val="20"/>
          <w:szCs w:val="20"/>
        </w:rPr>
        <w:t xml:space="preserve">epository in December 2016. State Library Museum View will allow virtual visitors to see some of the spaces and services available onsite through Google maps. </w:t>
      </w:r>
      <w:proofErr w:type="spellStart"/>
      <w:r w:rsidRPr="00FE13D9">
        <w:rPr>
          <w:rFonts w:ascii="Arial" w:hAnsi="Arial" w:cs="Arial"/>
          <w:spacing w:val="-2"/>
          <w:sz w:val="20"/>
          <w:szCs w:val="20"/>
        </w:rPr>
        <w:t>SLQ’s</w:t>
      </w:r>
      <w:proofErr w:type="spellEnd"/>
      <w:r w:rsidRPr="00FE13D9">
        <w:rPr>
          <w:rFonts w:ascii="Arial" w:hAnsi="Arial" w:cs="Arial"/>
          <w:spacing w:val="-2"/>
          <w:sz w:val="20"/>
          <w:szCs w:val="20"/>
        </w:rPr>
        <w:t xml:space="preserve"> Google Arts and Culture presence will be made live in late 2017. This platform will present five different Queensland stories, showcasing relevant collection items, t</w:t>
      </w:r>
      <w:r w:rsidR="00923B93">
        <w:rPr>
          <w:rFonts w:ascii="Arial" w:hAnsi="Arial" w:cs="Arial"/>
          <w:spacing w:val="-2"/>
          <w:sz w:val="20"/>
          <w:szCs w:val="20"/>
        </w:rPr>
        <w:t>hrough online exhibitions. High-</w:t>
      </w:r>
      <w:r w:rsidRPr="00FE13D9">
        <w:rPr>
          <w:rFonts w:ascii="Arial" w:hAnsi="Arial" w:cs="Arial"/>
          <w:spacing w:val="-2"/>
          <w:sz w:val="20"/>
          <w:szCs w:val="20"/>
        </w:rPr>
        <w:t>resolution images of 20 collect</w:t>
      </w:r>
      <w:r w:rsidR="004164FF" w:rsidRPr="00FE13D9">
        <w:rPr>
          <w:rFonts w:ascii="Arial" w:hAnsi="Arial" w:cs="Arial"/>
          <w:spacing w:val="-2"/>
          <w:sz w:val="20"/>
          <w:szCs w:val="20"/>
        </w:rPr>
        <w:t xml:space="preserve">ion items were captured in the </w:t>
      </w:r>
      <w:proofErr w:type="spellStart"/>
      <w:r w:rsidR="004164FF" w:rsidRPr="00FE13D9">
        <w:rPr>
          <w:rFonts w:ascii="Arial" w:hAnsi="Arial" w:cs="Arial"/>
          <w:spacing w:val="-2"/>
          <w:sz w:val="20"/>
          <w:szCs w:val="20"/>
        </w:rPr>
        <w:t>g</w:t>
      </w:r>
      <w:r w:rsidRPr="00FE13D9">
        <w:rPr>
          <w:rFonts w:ascii="Arial" w:hAnsi="Arial" w:cs="Arial"/>
          <w:spacing w:val="-2"/>
          <w:sz w:val="20"/>
          <w:szCs w:val="20"/>
        </w:rPr>
        <w:t>igapixel</w:t>
      </w:r>
      <w:proofErr w:type="spellEnd"/>
      <w:r w:rsidRPr="00FE13D9">
        <w:rPr>
          <w:rFonts w:ascii="Arial" w:hAnsi="Arial" w:cs="Arial"/>
          <w:spacing w:val="-2"/>
          <w:sz w:val="20"/>
          <w:szCs w:val="20"/>
        </w:rPr>
        <w:t xml:space="preserve"> process, which will allow online visitors to study these items in great detail.</w:t>
      </w:r>
    </w:p>
    <w:p w:rsidR="00356451" w:rsidRDefault="000257A1" w:rsidP="00FE3845">
      <w:pPr>
        <w:spacing w:after="120"/>
        <w:rPr>
          <w:rFonts w:ascii="Arial" w:eastAsiaTheme="minorHAnsi" w:hAnsi="Arial" w:cs="Arial"/>
          <w:sz w:val="20"/>
          <w:szCs w:val="20"/>
          <w:lang w:eastAsia="en-US"/>
        </w:rPr>
      </w:pPr>
      <w:proofErr w:type="spellStart"/>
      <w:r w:rsidRPr="00DE475B">
        <w:rPr>
          <w:rFonts w:ascii="Arial" w:eastAsiaTheme="minorHAnsi" w:hAnsi="Arial" w:cs="Arial"/>
          <w:sz w:val="20"/>
          <w:szCs w:val="20"/>
          <w:lang w:eastAsia="en-US"/>
        </w:rPr>
        <w:t>DintApp</w:t>
      </w:r>
      <w:proofErr w:type="spellEnd"/>
      <w:r w:rsidRPr="00DE475B">
        <w:rPr>
          <w:rFonts w:ascii="Arial" w:eastAsiaTheme="minorHAnsi" w:hAnsi="Arial" w:cs="Arial"/>
          <w:sz w:val="20"/>
          <w:szCs w:val="20"/>
          <w:lang w:eastAsia="en-US"/>
        </w:rPr>
        <w:t xml:space="preserve"> </w:t>
      </w:r>
      <w:r w:rsidR="00356451">
        <w:rPr>
          <w:rFonts w:ascii="Arial" w:eastAsiaTheme="minorHAnsi" w:hAnsi="Arial" w:cs="Arial"/>
          <w:sz w:val="20"/>
          <w:szCs w:val="20"/>
          <w:lang w:eastAsia="en-US"/>
        </w:rPr>
        <w:t>now links</w:t>
      </w:r>
      <w:r w:rsidRPr="00DE475B">
        <w:rPr>
          <w:rFonts w:ascii="Arial" w:eastAsiaTheme="minorHAnsi" w:hAnsi="Arial" w:cs="Arial"/>
          <w:sz w:val="20"/>
          <w:szCs w:val="20"/>
          <w:lang w:eastAsia="en-US"/>
        </w:rPr>
        <w:t xml:space="preserve"> </w:t>
      </w:r>
      <w:r w:rsidR="00356451">
        <w:rPr>
          <w:rFonts w:ascii="Arial" w:eastAsiaTheme="minorHAnsi" w:hAnsi="Arial" w:cs="Arial"/>
          <w:sz w:val="20"/>
          <w:szCs w:val="20"/>
          <w:lang w:eastAsia="en-US"/>
        </w:rPr>
        <w:t>m</w:t>
      </w:r>
      <w:r w:rsidR="00356451" w:rsidRPr="00DE475B">
        <w:rPr>
          <w:rFonts w:ascii="Arial" w:eastAsiaTheme="minorHAnsi" w:hAnsi="Arial" w:cs="Arial"/>
          <w:sz w:val="20"/>
          <w:szCs w:val="20"/>
          <w:lang w:eastAsia="en-US"/>
        </w:rPr>
        <w:t xml:space="preserve">ore than 40,000 of </w:t>
      </w:r>
      <w:proofErr w:type="spellStart"/>
      <w:r w:rsidR="00356451" w:rsidRPr="00DE475B">
        <w:rPr>
          <w:rFonts w:ascii="Arial" w:eastAsiaTheme="minorHAnsi" w:hAnsi="Arial" w:cs="Arial"/>
          <w:sz w:val="20"/>
          <w:szCs w:val="20"/>
          <w:lang w:eastAsia="en-US"/>
        </w:rPr>
        <w:t>SLQ’s</w:t>
      </w:r>
      <w:proofErr w:type="spellEnd"/>
      <w:r w:rsidR="00356451" w:rsidRPr="00DE475B">
        <w:rPr>
          <w:rFonts w:ascii="Arial" w:eastAsiaTheme="minorHAnsi" w:hAnsi="Arial" w:cs="Arial"/>
          <w:sz w:val="20"/>
          <w:szCs w:val="20"/>
          <w:lang w:eastAsia="en-US"/>
        </w:rPr>
        <w:t xml:space="preserve"> open </w:t>
      </w:r>
      <w:r w:rsidR="000C1543">
        <w:rPr>
          <w:rFonts w:ascii="Arial" w:eastAsiaTheme="minorHAnsi" w:hAnsi="Arial" w:cs="Arial"/>
          <w:sz w:val="20"/>
          <w:szCs w:val="20"/>
          <w:lang w:eastAsia="en-US"/>
        </w:rPr>
        <w:t>access</w:t>
      </w:r>
      <w:r w:rsidR="00356451" w:rsidRPr="00DE475B">
        <w:rPr>
          <w:rFonts w:ascii="Arial" w:eastAsiaTheme="minorHAnsi" w:hAnsi="Arial" w:cs="Arial"/>
          <w:sz w:val="20"/>
          <w:szCs w:val="20"/>
          <w:lang w:eastAsia="en-US"/>
        </w:rPr>
        <w:t xml:space="preserve"> digitised collections</w:t>
      </w:r>
      <w:r w:rsidR="00356451">
        <w:rPr>
          <w:rFonts w:ascii="Arial" w:eastAsiaTheme="minorHAnsi" w:hAnsi="Arial" w:cs="Arial"/>
          <w:sz w:val="20"/>
          <w:szCs w:val="20"/>
          <w:lang w:eastAsia="en-US"/>
        </w:rPr>
        <w:t>,</w:t>
      </w:r>
      <w:r w:rsidR="00356451" w:rsidRPr="00DE475B">
        <w:rPr>
          <w:rFonts w:ascii="Arial" w:eastAsiaTheme="minorHAnsi" w:hAnsi="Arial" w:cs="Arial"/>
          <w:sz w:val="20"/>
          <w:szCs w:val="20"/>
          <w:lang w:eastAsia="en-US"/>
        </w:rPr>
        <w:t xml:space="preserve"> made available via </w:t>
      </w:r>
      <w:r w:rsidR="000C1543">
        <w:rPr>
          <w:rFonts w:ascii="Arial" w:eastAsiaTheme="minorHAnsi" w:hAnsi="Arial" w:cs="Arial"/>
          <w:sz w:val="20"/>
          <w:szCs w:val="20"/>
          <w:lang w:eastAsia="en-US"/>
        </w:rPr>
        <w:t>open dataset</w:t>
      </w:r>
      <w:r w:rsidR="00356451">
        <w:rPr>
          <w:rFonts w:ascii="Arial" w:eastAsiaTheme="minorHAnsi" w:hAnsi="Arial" w:cs="Arial"/>
          <w:sz w:val="20"/>
          <w:szCs w:val="20"/>
          <w:lang w:eastAsia="en-US"/>
        </w:rPr>
        <w:t>,</w:t>
      </w:r>
      <w:r w:rsidR="00356451" w:rsidRPr="00DE475B">
        <w:rPr>
          <w:rFonts w:ascii="Arial" w:eastAsiaTheme="minorHAnsi" w:hAnsi="Arial" w:cs="Arial"/>
          <w:sz w:val="20"/>
          <w:szCs w:val="20"/>
          <w:lang w:eastAsia="en-US"/>
        </w:rPr>
        <w:t xml:space="preserve"> </w:t>
      </w:r>
      <w:r w:rsidR="00356451">
        <w:rPr>
          <w:rFonts w:ascii="Arial" w:eastAsiaTheme="minorHAnsi" w:hAnsi="Arial" w:cs="Arial"/>
          <w:sz w:val="20"/>
          <w:szCs w:val="20"/>
          <w:lang w:eastAsia="en-US"/>
        </w:rPr>
        <w:t>through</w:t>
      </w:r>
      <w:r w:rsidRPr="00DE475B">
        <w:rPr>
          <w:rFonts w:ascii="Arial" w:eastAsiaTheme="minorHAnsi" w:hAnsi="Arial" w:cs="Arial"/>
          <w:sz w:val="20"/>
          <w:szCs w:val="20"/>
          <w:lang w:eastAsia="en-US"/>
        </w:rPr>
        <w:t xml:space="preserve"> a Queensland map. SLQ joins other notable libraries represented through this app – Library of Congress, New York Public Library, San Francisco Public Library, Swedish National Heritage Board, National Library of Ireland and National Library of Scotland. </w:t>
      </w:r>
    </w:p>
    <w:p w:rsidR="00785292" w:rsidRPr="00785292" w:rsidRDefault="00923B93" w:rsidP="00785292">
      <w:pPr>
        <w:rPr>
          <w:rFonts w:ascii="Arial" w:hAnsi="Arial" w:cs="Arial"/>
          <w:b/>
          <w:sz w:val="20"/>
          <w:szCs w:val="20"/>
        </w:rPr>
      </w:pPr>
      <w:r>
        <w:rPr>
          <w:rFonts w:ascii="Arial" w:hAnsi="Arial" w:cs="Arial"/>
          <w:b/>
          <w:sz w:val="20"/>
          <w:szCs w:val="20"/>
        </w:rPr>
        <w:t>Innovative practic</w:t>
      </w:r>
      <w:r w:rsidR="00785292" w:rsidRPr="00785292">
        <w:rPr>
          <w:rFonts w:ascii="Arial" w:hAnsi="Arial" w:cs="Arial"/>
          <w:b/>
          <w:sz w:val="20"/>
          <w:szCs w:val="20"/>
        </w:rPr>
        <w:t xml:space="preserve">es </w:t>
      </w:r>
    </w:p>
    <w:p w:rsidR="000257A1" w:rsidRPr="00DE475B" w:rsidRDefault="004164FF" w:rsidP="00FE3845">
      <w:pPr>
        <w:spacing w:after="120"/>
        <w:rPr>
          <w:rFonts w:ascii="Arial" w:hAnsi="Arial" w:cs="Arial"/>
          <w:sz w:val="20"/>
          <w:szCs w:val="20"/>
        </w:rPr>
      </w:pPr>
      <w:r w:rsidRPr="00DE475B">
        <w:rPr>
          <w:rFonts w:ascii="Arial" w:hAnsi="Arial" w:cs="Arial"/>
          <w:sz w:val="20"/>
          <w:szCs w:val="20"/>
        </w:rPr>
        <w:t xml:space="preserve">SLQ was the first </w:t>
      </w:r>
      <w:r>
        <w:rPr>
          <w:rFonts w:ascii="Arial" w:hAnsi="Arial" w:cs="Arial"/>
          <w:sz w:val="20"/>
          <w:szCs w:val="20"/>
        </w:rPr>
        <w:t xml:space="preserve">Australian </w:t>
      </w:r>
      <w:r w:rsidRPr="00DE475B">
        <w:rPr>
          <w:rFonts w:ascii="Arial" w:hAnsi="Arial" w:cs="Arial"/>
          <w:sz w:val="20"/>
          <w:szCs w:val="20"/>
        </w:rPr>
        <w:t>state library to successfully negotiate immediate onsite access for the local public libraries for each newspaper.</w:t>
      </w:r>
      <w:r>
        <w:rPr>
          <w:rFonts w:ascii="Arial" w:hAnsi="Arial" w:cs="Arial"/>
          <w:sz w:val="20"/>
          <w:szCs w:val="20"/>
        </w:rPr>
        <w:t xml:space="preserve"> </w:t>
      </w:r>
      <w:r w:rsidR="000257A1" w:rsidRPr="00DE475B">
        <w:rPr>
          <w:rFonts w:ascii="Arial" w:hAnsi="Arial" w:cs="Arial"/>
          <w:sz w:val="20"/>
          <w:szCs w:val="20"/>
        </w:rPr>
        <w:t xml:space="preserve">An agreement with Far North Queensland newspaper publishers </w:t>
      </w:r>
      <w:r w:rsidR="00816D34">
        <w:rPr>
          <w:rFonts w:ascii="Arial" w:hAnsi="Arial" w:cs="Arial"/>
          <w:sz w:val="20"/>
          <w:szCs w:val="20"/>
        </w:rPr>
        <w:t xml:space="preserve">has </w:t>
      </w:r>
      <w:r w:rsidR="000257A1" w:rsidRPr="00DE475B">
        <w:rPr>
          <w:rFonts w:ascii="Arial" w:hAnsi="Arial" w:cs="Arial"/>
          <w:sz w:val="20"/>
          <w:szCs w:val="20"/>
        </w:rPr>
        <w:t>enable</w:t>
      </w:r>
      <w:r w:rsidR="00816D34">
        <w:rPr>
          <w:rFonts w:ascii="Arial" w:hAnsi="Arial" w:cs="Arial"/>
          <w:sz w:val="20"/>
          <w:szCs w:val="20"/>
        </w:rPr>
        <w:t>d</w:t>
      </w:r>
      <w:r w:rsidR="000257A1" w:rsidRPr="00DE475B">
        <w:rPr>
          <w:rFonts w:ascii="Arial" w:hAnsi="Arial" w:cs="Arial"/>
          <w:sz w:val="20"/>
          <w:szCs w:val="20"/>
        </w:rPr>
        <w:t xml:space="preserve"> the deposit of digital editions of </w:t>
      </w:r>
      <w:r w:rsidR="000257A1" w:rsidRPr="00DE475B">
        <w:rPr>
          <w:rFonts w:ascii="Arial" w:hAnsi="Arial" w:cs="Arial"/>
          <w:i/>
          <w:sz w:val="20"/>
          <w:szCs w:val="20"/>
        </w:rPr>
        <w:t>Torres News</w:t>
      </w:r>
      <w:r w:rsidR="00943BB2" w:rsidRPr="00943BB2">
        <w:rPr>
          <w:rFonts w:ascii="Arial" w:hAnsi="Arial" w:cs="Arial"/>
          <w:sz w:val="20"/>
          <w:szCs w:val="20"/>
        </w:rPr>
        <w:t xml:space="preserve"> and </w:t>
      </w:r>
      <w:r w:rsidR="00943BB2" w:rsidRPr="00943BB2">
        <w:rPr>
          <w:rFonts w:ascii="Arial" w:hAnsi="Arial" w:cs="Arial"/>
          <w:i/>
          <w:sz w:val="20"/>
          <w:szCs w:val="20"/>
        </w:rPr>
        <w:t>Cape York News</w:t>
      </w:r>
      <w:r w:rsidR="000257A1" w:rsidRPr="00DE475B">
        <w:rPr>
          <w:rFonts w:ascii="Arial" w:hAnsi="Arial" w:cs="Arial"/>
          <w:sz w:val="20"/>
          <w:szCs w:val="20"/>
        </w:rPr>
        <w:t xml:space="preserve"> </w:t>
      </w:r>
      <w:r w:rsidR="00943BB2">
        <w:rPr>
          <w:rFonts w:ascii="Arial" w:hAnsi="Arial" w:cs="Arial"/>
          <w:sz w:val="20"/>
          <w:szCs w:val="20"/>
        </w:rPr>
        <w:t xml:space="preserve">(a recent amalgamation of </w:t>
      </w:r>
      <w:r w:rsidR="000257A1" w:rsidRPr="00943BB2">
        <w:rPr>
          <w:rFonts w:ascii="Arial" w:hAnsi="Arial" w:cs="Arial"/>
          <w:i/>
          <w:sz w:val="20"/>
          <w:szCs w:val="20"/>
        </w:rPr>
        <w:t>Western Cape Bulletin</w:t>
      </w:r>
      <w:r w:rsidR="000257A1" w:rsidRPr="00943BB2">
        <w:rPr>
          <w:rFonts w:ascii="Arial" w:hAnsi="Arial" w:cs="Arial"/>
          <w:sz w:val="20"/>
          <w:szCs w:val="20"/>
        </w:rPr>
        <w:t xml:space="preserve"> and </w:t>
      </w:r>
      <w:r w:rsidR="000257A1" w:rsidRPr="00943BB2">
        <w:rPr>
          <w:rFonts w:ascii="Arial" w:hAnsi="Arial" w:cs="Arial"/>
          <w:i/>
          <w:sz w:val="20"/>
          <w:szCs w:val="20"/>
        </w:rPr>
        <w:t>Cooktown Local News</w:t>
      </w:r>
      <w:r w:rsidR="00943BB2" w:rsidRPr="00943BB2">
        <w:rPr>
          <w:rFonts w:ascii="Arial" w:hAnsi="Arial" w:cs="Arial"/>
          <w:i/>
          <w:sz w:val="20"/>
          <w:szCs w:val="20"/>
        </w:rPr>
        <w:t>)</w:t>
      </w:r>
      <w:r w:rsidR="000257A1" w:rsidRPr="00DE475B">
        <w:rPr>
          <w:rFonts w:ascii="Arial" w:hAnsi="Arial" w:cs="Arial"/>
          <w:sz w:val="20"/>
          <w:szCs w:val="20"/>
        </w:rPr>
        <w:t xml:space="preserve">. Digital editions are forwarded weekly, and are accessible onsite at SLQ and </w:t>
      </w:r>
      <w:r w:rsidR="000C1543">
        <w:rPr>
          <w:rFonts w:ascii="Arial" w:hAnsi="Arial" w:cs="Arial"/>
          <w:sz w:val="20"/>
          <w:szCs w:val="20"/>
        </w:rPr>
        <w:t xml:space="preserve">public </w:t>
      </w:r>
      <w:r w:rsidR="000257A1" w:rsidRPr="00DE475B">
        <w:rPr>
          <w:rFonts w:ascii="Arial" w:hAnsi="Arial" w:cs="Arial"/>
          <w:sz w:val="20"/>
          <w:szCs w:val="20"/>
        </w:rPr>
        <w:t xml:space="preserve">libraries </w:t>
      </w:r>
      <w:r w:rsidR="000C1543">
        <w:rPr>
          <w:rFonts w:ascii="Arial" w:hAnsi="Arial" w:cs="Arial"/>
          <w:sz w:val="20"/>
          <w:szCs w:val="20"/>
        </w:rPr>
        <w:t xml:space="preserve">local to publication </w:t>
      </w:r>
      <w:r w:rsidR="000257A1" w:rsidRPr="00DE475B">
        <w:rPr>
          <w:rFonts w:ascii="Arial" w:hAnsi="Arial" w:cs="Arial"/>
          <w:sz w:val="20"/>
          <w:szCs w:val="20"/>
        </w:rPr>
        <w:t xml:space="preserve">during an embargo period to ensure commercial opportunities are unaffected. </w:t>
      </w:r>
      <w:r w:rsidR="000C1543">
        <w:rPr>
          <w:rFonts w:ascii="Arial" w:hAnsi="Arial" w:cs="Arial"/>
          <w:sz w:val="20"/>
          <w:szCs w:val="20"/>
        </w:rPr>
        <w:t>Once the embargo period has ended</w:t>
      </w:r>
      <w:r w:rsidR="00923B93">
        <w:rPr>
          <w:rFonts w:ascii="Arial" w:hAnsi="Arial" w:cs="Arial"/>
          <w:sz w:val="20"/>
          <w:szCs w:val="20"/>
        </w:rPr>
        <w:t>,</w:t>
      </w:r>
      <w:r w:rsidR="00CF37D0">
        <w:rPr>
          <w:rFonts w:ascii="Arial" w:hAnsi="Arial" w:cs="Arial"/>
          <w:sz w:val="20"/>
          <w:szCs w:val="20"/>
        </w:rPr>
        <w:t xml:space="preserve"> the publication becomes available </w:t>
      </w:r>
      <w:r w:rsidR="000257A1" w:rsidRPr="00DE475B">
        <w:rPr>
          <w:rFonts w:ascii="Arial" w:hAnsi="Arial" w:cs="Arial"/>
          <w:sz w:val="20"/>
          <w:szCs w:val="20"/>
        </w:rPr>
        <w:t>online</w:t>
      </w:r>
      <w:r>
        <w:rPr>
          <w:rFonts w:ascii="Arial" w:hAnsi="Arial" w:cs="Arial"/>
          <w:sz w:val="20"/>
          <w:szCs w:val="20"/>
        </w:rPr>
        <w:t xml:space="preserve"> without restriction</w:t>
      </w:r>
      <w:r w:rsidR="000257A1" w:rsidRPr="00DE475B">
        <w:rPr>
          <w:rFonts w:ascii="Arial" w:hAnsi="Arial" w:cs="Arial"/>
          <w:sz w:val="20"/>
          <w:szCs w:val="20"/>
        </w:rPr>
        <w:t xml:space="preserve">. This </w:t>
      </w:r>
      <w:r>
        <w:rPr>
          <w:rFonts w:ascii="Arial" w:hAnsi="Arial" w:cs="Arial"/>
          <w:sz w:val="20"/>
          <w:szCs w:val="20"/>
        </w:rPr>
        <w:t>agreement</w:t>
      </w:r>
      <w:r w:rsidR="00585810">
        <w:rPr>
          <w:rFonts w:ascii="Arial" w:hAnsi="Arial" w:cs="Arial"/>
          <w:sz w:val="20"/>
          <w:szCs w:val="20"/>
        </w:rPr>
        <w:t xml:space="preserve"> simplifies the process of long-</w:t>
      </w:r>
      <w:r w:rsidR="000257A1" w:rsidRPr="00DE475B">
        <w:rPr>
          <w:rFonts w:ascii="Arial" w:hAnsi="Arial" w:cs="Arial"/>
          <w:sz w:val="20"/>
          <w:szCs w:val="20"/>
        </w:rPr>
        <w:t>term pr</w:t>
      </w:r>
      <w:r>
        <w:rPr>
          <w:rFonts w:ascii="Arial" w:hAnsi="Arial" w:cs="Arial"/>
          <w:sz w:val="20"/>
          <w:szCs w:val="20"/>
        </w:rPr>
        <w:t>eservation of these newspapers.</w:t>
      </w:r>
    </w:p>
    <w:p w:rsidR="000257A1" w:rsidRDefault="000257A1" w:rsidP="00FE3845">
      <w:pPr>
        <w:pStyle w:val="Default"/>
        <w:spacing w:after="120"/>
        <w:rPr>
          <w:sz w:val="20"/>
          <w:szCs w:val="20"/>
        </w:rPr>
      </w:pPr>
      <w:r w:rsidRPr="00DE475B">
        <w:rPr>
          <w:sz w:val="20"/>
          <w:szCs w:val="20"/>
        </w:rPr>
        <w:t>SLQ is working with</w:t>
      </w:r>
      <w:r w:rsidR="00892748">
        <w:rPr>
          <w:sz w:val="20"/>
          <w:szCs w:val="20"/>
        </w:rPr>
        <w:t xml:space="preserve"> </w:t>
      </w:r>
      <w:proofErr w:type="spellStart"/>
      <w:r w:rsidR="00892748">
        <w:rPr>
          <w:sz w:val="20"/>
          <w:szCs w:val="20"/>
        </w:rPr>
        <w:t>NSLA</w:t>
      </w:r>
      <w:proofErr w:type="spellEnd"/>
      <w:r w:rsidR="00892748">
        <w:rPr>
          <w:sz w:val="20"/>
          <w:szCs w:val="20"/>
        </w:rPr>
        <w:t xml:space="preserve"> (National and State Libraries </w:t>
      </w:r>
      <w:r w:rsidR="00816D34">
        <w:rPr>
          <w:sz w:val="20"/>
          <w:szCs w:val="20"/>
        </w:rPr>
        <w:t>Australasia</w:t>
      </w:r>
      <w:r w:rsidR="00892748">
        <w:rPr>
          <w:sz w:val="20"/>
          <w:szCs w:val="20"/>
        </w:rPr>
        <w:t xml:space="preserve">) </w:t>
      </w:r>
      <w:r w:rsidRPr="00DE475B">
        <w:rPr>
          <w:sz w:val="20"/>
          <w:szCs w:val="20"/>
        </w:rPr>
        <w:t xml:space="preserve">libraries across </w:t>
      </w:r>
      <w:r w:rsidRPr="00DE475B">
        <w:rPr>
          <w:sz w:val="20"/>
          <w:szCs w:val="20"/>
        </w:rPr>
        <w:lastRenderedPageBreak/>
        <w:t xml:space="preserve">Australia on a central repository for digital legal deposit content. Legislation </w:t>
      </w:r>
      <w:r w:rsidR="00892748">
        <w:rPr>
          <w:sz w:val="20"/>
          <w:szCs w:val="20"/>
        </w:rPr>
        <w:t>in many states</w:t>
      </w:r>
      <w:r w:rsidRPr="00DE475B">
        <w:rPr>
          <w:sz w:val="20"/>
          <w:szCs w:val="20"/>
        </w:rPr>
        <w:t xml:space="preserve"> requires local publishers to deposit new publications to the National Library of Australia (</w:t>
      </w:r>
      <w:proofErr w:type="spellStart"/>
      <w:r w:rsidRPr="00DE475B">
        <w:rPr>
          <w:sz w:val="20"/>
          <w:szCs w:val="20"/>
        </w:rPr>
        <w:t>NLA</w:t>
      </w:r>
      <w:proofErr w:type="spellEnd"/>
      <w:r w:rsidRPr="00DE475B">
        <w:rPr>
          <w:sz w:val="20"/>
          <w:szCs w:val="20"/>
        </w:rPr>
        <w:t>) and their local state library, resulting in duplication. This digital transformation initiative is exploring options that would allow all relevant libraries to access a single digital deposit</w:t>
      </w:r>
      <w:r w:rsidR="00591EBE" w:rsidRPr="00591EBE">
        <w:rPr>
          <w:sz w:val="20"/>
          <w:szCs w:val="20"/>
        </w:rPr>
        <w:t xml:space="preserve"> </w:t>
      </w:r>
      <w:r w:rsidR="00591EBE">
        <w:rPr>
          <w:sz w:val="20"/>
          <w:szCs w:val="20"/>
        </w:rPr>
        <w:t>within the agreed licensing scope</w:t>
      </w:r>
      <w:r w:rsidRPr="00DE475B">
        <w:rPr>
          <w:sz w:val="20"/>
          <w:szCs w:val="20"/>
        </w:rPr>
        <w:t xml:space="preserve">. </w:t>
      </w:r>
      <w:proofErr w:type="spellStart"/>
      <w:r w:rsidRPr="00DE475B">
        <w:rPr>
          <w:sz w:val="20"/>
          <w:szCs w:val="20"/>
        </w:rPr>
        <w:t>NLA</w:t>
      </w:r>
      <w:proofErr w:type="spellEnd"/>
      <w:r w:rsidRPr="00DE475B">
        <w:rPr>
          <w:sz w:val="20"/>
          <w:szCs w:val="20"/>
        </w:rPr>
        <w:t xml:space="preserve"> would manage preservation and delivery of the digital content, while state libraries would continue to engage with publishers, identify content and make content accessible via their local catalogues. SLQ is represented on the project steering group and </w:t>
      </w:r>
      <w:proofErr w:type="spellStart"/>
      <w:r w:rsidRPr="00DE475B">
        <w:rPr>
          <w:sz w:val="20"/>
          <w:szCs w:val="20"/>
        </w:rPr>
        <w:t>NLA</w:t>
      </w:r>
      <w:proofErr w:type="spellEnd"/>
      <w:r w:rsidRPr="00DE475B">
        <w:rPr>
          <w:sz w:val="20"/>
          <w:szCs w:val="20"/>
        </w:rPr>
        <w:t xml:space="preserve"> is developing a proposal for a new funding model that engages state </w:t>
      </w:r>
      <w:r w:rsidR="00591EBE">
        <w:rPr>
          <w:sz w:val="20"/>
          <w:szCs w:val="20"/>
        </w:rPr>
        <w:t xml:space="preserve">and territory </w:t>
      </w:r>
      <w:r w:rsidRPr="00DE475B">
        <w:rPr>
          <w:sz w:val="20"/>
          <w:szCs w:val="20"/>
        </w:rPr>
        <w:t>libra</w:t>
      </w:r>
      <w:r w:rsidR="00585810">
        <w:rPr>
          <w:sz w:val="20"/>
          <w:szCs w:val="20"/>
        </w:rPr>
        <w:t>ries as partners to ensure long-</w:t>
      </w:r>
      <w:r w:rsidRPr="00DE475B">
        <w:rPr>
          <w:sz w:val="20"/>
          <w:szCs w:val="20"/>
        </w:rPr>
        <w:t>term sustainability.</w:t>
      </w:r>
    </w:p>
    <w:p w:rsidR="00680922" w:rsidRPr="00680922" w:rsidRDefault="00680922" w:rsidP="00680922">
      <w:pPr>
        <w:rPr>
          <w:rFonts w:ascii="Arial" w:hAnsi="Arial" w:cs="Arial"/>
          <w:b/>
          <w:sz w:val="20"/>
          <w:szCs w:val="20"/>
        </w:rPr>
      </w:pPr>
      <w:r w:rsidRPr="00680922">
        <w:rPr>
          <w:rFonts w:ascii="Arial" w:hAnsi="Arial" w:cs="Arial"/>
          <w:b/>
          <w:sz w:val="20"/>
          <w:szCs w:val="20"/>
        </w:rPr>
        <w:t>Increase membership and awareness</w:t>
      </w:r>
    </w:p>
    <w:p w:rsidR="000257A1" w:rsidRPr="00DE475B" w:rsidRDefault="00C6520C" w:rsidP="00FE3845">
      <w:pPr>
        <w:spacing w:after="120"/>
        <w:rPr>
          <w:rFonts w:ascii="Arial" w:hAnsi="Arial" w:cs="Arial"/>
          <w:sz w:val="20"/>
          <w:szCs w:val="20"/>
        </w:rPr>
      </w:pPr>
      <w:r>
        <w:rPr>
          <w:rFonts w:ascii="Arial" w:hAnsi="Arial" w:cs="Arial"/>
          <w:sz w:val="20"/>
          <w:szCs w:val="20"/>
        </w:rPr>
        <w:t>SLQ works with Queensland c</w:t>
      </w:r>
      <w:r w:rsidR="000257A1" w:rsidRPr="00DE475B">
        <w:rPr>
          <w:rFonts w:ascii="Arial" w:hAnsi="Arial" w:cs="Arial"/>
          <w:sz w:val="20"/>
          <w:szCs w:val="20"/>
        </w:rPr>
        <w:t>ouncils to increase public library membership by raising awareness of available services. Through a consortium model of delivery, SLQ also helps to bolster the buying power of public libraries to deliver the best possible services to the people of Queensland.</w:t>
      </w:r>
    </w:p>
    <w:p w:rsidR="000257A1" w:rsidRPr="00DE475B" w:rsidRDefault="000257A1" w:rsidP="00FE3845">
      <w:pPr>
        <w:spacing w:after="120"/>
        <w:rPr>
          <w:rFonts w:ascii="Arial" w:hAnsi="Arial" w:cs="Arial"/>
          <w:sz w:val="20"/>
          <w:szCs w:val="20"/>
        </w:rPr>
      </w:pPr>
      <w:r w:rsidRPr="00DE475B">
        <w:rPr>
          <w:rFonts w:ascii="Arial" w:hAnsi="Arial" w:cs="Arial"/>
          <w:sz w:val="20"/>
          <w:szCs w:val="20"/>
        </w:rPr>
        <w:t xml:space="preserve">For instance, SLQ coordinates </w:t>
      </w:r>
      <w:r w:rsidR="00B12B4D">
        <w:rPr>
          <w:rFonts w:ascii="Arial" w:hAnsi="Arial" w:cs="Arial"/>
          <w:sz w:val="20"/>
          <w:szCs w:val="20"/>
        </w:rPr>
        <w:t xml:space="preserve">state-wide </w:t>
      </w:r>
      <w:r w:rsidRPr="00DE475B">
        <w:rPr>
          <w:rFonts w:ascii="Arial" w:hAnsi="Arial" w:cs="Arial"/>
          <w:sz w:val="20"/>
          <w:szCs w:val="20"/>
        </w:rPr>
        <w:t>access to Lynda.com, the online training provider. This</w:t>
      </w:r>
      <w:r w:rsidR="00F17DB4">
        <w:rPr>
          <w:rFonts w:ascii="Arial" w:hAnsi="Arial" w:cs="Arial"/>
          <w:sz w:val="20"/>
          <w:szCs w:val="20"/>
        </w:rPr>
        <w:t xml:space="preserve"> subscription</w:t>
      </w:r>
      <w:r w:rsidRPr="00DE475B">
        <w:rPr>
          <w:rFonts w:ascii="Arial" w:hAnsi="Arial" w:cs="Arial"/>
          <w:sz w:val="20"/>
          <w:szCs w:val="20"/>
        </w:rPr>
        <w:t xml:space="preserve"> allows public libraries and </w:t>
      </w:r>
      <w:proofErr w:type="spellStart"/>
      <w:r w:rsidRPr="00DE475B">
        <w:rPr>
          <w:rFonts w:ascii="Arial" w:hAnsi="Arial" w:cs="Arial"/>
          <w:sz w:val="20"/>
          <w:szCs w:val="20"/>
        </w:rPr>
        <w:t>IKCs</w:t>
      </w:r>
      <w:proofErr w:type="spellEnd"/>
      <w:r w:rsidRPr="00DE475B">
        <w:rPr>
          <w:rFonts w:ascii="Arial" w:hAnsi="Arial" w:cs="Arial"/>
          <w:sz w:val="20"/>
          <w:szCs w:val="20"/>
        </w:rPr>
        <w:t xml:space="preserve"> to offer their members free access to more than 3,000 online </w:t>
      </w:r>
      <w:proofErr w:type="gramStart"/>
      <w:r w:rsidRPr="00DE475B">
        <w:rPr>
          <w:rFonts w:ascii="Arial" w:hAnsi="Arial" w:cs="Arial"/>
          <w:sz w:val="20"/>
          <w:szCs w:val="20"/>
        </w:rPr>
        <w:t>courses</w:t>
      </w:r>
      <w:proofErr w:type="gramEnd"/>
      <w:r w:rsidRPr="00DE475B">
        <w:rPr>
          <w:rFonts w:ascii="Arial" w:hAnsi="Arial" w:cs="Arial"/>
          <w:sz w:val="20"/>
          <w:szCs w:val="20"/>
        </w:rPr>
        <w:t xml:space="preserve"> and 135,000 video tutorials </w:t>
      </w:r>
      <w:r w:rsidR="00E020E0">
        <w:rPr>
          <w:rFonts w:ascii="Arial" w:hAnsi="Arial" w:cs="Arial"/>
          <w:sz w:val="20"/>
          <w:szCs w:val="20"/>
        </w:rPr>
        <w:t>presented</w:t>
      </w:r>
      <w:r w:rsidRPr="00DE475B">
        <w:rPr>
          <w:rFonts w:ascii="Arial" w:hAnsi="Arial" w:cs="Arial"/>
          <w:sz w:val="20"/>
          <w:szCs w:val="20"/>
        </w:rPr>
        <w:t xml:space="preserve"> by experts in their field. In 2016–17, SLQ worked with libraries and </w:t>
      </w:r>
      <w:proofErr w:type="spellStart"/>
      <w:r w:rsidRPr="00DE475B">
        <w:rPr>
          <w:rFonts w:ascii="Arial" w:hAnsi="Arial" w:cs="Arial"/>
          <w:sz w:val="20"/>
          <w:szCs w:val="20"/>
        </w:rPr>
        <w:t>IKCs</w:t>
      </w:r>
      <w:proofErr w:type="spellEnd"/>
      <w:r w:rsidRPr="00DE475B">
        <w:rPr>
          <w:rFonts w:ascii="Arial" w:hAnsi="Arial" w:cs="Arial"/>
          <w:sz w:val="20"/>
          <w:szCs w:val="20"/>
        </w:rPr>
        <w:t xml:space="preserve"> to promote this service in their local areas, encouraging non-members to join their libraries and </w:t>
      </w:r>
      <w:proofErr w:type="spellStart"/>
      <w:r w:rsidRPr="00DE475B">
        <w:rPr>
          <w:rFonts w:ascii="Arial" w:hAnsi="Arial" w:cs="Arial"/>
          <w:sz w:val="20"/>
          <w:szCs w:val="20"/>
        </w:rPr>
        <w:t>IKCs</w:t>
      </w:r>
      <w:proofErr w:type="spellEnd"/>
      <w:r w:rsidRPr="00DE475B">
        <w:rPr>
          <w:rFonts w:ascii="Arial" w:hAnsi="Arial" w:cs="Arial"/>
          <w:sz w:val="20"/>
          <w:szCs w:val="20"/>
        </w:rPr>
        <w:t xml:space="preserve"> to access these benefits.</w:t>
      </w:r>
    </w:p>
    <w:p w:rsidR="000257A1" w:rsidRPr="00DE475B" w:rsidRDefault="000257A1" w:rsidP="00FE3845">
      <w:pPr>
        <w:spacing w:after="120"/>
        <w:rPr>
          <w:rFonts w:ascii="Arial" w:hAnsi="Arial" w:cs="Arial"/>
          <w:sz w:val="20"/>
          <w:szCs w:val="20"/>
          <w:lang w:eastAsia="en-US"/>
        </w:rPr>
      </w:pPr>
      <w:r w:rsidRPr="00DE475B">
        <w:rPr>
          <w:rFonts w:ascii="Arial" w:hAnsi="Arial" w:cs="Arial"/>
          <w:sz w:val="20"/>
          <w:szCs w:val="20"/>
          <w:lang w:eastAsia="en-US"/>
        </w:rPr>
        <w:t>In the 2016 calendar year, an estimated 8,000 First 5 Forever (</w:t>
      </w:r>
      <w:r w:rsidRPr="005147B1">
        <w:rPr>
          <w:rFonts w:ascii="Arial" w:hAnsi="Arial" w:cs="Arial"/>
          <w:sz w:val="20"/>
          <w:szCs w:val="20"/>
          <w:lang w:eastAsia="en-US"/>
        </w:rPr>
        <w:t xml:space="preserve">page </w:t>
      </w:r>
      <w:r w:rsidR="001C4134" w:rsidRPr="005147B1">
        <w:rPr>
          <w:rFonts w:ascii="Arial" w:hAnsi="Arial" w:cs="Arial"/>
          <w:sz w:val="20"/>
          <w:szCs w:val="20"/>
          <w:lang w:eastAsia="en-US"/>
        </w:rPr>
        <w:t>20</w:t>
      </w:r>
      <w:r w:rsidRPr="005147B1">
        <w:rPr>
          <w:rFonts w:ascii="Arial" w:hAnsi="Arial" w:cs="Arial"/>
          <w:sz w:val="20"/>
          <w:szCs w:val="20"/>
          <w:lang w:eastAsia="en-US"/>
        </w:rPr>
        <w:t>)</w:t>
      </w:r>
      <w:r w:rsidRPr="00DE475B">
        <w:rPr>
          <w:rFonts w:ascii="Arial" w:hAnsi="Arial" w:cs="Arial"/>
          <w:sz w:val="20"/>
          <w:szCs w:val="20"/>
          <w:lang w:eastAsia="en-US"/>
        </w:rPr>
        <w:t xml:space="preserve"> outreach events took place outside of libraries, with more than 87,000 people participating. The First 5 Forever program aims to encourage lifelong connections between families and their local libraries, and has resulted in increased attendance at library sessions aimed at children ages 0 to 5.</w:t>
      </w:r>
    </w:p>
    <w:p w:rsidR="000257A1" w:rsidRPr="00595506" w:rsidRDefault="000257A1" w:rsidP="000257A1">
      <w:pPr>
        <w:rPr>
          <w:rFonts w:ascii="Arial" w:hAnsi="Arial" w:cs="Arial"/>
          <w:b/>
          <w:spacing w:val="-2"/>
          <w:sz w:val="20"/>
          <w:szCs w:val="20"/>
        </w:rPr>
        <w:sectPr w:rsidR="000257A1" w:rsidRPr="00595506" w:rsidSect="00B53922">
          <w:type w:val="continuous"/>
          <w:pgSz w:w="11906" w:h="16838"/>
          <w:pgMar w:top="1440" w:right="1701" w:bottom="1440" w:left="1701" w:header="709" w:footer="709" w:gutter="0"/>
          <w:cols w:num="2" w:space="397"/>
          <w:docGrid w:linePitch="360"/>
        </w:sectPr>
      </w:pPr>
      <w:r w:rsidRPr="003A2F38">
        <w:rPr>
          <w:rFonts w:ascii="Arial" w:hAnsi="Arial" w:cs="Arial"/>
          <w:spacing w:val="-2"/>
          <w:sz w:val="20"/>
          <w:szCs w:val="20"/>
          <w:lang w:eastAsia="en-US"/>
        </w:rPr>
        <w:t>Libraries across southwest Queensland came face to face with the latest technologies in February 2017 to engage their communities through programming robots and coding. The Robot Roadshow, supported by SLQ in partnership with Regional Development Australia, visited Charleville, Cunnamulla, Thargomindah and Quilpie libraries and engaged more than 2,500 library staff, teachers, students and community members. Library staff and teachers</w:t>
      </w:r>
      <w:r w:rsidR="00356451" w:rsidRPr="003A2F38">
        <w:rPr>
          <w:rFonts w:ascii="Arial" w:hAnsi="Arial" w:cs="Arial"/>
          <w:spacing w:val="-2"/>
          <w:sz w:val="20"/>
          <w:szCs w:val="20"/>
          <w:lang w:eastAsia="en-US"/>
        </w:rPr>
        <w:t xml:space="preserve">, students and </w:t>
      </w:r>
      <w:r w:rsidR="00356451" w:rsidRPr="003A2F38">
        <w:rPr>
          <w:rFonts w:ascii="Arial" w:hAnsi="Arial" w:cs="Arial"/>
          <w:spacing w:val="-2"/>
          <w:sz w:val="20"/>
          <w:szCs w:val="20"/>
          <w:lang w:eastAsia="en-US"/>
        </w:rPr>
        <w:lastRenderedPageBreak/>
        <w:t>community members</w:t>
      </w:r>
      <w:r w:rsidRPr="003A2F38">
        <w:rPr>
          <w:rFonts w:ascii="Arial" w:hAnsi="Arial" w:cs="Arial"/>
          <w:spacing w:val="-2"/>
          <w:sz w:val="20"/>
          <w:szCs w:val="20"/>
          <w:lang w:eastAsia="en-US"/>
        </w:rPr>
        <w:t xml:space="preserve"> </w:t>
      </w:r>
      <w:r w:rsidR="00FC4D26">
        <w:rPr>
          <w:rFonts w:ascii="Arial" w:hAnsi="Arial" w:cs="Arial"/>
          <w:spacing w:val="-2"/>
          <w:sz w:val="20"/>
          <w:szCs w:val="20"/>
          <w:lang w:eastAsia="en-US"/>
        </w:rPr>
        <w:t>had</w:t>
      </w:r>
      <w:r w:rsidRPr="003A2F38">
        <w:rPr>
          <w:rFonts w:ascii="Arial" w:hAnsi="Arial" w:cs="Arial"/>
          <w:spacing w:val="-2"/>
          <w:sz w:val="20"/>
          <w:szCs w:val="20"/>
          <w:lang w:eastAsia="en-US"/>
        </w:rPr>
        <w:t xml:space="preserve"> a hands-on opportunity to explore technologies</w:t>
      </w:r>
      <w:r w:rsidR="006441C1" w:rsidRPr="003A2F38">
        <w:rPr>
          <w:rFonts w:ascii="Arial" w:hAnsi="Arial" w:cs="Arial"/>
          <w:spacing w:val="-2"/>
          <w:sz w:val="20"/>
          <w:szCs w:val="20"/>
          <w:lang w:eastAsia="en-US"/>
        </w:rPr>
        <w:t xml:space="preserve"> such as </w:t>
      </w:r>
      <w:proofErr w:type="spellStart"/>
      <w:r w:rsidR="006441C1" w:rsidRPr="003A2F38">
        <w:rPr>
          <w:rFonts w:ascii="Arial" w:hAnsi="Arial" w:cs="Arial"/>
          <w:spacing w:val="-2"/>
          <w:sz w:val="20"/>
          <w:szCs w:val="20"/>
          <w:lang w:eastAsia="en-US"/>
        </w:rPr>
        <w:t>Ozobot</w:t>
      </w:r>
      <w:proofErr w:type="spellEnd"/>
      <w:r w:rsidR="006441C1" w:rsidRPr="003A2F38">
        <w:rPr>
          <w:rFonts w:ascii="Arial" w:hAnsi="Arial" w:cs="Arial"/>
          <w:spacing w:val="-2"/>
          <w:sz w:val="20"/>
          <w:szCs w:val="20"/>
          <w:lang w:eastAsia="en-US"/>
        </w:rPr>
        <w:t>, NAO and HTC Vive virtual reality</w:t>
      </w:r>
      <w:r w:rsidRPr="003A2F38">
        <w:rPr>
          <w:rFonts w:ascii="Arial" w:hAnsi="Arial" w:cs="Arial"/>
          <w:spacing w:val="-2"/>
          <w:sz w:val="20"/>
          <w:szCs w:val="20"/>
          <w:lang w:eastAsia="en-US"/>
        </w:rPr>
        <w:t>. SLQ has</w:t>
      </w:r>
      <w:r w:rsidR="00D14901">
        <w:rPr>
          <w:rFonts w:ascii="Arial" w:hAnsi="Arial" w:cs="Arial"/>
          <w:spacing w:val="-2"/>
          <w:sz w:val="20"/>
          <w:szCs w:val="20"/>
          <w:lang w:eastAsia="en-US"/>
        </w:rPr>
        <w:t xml:space="preserve"> also</w:t>
      </w:r>
      <w:r w:rsidRPr="003A2F38">
        <w:rPr>
          <w:rFonts w:ascii="Arial" w:hAnsi="Arial" w:cs="Arial"/>
          <w:spacing w:val="-2"/>
          <w:sz w:val="20"/>
          <w:szCs w:val="20"/>
          <w:lang w:eastAsia="en-US"/>
        </w:rPr>
        <w:t xml:space="preserve"> been helping public libraries to provide </w:t>
      </w:r>
      <w:r w:rsidR="00D14901">
        <w:rPr>
          <w:rFonts w:ascii="Arial" w:hAnsi="Arial" w:cs="Arial"/>
          <w:spacing w:val="-2"/>
          <w:sz w:val="20"/>
          <w:szCs w:val="20"/>
          <w:lang w:eastAsia="en-US"/>
        </w:rPr>
        <w:t xml:space="preserve">other </w:t>
      </w:r>
      <w:r w:rsidR="00DE475B" w:rsidRPr="003A2F38">
        <w:rPr>
          <w:rFonts w:ascii="Arial" w:hAnsi="Arial" w:cs="Arial"/>
          <w:spacing w:val="-2"/>
          <w:sz w:val="20"/>
          <w:szCs w:val="20"/>
          <w:lang w:eastAsia="en-US"/>
        </w:rPr>
        <w:t xml:space="preserve">opportunities to </w:t>
      </w:r>
      <w:r w:rsidR="00BA326E" w:rsidRPr="003A2F38">
        <w:rPr>
          <w:rFonts w:ascii="Arial" w:hAnsi="Arial" w:cs="Arial"/>
          <w:spacing w:val="-2"/>
          <w:sz w:val="20"/>
          <w:szCs w:val="20"/>
          <w:lang w:eastAsia="en-US"/>
        </w:rPr>
        <w:t>access</w:t>
      </w:r>
      <w:r w:rsidRPr="003A2F38">
        <w:rPr>
          <w:rFonts w:ascii="Arial" w:hAnsi="Arial" w:cs="Arial"/>
          <w:spacing w:val="-2"/>
          <w:sz w:val="20"/>
          <w:szCs w:val="20"/>
          <w:lang w:eastAsia="en-US"/>
        </w:rPr>
        <w:t xml:space="preserve"> these </w:t>
      </w:r>
      <w:r w:rsidR="00C4130F" w:rsidRPr="003A2F38">
        <w:rPr>
          <w:rFonts w:ascii="Arial" w:hAnsi="Arial" w:cs="Arial"/>
          <w:spacing w:val="-2"/>
          <w:sz w:val="20"/>
          <w:szCs w:val="20"/>
          <w:lang w:eastAsia="en-US"/>
        </w:rPr>
        <w:lastRenderedPageBreak/>
        <w:t>technologies</w:t>
      </w:r>
      <w:r w:rsidR="00FC4D26">
        <w:rPr>
          <w:rFonts w:ascii="Arial" w:hAnsi="Arial" w:cs="Arial"/>
          <w:spacing w:val="-2"/>
          <w:sz w:val="20"/>
          <w:szCs w:val="20"/>
          <w:lang w:eastAsia="en-US"/>
        </w:rPr>
        <w:t xml:space="preserve"> (</w:t>
      </w:r>
      <w:r w:rsidRPr="003A2F38">
        <w:rPr>
          <w:rFonts w:ascii="Arial" w:hAnsi="Arial" w:cs="Arial"/>
          <w:spacing w:val="-2"/>
          <w:sz w:val="20"/>
          <w:szCs w:val="20"/>
          <w:lang w:eastAsia="en-US"/>
        </w:rPr>
        <w:t xml:space="preserve">page </w:t>
      </w:r>
      <w:r w:rsidR="001C4134">
        <w:rPr>
          <w:rFonts w:ascii="Arial" w:hAnsi="Arial" w:cs="Arial"/>
          <w:spacing w:val="-2"/>
          <w:sz w:val="20"/>
          <w:szCs w:val="20"/>
          <w:lang w:eastAsia="en-US"/>
        </w:rPr>
        <w:t>20</w:t>
      </w:r>
      <w:r w:rsidRPr="003A2F38">
        <w:rPr>
          <w:rFonts w:ascii="Arial" w:hAnsi="Arial" w:cs="Arial"/>
          <w:spacing w:val="-2"/>
          <w:sz w:val="20"/>
          <w:szCs w:val="20"/>
          <w:lang w:eastAsia="en-US"/>
        </w:rPr>
        <w:t xml:space="preserve">). </w:t>
      </w:r>
      <w:r w:rsidR="00D14901">
        <w:rPr>
          <w:rFonts w:ascii="Arial" w:hAnsi="Arial" w:cs="Arial"/>
          <w:spacing w:val="-2"/>
          <w:sz w:val="20"/>
          <w:szCs w:val="20"/>
          <w:lang w:eastAsia="en-US"/>
        </w:rPr>
        <w:t xml:space="preserve">In 2016–17 </w:t>
      </w:r>
      <w:r w:rsidRPr="003A2F38">
        <w:rPr>
          <w:rFonts w:ascii="Arial" w:hAnsi="Arial" w:cs="Arial"/>
          <w:spacing w:val="-2"/>
          <w:sz w:val="20"/>
          <w:szCs w:val="20"/>
          <w:lang w:eastAsia="en-US"/>
        </w:rPr>
        <w:t>SLQ</w:t>
      </w:r>
      <w:r w:rsidR="00547E62">
        <w:rPr>
          <w:rFonts w:ascii="Arial" w:hAnsi="Arial" w:cs="Arial"/>
          <w:spacing w:val="-2"/>
          <w:sz w:val="20"/>
          <w:szCs w:val="20"/>
          <w:lang w:eastAsia="en-US"/>
        </w:rPr>
        <w:t xml:space="preserve"> also </w:t>
      </w:r>
      <w:r w:rsidRPr="003A2F38">
        <w:rPr>
          <w:rFonts w:ascii="Arial" w:hAnsi="Arial" w:cs="Arial"/>
          <w:spacing w:val="-2"/>
          <w:sz w:val="20"/>
          <w:szCs w:val="20"/>
          <w:lang w:eastAsia="en-US"/>
        </w:rPr>
        <w:t>partnered with the Department of Science, Information Technology and Innovation to hold Robotics Roadshow</w:t>
      </w:r>
      <w:r w:rsidR="002C584A" w:rsidRPr="003A2F38">
        <w:rPr>
          <w:rFonts w:ascii="Arial" w:hAnsi="Arial" w:cs="Arial"/>
          <w:spacing w:val="-2"/>
          <w:sz w:val="20"/>
          <w:szCs w:val="20"/>
          <w:lang w:eastAsia="en-US"/>
        </w:rPr>
        <w:t>s</w:t>
      </w:r>
      <w:r w:rsidRPr="003A2F38">
        <w:rPr>
          <w:rFonts w:ascii="Arial" w:hAnsi="Arial" w:cs="Arial"/>
          <w:spacing w:val="-2"/>
          <w:sz w:val="20"/>
          <w:szCs w:val="20"/>
          <w:lang w:eastAsia="en-US"/>
        </w:rPr>
        <w:t xml:space="preserve"> in Cairns, Longreach, Mt Isa, Rockhampton and Bundaberg.</w:t>
      </w:r>
    </w:p>
    <w:p w:rsidR="00DB48BF" w:rsidRPr="00DE475B" w:rsidRDefault="00DB48BF" w:rsidP="0020015A">
      <w:pPr>
        <w:spacing w:after="120"/>
        <w:rPr>
          <w:rFonts w:ascii="Arial" w:hAnsi="Arial" w:cs="Arial"/>
          <w:spacing w:val="-2"/>
          <w:sz w:val="20"/>
          <w:szCs w:val="20"/>
        </w:rPr>
        <w:sectPr w:rsidR="00DB48BF" w:rsidRPr="00DE475B" w:rsidSect="00B53922">
          <w:type w:val="continuous"/>
          <w:pgSz w:w="11906" w:h="16838"/>
          <w:pgMar w:top="1440" w:right="1701" w:bottom="1440" w:left="1701" w:header="709" w:footer="709" w:gutter="0"/>
          <w:cols w:num="2" w:space="397"/>
          <w:docGrid w:linePitch="360"/>
        </w:sectPr>
      </w:pPr>
    </w:p>
    <w:p w:rsidR="00D346B4" w:rsidRPr="00DE475B" w:rsidRDefault="00E524E4" w:rsidP="00DC57D3">
      <w:pPr>
        <w:pStyle w:val="ARHeading1"/>
        <w:pageBreakBefore/>
      </w:pPr>
      <w:r w:rsidRPr="00E73F20">
        <w:lastRenderedPageBreak/>
        <w:t>Engage c</w:t>
      </w:r>
      <w:r w:rsidR="003E2C5C" w:rsidRPr="00E73F20">
        <w:t>ommunity</w:t>
      </w:r>
    </w:p>
    <w:p w:rsidR="00D346B4" w:rsidRPr="00DE475B" w:rsidRDefault="00D346B4">
      <w:pPr>
        <w:rPr>
          <w:rFonts w:ascii="Arial" w:hAnsi="Arial" w:cs="Arial"/>
          <w:b/>
          <w:bCs/>
          <w:iCs/>
          <w:shd w:val="clear" w:color="auto" w:fill="FFFF00"/>
        </w:rPr>
      </w:pPr>
    </w:p>
    <w:p w:rsidR="00D346B4" w:rsidRPr="00DE475B" w:rsidRDefault="009C6E86" w:rsidP="00B47B05">
      <w:pPr>
        <w:rPr>
          <w:rFonts w:ascii="Arial" w:hAnsi="Arial" w:cs="Arial"/>
          <w:i/>
          <w:sz w:val="20"/>
          <w:szCs w:val="20"/>
        </w:rPr>
      </w:pPr>
      <w:r w:rsidRPr="00DE475B">
        <w:rPr>
          <w:rFonts w:ascii="Arial" w:hAnsi="Arial" w:cs="Arial"/>
          <w:i/>
          <w:sz w:val="20"/>
          <w:szCs w:val="20"/>
        </w:rPr>
        <w:t xml:space="preserve">Working with communities </w:t>
      </w:r>
      <w:r w:rsidR="00D95BEB" w:rsidRPr="00DE475B">
        <w:rPr>
          <w:rFonts w:ascii="Arial" w:hAnsi="Arial" w:cs="Arial"/>
          <w:i/>
          <w:sz w:val="20"/>
          <w:szCs w:val="20"/>
        </w:rPr>
        <w:t>of interest</w:t>
      </w:r>
      <w:r w:rsidR="00F9671E" w:rsidRPr="00DE475B">
        <w:rPr>
          <w:rFonts w:ascii="Arial" w:hAnsi="Arial" w:cs="Arial"/>
          <w:i/>
          <w:sz w:val="20"/>
          <w:szCs w:val="20"/>
        </w:rPr>
        <w:t xml:space="preserve"> and the general public</w:t>
      </w:r>
      <w:r w:rsidRPr="00DE475B">
        <w:rPr>
          <w:rFonts w:ascii="Arial" w:hAnsi="Arial" w:cs="Arial"/>
          <w:i/>
          <w:sz w:val="20"/>
          <w:szCs w:val="20"/>
        </w:rPr>
        <w:t xml:space="preserve">, SLQ </w:t>
      </w:r>
      <w:r w:rsidR="00D95BEB" w:rsidRPr="00DE475B">
        <w:rPr>
          <w:rFonts w:ascii="Arial" w:hAnsi="Arial" w:cs="Arial"/>
          <w:i/>
          <w:sz w:val="20"/>
          <w:szCs w:val="20"/>
        </w:rPr>
        <w:t>aims to engage people with its content</w:t>
      </w:r>
      <w:r w:rsidR="00F9671E" w:rsidRPr="00DE475B">
        <w:rPr>
          <w:rFonts w:ascii="Arial" w:hAnsi="Arial" w:cs="Arial"/>
          <w:i/>
          <w:sz w:val="20"/>
          <w:szCs w:val="20"/>
        </w:rPr>
        <w:t xml:space="preserve"> to </w:t>
      </w:r>
      <w:r w:rsidR="00D95BEB" w:rsidRPr="00DE475B">
        <w:rPr>
          <w:rFonts w:ascii="Arial" w:hAnsi="Arial" w:cs="Arial"/>
          <w:i/>
          <w:sz w:val="20"/>
          <w:szCs w:val="20"/>
        </w:rPr>
        <w:t>promot</w:t>
      </w:r>
      <w:r w:rsidR="00F9671E" w:rsidRPr="00DE475B">
        <w:rPr>
          <w:rFonts w:ascii="Arial" w:hAnsi="Arial" w:cs="Arial"/>
          <w:i/>
          <w:sz w:val="20"/>
          <w:szCs w:val="20"/>
        </w:rPr>
        <w:t>e</w:t>
      </w:r>
      <w:r w:rsidR="00D95BEB" w:rsidRPr="00DE475B">
        <w:rPr>
          <w:rFonts w:ascii="Arial" w:hAnsi="Arial" w:cs="Arial"/>
          <w:i/>
          <w:sz w:val="20"/>
          <w:szCs w:val="20"/>
        </w:rPr>
        <w:t xml:space="preserve"> its use and ensur</w:t>
      </w:r>
      <w:r w:rsidR="00F9671E" w:rsidRPr="00DE475B">
        <w:rPr>
          <w:rFonts w:ascii="Arial" w:hAnsi="Arial" w:cs="Arial"/>
          <w:i/>
          <w:sz w:val="20"/>
          <w:szCs w:val="20"/>
        </w:rPr>
        <w:t>e</w:t>
      </w:r>
      <w:r w:rsidR="00D95BEB" w:rsidRPr="00DE475B">
        <w:rPr>
          <w:rFonts w:ascii="Arial" w:hAnsi="Arial" w:cs="Arial"/>
          <w:i/>
          <w:sz w:val="20"/>
          <w:szCs w:val="20"/>
        </w:rPr>
        <w:t xml:space="preserve"> it reflects Queensland’s </w:t>
      </w:r>
      <w:r w:rsidR="00F9671E" w:rsidRPr="00DE475B">
        <w:rPr>
          <w:rFonts w:ascii="Arial" w:hAnsi="Arial" w:cs="Arial"/>
          <w:i/>
          <w:sz w:val="20"/>
          <w:szCs w:val="20"/>
        </w:rPr>
        <w:t>rich culture and heritage</w:t>
      </w:r>
      <w:r w:rsidRPr="00DE475B">
        <w:rPr>
          <w:rFonts w:ascii="Arial" w:hAnsi="Arial" w:cs="Arial"/>
          <w:i/>
          <w:sz w:val="20"/>
          <w:szCs w:val="20"/>
        </w:rPr>
        <w:t>.</w:t>
      </w:r>
    </w:p>
    <w:p w:rsidR="00D346B4" w:rsidRPr="00DE475B" w:rsidRDefault="00D346B4">
      <w:pPr>
        <w:rPr>
          <w:rFonts w:ascii="Arial" w:hAnsi="Arial" w:cs="Arial"/>
          <w:b/>
          <w:bCs/>
          <w:iCs/>
          <w:sz w:val="20"/>
          <w:szCs w:val="20"/>
        </w:rPr>
      </w:pPr>
    </w:p>
    <w:p w:rsidR="00D346B4" w:rsidRPr="00DE475B" w:rsidRDefault="00D346B4">
      <w:pPr>
        <w:rPr>
          <w:sz w:val="20"/>
          <w:szCs w:val="20"/>
        </w:rPr>
        <w:sectPr w:rsidR="00D346B4" w:rsidRPr="00DE475B" w:rsidSect="00B53922">
          <w:type w:val="continuous"/>
          <w:pgSz w:w="11906" w:h="16838"/>
          <w:pgMar w:top="1440" w:right="1701" w:bottom="1440" w:left="1701" w:header="709" w:footer="709" w:gutter="0"/>
          <w:cols w:space="720"/>
          <w:docGrid w:linePitch="360"/>
        </w:sectPr>
      </w:pPr>
    </w:p>
    <w:p w:rsidR="009C6E86" w:rsidRPr="00812003" w:rsidRDefault="009C6E86" w:rsidP="00812003">
      <w:pPr>
        <w:pStyle w:val="ARheading3"/>
        <w:tabs>
          <w:tab w:val="left" w:pos="851"/>
        </w:tabs>
        <w:spacing w:after="120"/>
        <w:rPr>
          <w:color w:val="808080"/>
        </w:rPr>
      </w:pPr>
      <w:r w:rsidRPr="00812003">
        <w:rPr>
          <w:color w:val="808080"/>
        </w:rPr>
        <w:lastRenderedPageBreak/>
        <w:t>Queensland</w:t>
      </w:r>
      <w:r w:rsidR="00F9671E" w:rsidRPr="00812003">
        <w:rPr>
          <w:color w:val="808080"/>
        </w:rPr>
        <w:t>’s</w:t>
      </w:r>
      <w:r w:rsidRPr="00812003">
        <w:rPr>
          <w:color w:val="808080"/>
        </w:rPr>
        <w:t xml:space="preserve"> </w:t>
      </w:r>
      <w:r w:rsidR="00F9671E" w:rsidRPr="00812003">
        <w:rPr>
          <w:color w:val="808080"/>
        </w:rPr>
        <w:t>culture</w:t>
      </w:r>
      <w:r w:rsidR="003E2C5C" w:rsidRPr="00812003">
        <w:rPr>
          <w:color w:val="808080"/>
        </w:rPr>
        <w:t xml:space="preserve"> and heritage</w:t>
      </w:r>
    </w:p>
    <w:p w:rsidR="00617408" w:rsidRDefault="00617408" w:rsidP="00617408">
      <w:pPr>
        <w:spacing w:after="120"/>
        <w:rPr>
          <w:rFonts w:ascii="Arial" w:hAnsi="Arial" w:cs="Arial"/>
          <w:sz w:val="20"/>
          <w:szCs w:val="20"/>
        </w:rPr>
      </w:pPr>
      <w:r>
        <w:rPr>
          <w:rFonts w:ascii="Arial" w:hAnsi="Arial" w:cs="Arial"/>
          <w:sz w:val="20"/>
          <w:szCs w:val="20"/>
        </w:rPr>
        <w:t xml:space="preserve">Many SLQ programs help to ensure Queensland stories are captured, preserved and put into context for future generations. </w:t>
      </w:r>
    </w:p>
    <w:p w:rsidR="00812003" w:rsidRPr="00DE475B" w:rsidRDefault="00812003" w:rsidP="009C6E86">
      <w:pPr>
        <w:rPr>
          <w:rFonts w:ascii="Arial" w:hAnsi="Arial" w:cs="Arial"/>
          <w:sz w:val="20"/>
          <w:szCs w:val="20"/>
        </w:rPr>
      </w:pPr>
      <w:r>
        <w:rPr>
          <w:rFonts w:ascii="Arial" w:hAnsi="Arial" w:cs="Arial"/>
          <w:b/>
          <w:sz w:val="20"/>
          <w:szCs w:val="20"/>
        </w:rPr>
        <w:t>Connected collections</w:t>
      </w:r>
    </w:p>
    <w:p w:rsidR="0064239C" w:rsidRDefault="006673FE" w:rsidP="0064239C">
      <w:pPr>
        <w:pStyle w:val="ARText"/>
        <w:tabs>
          <w:tab w:val="left" w:pos="317"/>
        </w:tabs>
        <w:spacing w:before="0" w:after="120"/>
        <w:rPr>
          <w:szCs w:val="20"/>
        </w:rPr>
      </w:pPr>
      <w:r w:rsidRPr="00DE475B">
        <w:rPr>
          <w:szCs w:val="20"/>
        </w:rPr>
        <w:t xml:space="preserve">The </w:t>
      </w:r>
      <w:r w:rsidRPr="00472E6C">
        <w:rPr>
          <w:i/>
          <w:szCs w:val="20"/>
        </w:rPr>
        <w:t>Q ANZAC 100</w:t>
      </w:r>
      <w:r w:rsidRPr="00DE475B">
        <w:rPr>
          <w:szCs w:val="20"/>
        </w:rPr>
        <w:t xml:space="preserve"> program has </w:t>
      </w:r>
      <w:r w:rsidR="00472E6C">
        <w:rPr>
          <w:szCs w:val="20"/>
        </w:rPr>
        <w:t>led the way in creating</w:t>
      </w:r>
      <w:r w:rsidRPr="00DE475B">
        <w:rPr>
          <w:szCs w:val="20"/>
        </w:rPr>
        <w:t xml:space="preserve"> connected co</w:t>
      </w:r>
      <w:r w:rsidR="00472E6C">
        <w:rPr>
          <w:szCs w:val="20"/>
        </w:rPr>
        <w:t>ll</w:t>
      </w:r>
      <w:r w:rsidRPr="00DE475B">
        <w:rPr>
          <w:szCs w:val="20"/>
        </w:rPr>
        <w:t>ections, bringing together information from sources across Queensland to create local stories. For instance, c</w:t>
      </w:r>
      <w:r w:rsidRPr="00DE475B">
        <w:rPr>
          <w:rFonts w:eastAsiaTheme="minorHAnsi"/>
          <w:szCs w:val="20"/>
          <w:lang w:eastAsia="en-US"/>
        </w:rPr>
        <w:t xml:space="preserve">ommunity content continues to be added to the </w:t>
      </w:r>
      <w:proofErr w:type="spellStart"/>
      <w:r w:rsidRPr="00DE475B">
        <w:rPr>
          <w:rFonts w:eastAsiaTheme="minorHAnsi"/>
          <w:szCs w:val="20"/>
          <w:lang w:eastAsia="en-US"/>
        </w:rPr>
        <w:t>Historypin</w:t>
      </w:r>
      <w:proofErr w:type="spellEnd"/>
      <w:r w:rsidRPr="00DE475B">
        <w:rPr>
          <w:rFonts w:eastAsiaTheme="minorHAnsi"/>
          <w:szCs w:val="20"/>
          <w:lang w:eastAsia="en-US"/>
        </w:rPr>
        <w:t xml:space="preserve"> </w:t>
      </w:r>
      <w:r w:rsidRPr="00C97DB1">
        <w:rPr>
          <w:rFonts w:eastAsiaTheme="minorHAnsi"/>
          <w:i/>
          <w:szCs w:val="20"/>
          <w:lang w:eastAsia="en-US"/>
        </w:rPr>
        <w:t>Q ANZAC 100</w:t>
      </w:r>
      <w:r w:rsidRPr="00DE475B">
        <w:rPr>
          <w:rFonts w:eastAsiaTheme="minorHAnsi"/>
          <w:szCs w:val="20"/>
          <w:lang w:eastAsia="en-US"/>
        </w:rPr>
        <w:t xml:space="preserve"> hub, with a total of 81 collections </w:t>
      </w:r>
      <w:r w:rsidR="00C97DB1">
        <w:rPr>
          <w:rFonts w:eastAsiaTheme="minorHAnsi"/>
          <w:szCs w:val="20"/>
          <w:lang w:eastAsia="en-US"/>
        </w:rPr>
        <w:t>bring</w:t>
      </w:r>
      <w:r w:rsidRPr="00DE475B">
        <w:rPr>
          <w:rFonts w:eastAsiaTheme="minorHAnsi"/>
          <w:szCs w:val="20"/>
          <w:lang w:eastAsia="en-US"/>
        </w:rPr>
        <w:t xml:space="preserve">ing </w:t>
      </w:r>
      <w:r w:rsidR="00C97DB1">
        <w:rPr>
          <w:rFonts w:eastAsiaTheme="minorHAnsi"/>
          <w:szCs w:val="20"/>
          <w:lang w:eastAsia="en-US"/>
        </w:rPr>
        <w:t xml:space="preserve">together </w:t>
      </w:r>
      <w:r w:rsidRPr="00DE475B">
        <w:rPr>
          <w:rFonts w:eastAsiaTheme="minorHAnsi"/>
          <w:szCs w:val="20"/>
          <w:lang w:eastAsia="en-US"/>
        </w:rPr>
        <w:t>more than 1,700 items.</w:t>
      </w:r>
      <w:r w:rsidR="0064239C" w:rsidRPr="0064239C">
        <w:rPr>
          <w:szCs w:val="20"/>
        </w:rPr>
        <w:t xml:space="preserve"> </w:t>
      </w:r>
    </w:p>
    <w:p w:rsidR="00591EBE" w:rsidRDefault="0064239C" w:rsidP="00591EBE">
      <w:pPr>
        <w:pStyle w:val="ARText"/>
        <w:tabs>
          <w:tab w:val="left" w:pos="317"/>
        </w:tabs>
        <w:spacing w:before="0" w:after="120"/>
        <w:rPr>
          <w:szCs w:val="20"/>
        </w:rPr>
      </w:pPr>
      <w:r w:rsidRPr="00DE475B">
        <w:rPr>
          <w:szCs w:val="20"/>
        </w:rPr>
        <w:t xml:space="preserve">In January </w:t>
      </w:r>
      <w:r>
        <w:rPr>
          <w:szCs w:val="20"/>
        </w:rPr>
        <w:t xml:space="preserve">2017, </w:t>
      </w:r>
      <w:r w:rsidRPr="00DE475B">
        <w:rPr>
          <w:szCs w:val="20"/>
        </w:rPr>
        <w:t xml:space="preserve">SLQ joined the international library initiative </w:t>
      </w:r>
      <w:r w:rsidR="00C66E8E" w:rsidRPr="00DE475B">
        <w:rPr>
          <w:szCs w:val="20"/>
        </w:rPr>
        <w:t xml:space="preserve">#1lib1ref </w:t>
      </w:r>
      <w:r w:rsidR="00C66E8E">
        <w:rPr>
          <w:szCs w:val="20"/>
        </w:rPr>
        <w:t xml:space="preserve">to </w:t>
      </w:r>
      <w:r w:rsidRPr="00DE475B">
        <w:rPr>
          <w:szCs w:val="20"/>
        </w:rPr>
        <w:t>improv</w:t>
      </w:r>
      <w:r w:rsidR="00C66E8E">
        <w:rPr>
          <w:szCs w:val="20"/>
        </w:rPr>
        <w:t>e</w:t>
      </w:r>
      <w:r w:rsidRPr="00DE475B">
        <w:rPr>
          <w:szCs w:val="20"/>
        </w:rPr>
        <w:t xml:space="preserve"> Wikipedia one citation at a time. </w:t>
      </w:r>
      <w:r w:rsidR="00C66E8E">
        <w:rPr>
          <w:szCs w:val="20"/>
        </w:rPr>
        <w:t>Over</w:t>
      </w:r>
      <w:r w:rsidRPr="00DE475B">
        <w:rPr>
          <w:szCs w:val="20"/>
        </w:rPr>
        <w:t xml:space="preserve"> three weeks SLQ added 1,028 citations to 148 Wikipedia pages, representing approximately 25% of</w:t>
      </w:r>
      <w:r w:rsidR="00C66E8E">
        <w:rPr>
          <w:szCs w:val="20"/>
        </w:rPr>
        <w:t xml:space="preserve"> </w:t>
      </w:r>
      <w:r w:rsidR="00C66E8E" w:rsidRPr="00DE475B">
        <w:rPr>
          <w:szCs w:val="20"/>
        </w:rPr>
        <w:t xml:space="preserve">#1lib1ref </w:t>
      </w:r>
      <w:r w:rsidRPr="00DE475B">
        <w:rPr>
          <w:szCs w:val="20"/>
        </w:rPr>
        <w:t xml:space="preserve">revisions worldwide. Of </w:t>
      </w:r>
      <w:proofErr w:type="spellStart"/>
      <w:r w:rsidRPr="00DE475B">
        <w:rPr>
          <w:szCs w:val="20"/>
        </w:rPr>
        <w:t>SLQ’s</w:t>
      </w:r>
      <w:proofErr w:type="spellEnd"/>
      <w:r w:rsidRPr="00DE475B">
        <w:rPr>
          <w:szCs w:val="20"/>
        </w:rPr>
        <w:t xml:space="preserve"> citations, 97% were made on pages with Queensland content. As a result of this successful initiative, a new volunteer editing group #</w:t>
      </w:r>
      <w:proofErr w:type="spellStart"/>
      <w:r w:rsidRPr="00DE475B">
        <w:rPr>
          <w:szCs w:val="20"/>
        </w:rPr>
        <w:t>QWiki</w:t>
      </w:r>
      <w:proofErr w:type="spellEnd"/>
      <w:r w:rsidRPr="00DE475B">
        <w:rPr>
          <w:szCs w:val="20"/>
        </w:rPr>
        <w:t xml:space="preserve"> has been established for the Queensland GLAM sector. The group meets monthly to update Wikipedia pages and where possible link to SLQ collectio</w:t>
      </w:r>
      <w:r>
        <w:rPr>
          <w:szCs w:val="20"/>
        </w:rPr>
        <w:t>ns and other Queensland content</w:t>
      </w:r>
      <w:r w:rsidRPr="00DE475B">
        <w:rPr>
          <w:szCs w:val="20"/>
        </w:rPr>
        <w:t>. This is one way SLQ is leading a state-wide approach to conn</w:t>
      </w:r>
      <w:r w:rsidR="00591EBE">
        <w:rPr>
          <w:szCs w:val="20"/>
        </w:rPr>
        <w:t>ecting Queensland collections.</w:t>
      </w:r>
    </w:p>
    <w:p w:rsidR="00933B3C" w:rsidRPr="00933B3C" w:rsidRDefault="00933B3C" w:rsidP="00933B3C">
      <w:pPr>
        <w:rPr>
          <w:rFonts w:ascii="Arial" w:hAnsi="Arial" w:cs="Arial"/>
          <w:b/>
          <w:sz w:val="20"/>
          <w:szCs w:val="20"/>
        </w:rPr>
      </w:pPr>
      <w:r w:rsidRPr="00933B3C">
        <w:rPr>
          <w:rFonts w:ascii="Arial" w:hAnsi="Arial" w:cs="Arial"/>
          <w:b/>
          <w:sz w:val="20"/>
          <w:szCs w:val="20"/>
        </w:rPr>
        <w:t>Capturing voices and stories</w:t>
      </w:r>
    </w:p>
    <w:p w:rsidR="006673FE" w:rsidRPr="00DE475B" w:rsidRDefault="006673FE" w:rsidP="006673FE">
      <w:pPr>
        <w:pStyle w:val="ARText"/>
        <w:tabs>
          <w:tab w:val="left" w:pos="317"/>
        </w:tabs>
        <w:spacing w:before="0" w:after="120"/>
        <w:rPr>
          <w:szCs w:val="20"/>
        </w:rPr>
      </w:pPr>
      <w:r w:rsidRPr="00DE475B">
        <w:rPr>
          <w:szCs w:val="20"/>
        </w:rPr>
        <w:t xml:space="preserve">As part of the partnership with Anti-Discrimination Commission Queensland, six digital stories have been produced to mark an important milestone for Queensland — 25 years of the </w:t>
      </w:r>
      <w:r w:rsidRPr="00DE475B">
        <w:rPr>
          <w:i/>
          <w:szCs w:val="20"/>
        </w:rPr>
        <w:t>Anti-Discrimination Act 1991</w:t>
      </w:r>
      <w:r w:rsidRPr="00DE475B">
        <w:rPr>
          <w:szCs w:val="20"/>
        </w:rPr>
        <w:t xml:space="preserve">. The digital stories, accessed via the One Search catalogue, reflect </w:t>
      </w:r>
      <w:proofErr w:type="spellStart"/>
      <w:r w:rsidRPr="00DE475B">
        <w:rPr>
          <w:szCs w:val="20"/>
        </w:rPr>
        <w:t>SLQ</w:t>
      </w:r>
      <w:r w:rsidR="00B85A78">
        <w:rPr>
          <w:szCs w:val="20"/>
        </w:rPr>
        <w:t>’s</w:t>
      </w:r>
      <w:proofErr w:type="spellEnd"/>
      <w:r w:rsidRPr="00DE475B">
        <w:rPr>
          <w:szCs w:val="20"/>
        </w:rPr>
        <w:t xml:space="preserve"> commitment to collect, preserve, and promote the diverse experiences of Queenslanders.</w:t>
      </w:r>
    </w:p>
    <w:p w:rsidR="006673FE" w:rsidRPr="00DE475B" w:rsidRDefault="006673FE" w:rsidP="006673FE">
      <w:pPr>
        <w:spacing w:after="120"/>
        <w:rPr>
          <w:rFonts w:ascii="Arial" w:hAnsi="Arial" w:cs="Arial"/>
          <w:sz w:val="20"/>
          <w:szCs w:val="20"/>
        </w:rPr>
      </w:pPr>
      <w:r w:rsidRPr="00DE475B">
        <w:rPr>
          <w:rFonts w:ascii="Arial" w:hAnsi="Arial" w:cs="Arial"/>
          <w:sz w:val="20"/>
          <w:szCs w:val="20"/>
        </w:rPr>
        <w:t xml:space="preserve">More than 20 years since they were recorded, stories of the people living in the Bloomfield River region can now be heard online. In 1995, Bloomfield River resident Camilla Darling conducted interviews with local Kuku </w:t>
      </w:r>
      <w:proofErr w:type="spellStart"/>
      <w:r w:rsidRPr="00DE475B">
        <w:rPr>
          <w:rFonts w:ascii="Arial" w:hAnsi="Arial" w:cs="Arial"/>
          <w:sz w:val="20"/>
          <w:szCs w:val="20"/>
        </w:rPr>
        <w:t>Yalanji</w:t>
      </w:r>
      <w:proofErr w:type="spellEnd"/>
      <w:r w:rsidRPr="00DE475B">
        <w:rPr>
          <w:rFonts w:ascii="Arial" w:hAnsi="Arial" w:cs="Arial"/>
          <w:sz w:val="20"/>
          <w:szCs w:val="20"/>
        </w:rPr>
        <w:t xml:space="preserve"> Elders and non-Indigenous settlers of the Bloomfield Valley to document the rich and varied history of this remote rainforest region in Far North Queensland. The 39 interviews reveal the way of life of the subjects and their families, and discuss the interactions between Indigenous and non-</w:t>
      </w:r>
      <w:r w:rsidRPr="00DE475B">
        <w:rPr>
          <w:rFonts w:ascii="Arial" w:hAnsi="Arial" w:cs="Arial"/>
          <w:sz w:val="20"/>
          <w:szCs w:val="20"/>
        </w:rPr>
        <w:lastRenderedPageBreak/>
        <w:t>Indigenous settlers in Bloomfield prior to, and during, mis</w:t>
      </w:r>
      <w:r w:rsidR="00C97DB1">
        <w:rPr>
          <w:rFonts w:ascii="Arial" w:hAnsi="Arial" w:cs="Arial"/>
          <w:sz w:val="20"/>
          <w:szCs w:val="20"/>
        </w:rPr>
        <w:t xml:space="preserve">sionary involvement. </w:t>
      </w:r>
      <w:r w:rsidRPr="00DE475B">
        <w:rPr>
          <w:rFonts w:ascii="Arial" w:hAnsi="Arial" w:cs="Arial"/>
          <w:sz w:val="20"/>
          <w:szCs w:val="20"/>
        </w:rPr>
        <w:t xml:space="preserve">SLQ </w:t>
      </w:r>
      <w:r w:rsidR="00C97DB1">
        <w:rPr>
          <w:rFonts w:ascii="Arial" w:hAnsi="Arial" w:cs="Arial"/>
          <w:sz w:val="20"/>
          <w:szCs w:val="20"/>
        </w:rPr>
        <w:t xml:space="preserve">has digitised </w:t>
      </w:r>
      <w:r w:rsidRPr="00DE475B">
        <w:rPr>
          <w:rFonts w:ascii="Arial" w:hAnsi="Arial" w:cs="Arial"/>
          <w:sz w:val="20"/>
          <w:szCs w:val="20"/>
        </w:rPr>
        <w:t>the original audio cassette recordings to make th</w:t>
      </w:r>
      <w:r w:rsidR="00C97DB1">
        <w:rPr>
          <w:rFonts w:ascii="Arial" w:hAnsi="Arial" w:cs="Arial"/>
          <w:sz w:val="20"/>
          <w:szCs w:val="20"/>
        </w:rPr>
        <w:t>e</w:t>
      </w:r>
      <w:r w:rsidRPr="00DE475B">
        <w:rPr>
          <w:rFonts w:ascii="Arial" w:hAnsi="Arial" w:cs="Arial"/>
          <w:sz w:val="20"/>
          <w:szCs w:val="20"/>
        </w:rPr>
        <w:t>s</w:t>
      </w:r>
      <w:r w:rsidR="00C97DB1">
        <w:rPr>
          <w:rFonts w:ascii="Arial" w:hAnsi="Arial" w:cs="Arial"/>
          <w:sz w:val="20"/>
          <w:szCs w:val="20"/>
        </w:rPr>
        <w:t>e</w:t>
      </w:r>
      <w:r w:rsidRPr="00DE475B">
        <w:rPr>
          <w:rFonts w:ascii="Arial" w:hAnsi="Arial" w:cs="Arial"/>
          <w:sz w:val="20"/>
          <w:szCs w:val="20"/>
        </w:rPr>
        <w:t xml:space="preserve"> </w:t>
      </w:r>
      <w:r w:rsidR="00C97DB1">
        <w:rPr>
          <w:rFonts w:ascii="Arial" w:hAnsi="Arial" w:cs="Arial"/>
          <w:sz w:val="20"/>
          <w:szCs w:val="20"/>
        </w:rPr>
        <w:t>u</w:t>
      </w:r>
      <w:r w:rsidRPr="00DE475B">
        <w:rPr>
          <w:rFonts w:ascii="Arial" w:hAnsi="Arial" w:cs="Arial"/>
          <w:sz w:val="20"/>
          <w:szCs w:val="20"/>
        </w:rPr>
        <w:t xml:space="preserve">nique oral histories accessible to all, including the descendants and families of the interviewees. </w:t>
      </w:r>
    </w:p>
    <w:p w:rsidR="000A6D44" w:rsidRPr="000A6D44" w:rsidRDefault="000A6D44" w:rsidP="000A6D44">
      <w:pPr>
        <w:rPr>
          <w:rFonts w:ascii="Arial" w:hAnsi="Arial" w:cs="Arial"/>
          <w:b/>
          <w:sz w:val="20"/>
          <w:szCs w:val="20"/>
        </w:rPr>
      </w:pPr>
      <w:r w:rsidRPr="000A6D44">
        <w:rPr>
          <w:rFonts w:ascii="Arial" w:hAnsi="Arial" w:cs="Arial"/>
          <w:b/>
          <w:sz w:val="20"/>
          <w:szCs w:val="20"/>
        </w:rPr>
        <w:t>Born digital content</w:t>
      </w:r>
    </w:p>
    <w:p w:rsidR="006673FE" w:rsidRPr="00DE475B" w:rsidRDefault="006673FE" w:rsidP="006673FE">
      <w:pPr>
        <w:pStyle w:val="ARText"/>
        <w:tabs>
          <w:tab w:val="left" w:pos="317"/>
        </w:tabs>
        <w:spacing w:before="0" w:after="120"/>
      </w:pPr>
      <w:r w:rsidRPr="00DE475B">
        <w:t>SLQ acquire</w:t>
      </w:r>
      <w:r w:rsidR="00F054B5">
        <w:t>s</w:t>
      </w:r>
      <w:r w:rsidRPr="00DE475B">
        <w:t xml:space="preserve"> and preserve</w:t>
      </w:r>
      <w:r w:rsidR="00F054B5">
        <w:t>s</w:t>
      </w:r>
      <w:r w:rsidRPr="00DE475B">
        <w:t xml:space="preserve"> born digital content as part of its role of preserving Queensland’s culture and heritage. </w:t>
      </w:r>
      <w:r w:rsidRPr="00DE475B">
        <w:rPr>
          <w:szCs w:val="20"/>
        </w:rPr>
        <w:t xml:space="preserve">In </w:t>
      </w:r>
      <w:r w:rsidR="00F054B5">
        <w:rPr>
          <w:szCs w:val="20"/>
        </w:rPr>
        <w:t xml:space="preserve">2016–17, </w:t>
      </w:r>
      <w:r w:rsidRPr="00DE475B">
        <w:t>73 digital stories and 1,188 born digital photographs were made live in One Search. SL</w:t>
      </w:r>
      <w:r w:rsidR="00302CB2">
        <w:t>Q also acquired 28 original m</w:t>
      </w:r>
      <w:r w:rsidRPr="00DE475B">
        <w:t xml:space="preserve">aterials born digital collections, each containing many images and digital stories. These included </w:t>
      </w:r>
      <w:r w:rsidRPr="00DE475B">
        <w:rPr>
          <w:i/>
        </w:rPr>
        <w:t>Reflecting on 25 Years of the Anti-Discrimination Act 1991 (Qld) — a collection of digital stories June–September 2016</w:t>
      </w:r>
      <w:r w:rsidRPr="00DE475B">
        <w:t xml:space="preserve"> and </w:t>
      </w:r>
      <w:r w:rsidRPr="00DE475B">
        <w:rPr>
          <w:i/>
        </w:rPr>
        <w:t xml:space="preserve">James C. </w:t>
      </w:r>
      <w:proofErr w:type="spellStart"/>
      <w:r w:rsidRPr="00DE475B">
        <w:rPr>
          <w:i/>
        </w:rPr>
        <w:t>Sourris</w:t>
      </w:r>
      <w:proofErr w:type="spellEnd"/>
      <w:r w:rsidRPr="00DE475B">
        <w:rPr>
          <w:i/>
        </w:rPr>
        <w:t xml:space="preserve"> Artist Interview Series 2015–2016</w:t>
      </w:r>
      <w:r w:rsidRPr="00DE475B">
        <w:t>. In 20</w:t>
      </w:r>
      <w:r w:rsidR="00BD007C">
        <w:t>16–</w:t>
      </w:r>
      <w:r w:rsidRPr="00DE475B">
        <w:t xml:space="preserve">17, </w:t>
      </w:r>
      <w:r w:rsidR="00BD007C">
        <w:t>4,458</w:t>
      </w:r>
      <w:r w:rsidR="00BD007C" w:rsidRPr="00DE475B">
        <w:t xml:space="preserve"> </w:t>
      </w:r>
      <w:r w:rsidRPr="00DE475B">
        <w:t xml:space="preserve">items were added to </w:t>
      </w:r>
      <w:proofErr w:type="spellStart"/>
      <w:r w:rsidRPr="00DE475B">
        <w:t>SLQ’s</w:t>
      </w:r>
      <w:proofErr w:type="spellEnd"/>
      <w:r w:rsidRPr="00DE475B">
        <w:t xml:space="preserve"> electronic serials </w:t>
      </w:r>
      <w:r w:rsidR="00BD007C">
        <w:t xml:space="preserve">and </w:t>
      </w:r>
      <w:proofErr w:type="spellStart"/>
      <w:r w:rsidR="00BD007C">
        <w:t>ebook</w:t>
      </w:r>
      <w:proofErr w:type="spellEnd"/>
      <w:r w:rsidR="00BD007C">
        <w:t xml:space="preserve"> </w:t>
      </w:r>
      <w:r w:rsidRPr="00DE475B">
        <w:t>collection</w:t>
      </w:r>
      <w:r w:rsidR="00BD007C">
        <w:t>s</w:t>
      </w:r>
      <w:r w:rsidRPr="00DE475B">
        <w:t xml:space="preserve"> via legal deposit by Queensland publishers.</w:t>
      </w:r>
    </w:p>
    <w:p w:rsidR="00B11A13" w:rsidRDefault="006673FE" w:rsidP="006673FE">
      <w:pPr>
        <w:pStyle w:val="ARText"/>
        <w:tabs>
          <w:tab w:val="left" w:pos="317"/>
        </w:tabs>
        <w:spacing w:before="0" w:after="120"/>
      </w:pPr>
      <w:r w:rsidRPr="00DE475B">
        <w:t xml:space="preserve">All of </w:t>
      </w:r>
      <w:proofErr w:type="spellStart"/>
      <w:r w:rsidRPr="00DE475B">
        <w:t>SLQ’s</w:t>
      </w:r>
      <w:proofErr w:type="spellEnd"/>
      <w:r w:rsidRPr="00DE475B">
        <w:t xml:space="preserve"> born digital collections are stored in optimal conditions for long-term preservation, and a new digital preservation system is currently being implemented to ensure these collections are accessible to future generations of Queenslanders.</w:t>
      </w:r>
    </w:p>
    <w:p w:rsidR="009C6E86" w:rsidRPr="000A6D44" w:rsidRDefault="003E2C5C" w:rsidP="000A6D44">
      <w:pPr>
        <w:pStyle w:val="ARheading3"/>
        <w:tabs>
          <w:tab w:val="left" w:pos="851"/>
        </w:tabs>
        <w:spacing w:after="120"/>
        <w:rPr>
          <w:color w:val="808080"/>
        </w:rPr>
      </w:pPr>
      <w:r w:rsidRPr="000A6D44">
        <w:rPr>
          <w:color w:val="808080"/>
        </w:rPr>
        <w:t>Engage with communities of interest</w:t>
      </w:r>
    </w:p>
    <w:p w:rsidR="000A6D44" w:rsidRPr="00DE475B" w:rsidRDefault="00FC09F8" w:rsidP="009C6E86">
      <w:pPr>
        <w:pStyle w:val="ARText"/>
        <w:tabs>
          <w:tab w:val="left" w:pos="2008"/>
          <w:tab w:val="left" w:pos="2084"/>
        </w:tabs>
        <w:spacing w:before="0"/>
        <w:rPr>
          <w:rFonts w:eastAsia="Times New Roman"/>
          <w:b/>
          <w:bCs w:val="0"/>
          <w:color w:val="000000"/>
          <w:szCs w:val="20"/>
        </w:rPr>
      </w:pPr>
      <w:r>
        <w:rPr>
          <w:rFonts w:eastAsia="Times New Roman"/>
          <w:b/>
          <w:bCs w:val="0"/>
          <w:color w:val="000000"/>
          <w:szCs w:val="20"/>
        </w:rPr>
        <w:t>Business Studio</w:t>
      </w:r>
    </w:p>
    <w:p w:rsidR="006673FE" w:rsidRPr="00DE475B" w:rsidRDefault="00513252" w:rsidP="006673FE">
      <w:pPr>
        <w:pStyle w:val="ARText"/>
        <w:tabs>
          <w:tab w:val="left" w:pos="317"/>
        </w:tabs>
        <w:spacing w:before="0" w:after="120"/>
        <w:rPr>
          <w:rFonts w:eastAsia="Times New Roman"/>
          <w:color w:val="000000"/>
          <w:szCs w:val="20"/>
        </w:rPr>
      </w:pPr>
      <w:r>
        <w:rPr>
          <w:rFonts w:eastAsia="Times New Roman"/>
          <w:color w:val="000000"/>
          <w:szCs w:val="20"/>
        </w:rPr>
        <w:t>T</w:t>
      </w:r>
      <w:r w:rsidR="006673FE" w:rsidRPr="00DE475B">
        <w:rPr>
          <w:rFonts w:eastAsia="Times New Roman"/>
          <w:color w:val="000000"/>
          <w:szCs w:val="20"/>
        </w:rPr>
        <w:t xml:space="preserve">he SLQ Business Studio has doubled its membership in </w:t>
      </w:r>
      <w:r w:rsidRPr="00DE475B">
        <w:rPr>
          <w:rFonts w:eastAsia="Times New Roman"/>
          <w:color w:val="000000"/>
          <w:szCs w:val="20"/>
        </w:rPr>
        <w:t>its second year of operation</w:t>
      </w:r>
      <w:r w:rsidR="006673FE" w:rsidRPr="00DE475B">
        <w:rPr>
          <w:rFonts w:eastAsia="Times New Roman"/>
          <w:color w:val="000000"/>
          <w:szCs w:val="20"/>
        </w:rPr>
        <w:t>. Free membership to the Business Studio provides access to workstati</w:t>
      </w:r>
      <w:r>
        <w:rPr>
          <w:rFonts w:eastAsia="Times New Roman"/>
          <w:color w:val="000000"/>
          <w:szCs w:val="20"/>
        </w:rPr>
        <w:t xml:space="preserve">ons, </w:t>
      </w:r>
      <w:r w:rsidR="001C159D">
        <w:rPr>
          <w:rFonts w:eastAsia="Times New Roman"/>
          <w:color w:val="000000"/>
          <w:szCs w:val="20"/>
        </w:rPr>
        <w:t xml:space="preserve">exclusive </w:t>
      </w:r>
      <w:proofErr w:type="spellStart"/>
      <w:r w:rsidR="001C159D">
        <w:rPr>
          <w:rFonts w:eastAsia="Times New Roman"/>
          <w:color w:val="000000"/>
          <w:szCs w:val="20"/>
        </w:rPr>
        <w:t>wi-f</w:t>
      </w:r>
      <w:r w:rsidR="006673FE" w:rsidRPr="00DE475B">
        <w:rPr>
          <w:rFonts w:eastAsia="Times New Roman"/>
          <w:color w:val="000000"/>
          <w:szCs w:val="20"/>
        </w:rPr>
        <w:t>i</w:t>
      </w:r>
      <w:proofErr w:type="spellEnd"/>
      <w:r w:rsidR="006673FE" w:rsidRPr="00DE475B">
        <w:rPr>
          <w:rFonts w:eastAsia="Times New Roman"/>
          <w:color w:val="000000"/>
          <w:szCs w:val="20"/>
        </w:rPr>
        <w:t xml:space="preserve"> access, </w:t>
      </w:r>
      <w:r>
        <w:rPr>
          <w:rFonts w:eastAsia="Times New Roman"/>
          <w:color w:val="000000"/>
          <w:szCs w:val="20"/>
        </w:rPr>
        <w:t>business-</w:t>
      </w:r>
      <w:r w:rsidR="006673FE" w:rsidRPr="00DE475B">
        <w:rPr>
          <w:rFonts w:eastAsia="Times New Roman"/>
          <w:color w:val="000000"/>
          <w:szCs w:val="20"/>
        </w:rPr>
        <w:t xml:space="preserve">related resources, and invitations to workshops and mentoring sessions for entrepreneurs. </w:t>
      </w:r>
      <w:r>
        <w:rPr>
          <w:rFonts w:eastAsia="Times New Roman"/>
          <w:color w:val="000000"/>
          <w:szCs w:val="20"/>
        </w:rPr>
        <w:t xml:space="preserve">Attendance of fortnightly </w:t>
      </w:r>
      <w:r w:rsidR="006673FE" w:rsidRPr="00DE475B">
        <w:rPr>
          <w:rFonts w:eastAsia="Times New Roman"/>
          <w:color w:val="000000"/>
          <w:szCs w:val="20"/>
        </w:rPr>
        <w:t xml:space="preserve">Business Studio Lunch Box Forums </w:t>
      </w:r>
      <w:r>
        <w:rPr>
          <w:rFonts w:eastAsia="Times New Roman"/>
          <w:color w:val="000000"/>
          <w:szCs w:val="20"/>
        </w:rPr>
        <w:t>has also improved</w:t>
      </w:r>
      <w:r w:rsidR="006673FE" w:rsidRPr="00DE475B">
        <w:rPr>
          <w:rFonts w:eastAsia="Times New Roman"/>
          <w:color w:val="000000"/>
          <w:szCs w:val="20"/>
        </w:rPr>
        <w:t xml:space="preserve"> significant</w:t>
      </w:r>
      <w:r>
        <w:rPr>
          <w:rFonts w:eastAsia="Times New Roman"/>
          <w:color w:val="000000"/>
          <w:szCs w:val="20"/>
        </w:rPr>
        <w:t xml:space="preserve">ly, with a </w:t>
      </w:r>
      <w:r w:rsidR="006673FE" w:rsidRPr="00DE475B">
        <w:rPr>
          <w:rFonts w:eastAsia="Times New Roman"/>
          <w:color w:val="000000"/>
          <w:szCs w:val="20"/>
        </w:rPr>
        <w:t>str</w:t>
      </w:r>
      <w:r>
        <w:rPr>
          <w:rFonts w:eastAsia="Times New Roman"/>
          <w:color w:val="000000"/>
          <w:szCs w:val="20"/>
        </w:rPr>
        <w:t>uctured program for 2017 linking</w:t>
      </w:r>
      <w:r w:rsidR="006673FE" w:rsidRPr="00DE475B">
        <w:rPr>
          <w:rFonts w:eastAsia="Times New Roman"/>
          <w:color w:val="000000"/>
          <w:szCs w:val="20"/>
        </w:rPr>
        <w:t xml:space="preserve"> to SLQ initiatives to engage new audiences. </w:t>
      </w:r>
      <w:r w:rsidR="0077047C">
        <w:rPr>
          <w:rFonts w:eastAsia="Times New Roman"/>
          <w:color w:val="000000"/>
          <w:szCs w:val="20"/>
        </w:rPr>
        <w:t xml:space="preserve">In 2017, audience numbers have averaged 26 per session. </w:t>
      </w:r>
      <w:r w:rsidR="006673FE" w:rsidRPr="00DE475B">
        <w:rPr>
          <w:rFonts w:eastAsia="Times New Roman"/>
          <w:color w:val="000000"/>
          <w:szCs w:val="20"/>
        </w:rPr>
        <w:t>The program also incorporated targeted workshops by SLQ par</w:t>
      </w:r>
      <w:r>
        <w:rPr>
          <w:rFonts w:eastAsia="Times New Roman"/>
          <w:color w:val="000000"/>
          <w:szCs w:val="20"/>
        </w:rPr>
        <w:t xml:space="preserve">tners, such as </w:t>
      </w:r>
      <w:r w:rsidR="006673FE" w:rsidRPr="00DE475B">
        <w:rPr>
          <w:rFonts w:eastAsia="Times New Roman"/>
          <w:color w:val="000000"/>
          <w:szCs w:val="20"/>
        </w:rPr>
        <w:t xml:space="preserve">workshops </w:t>
      </w:r>
      <w:r w:rsidRPr="00DE475B">
        <w:rPr>
          <w:rFonts w:eastAsia="Times New Roman"/>
          <w:color w:val="000000"/>
          <w:szCs w:val="20"/>
        </w:rPr>
        <w:t>on Indige</w:t>
      </w:r>
      <w:r w:rsidR="00DA73DB">
        <w:rPr>
          <w:rFonts w:eastAsia="Times New Roman"/>
          <w:color w:val="000000"/>
          <w:szCs w:val="20"/>
        </w:rPr>
        <w:t>nous a</w:t>
      </w:r>
      <w:r w:rsidRPr="00DE475B">
        <w:rPr>
          <w:rFonts w:eastAsia="Times New Roman"/>
          <w:color w:val="000000"/>
          <w:szCs w:val="20"/>
        </w:rPr>
        <w:t xml:space="preserve">rts businesses </w:t>
      </w:r>
      <w:r>
        <w:rPr>
          <w:rFonts w:eastAsia="Times New Roman"/>
          <w:color w:val="000000"/>
          <w:szCs w:val="20"/>
        </w:rPr>
        <w:t xml:space="preserve">and business workshops </w:t>
      </w:r>
      <w:r w:rsidR="006673FE" w:rsidRPr="00DE475B">
        <w:rPr>
          <w:rFonts w:eastAsia="Times New Roman"/>
          <w:color w:val="000000"/>
          <w:szCs w:val="20"/>
        </w:rPr>
        <w:t>for writers delivered by Queensland Writers Centre.</w:t>
      </w:r>
    </w:p>
    <w:p w:rsidR="006673FE" w:rsidRPr="00DE475B" w:rsidRDefault="006673FE" w:rsidP="006673FE">
      <w:pPr>
        <w:pStyle w:val="ARText"/>
        <w:tabs>
          <w:tab w:val="left" w:pos="317"/>
        </w:tabs>
        <w:spacing w:before="0" w:after="120"/>
        <w:rPr>
          <w:rFonts w:eastAsia="Times New Roman"/>
          <w:color w:val="000000"/>
          <w:szCs w:val="20"/>
        </w:rPr>
      </w:pPr>
      <w:r w:rsidRPr="00DE475B">
        <w:rPr>
          <w:rFonts w:eastAsia="Times New Roman"/>
          <w:color w:val="000000"/>
          <w:szCs w:val="20"/>
        </w:rPr>
        <w:t>A scalable model</w:t>
      </w:r>
      <w:r w:rsidR="00C66E8E">
        <w:rPr>
          <w:rFonts w:eastAsia="Times New Roman"/>
          <w:color w:val="000000"/>
          <w:szCs w:val="20"/>
        </w:rPr>
        <w:t xml:space="preserve"> of the Business Studio</w:t>
      </w:r>
      <w:r w:rsidRPr="00DE475B">
        <w:rPr>
          <w:rFonts w:eastAsia="Times New Roman"/>
          <w:color w:val="000000"/>
          <w:szCs w:val="20"/>
        </w:rPr>
        <w:t xml:space="preserve">, suitable for duplication by public libraries to support innovation and entrepreneurialism in </w:t>
      </w:r>
      <w:r w:rsidRPr="00DE475B">
        <w:rPr>
          <w:rFonts w:eastAsia="Times New Roman"/>
          <w:color w:val="000000"/>
          <w:szCs w:val="20"/>
        </w:rPr>
        <w:lastRenderedPageBreak/>
        <w:t xml:space="preserve">their regions, will be developed in consultation with public libraries. Initial consultation will be conducted at a professional development forum, originally scheduled for March 2017. This forum will now be held in November 2017, and work on the model will progress based on the findings from this consultation session. </w:t>
      </w:r>
    </w:p>
    <w:p w:rsidR="00FC09F8" w:rsidRPr="00FC09F8" w:rsidRDefault="00FC09F8" w:rsidP="00FC09F8">
      <w:pPr>
        <w:pStyle w:val="ARText"/>
        <w:tabs>
          <w:tab w:val="left" w:pos="2008"/>
          <w:tab w:val="left" w:pos="2084"/>
        </w:tabs>
        <w:spacing w:before="0"/>
        <w:rPr>
          <w:rFonts w:eastAsia="Times New Roman"/>
          <w:b/>
          <w:bCs w:val="0"/>
          <w:color w:val="000000"/>
          <w:szCs w:val="20"/>
        </w:rPr>
      </w:pPr>
      <w:r w:rsidRPr="00FC09F8">
        <w:rPr>
          <w:rFonts w:eastAsia="Times New Roman"/>
          <w:b/>
          <w:bCs w:val="0"/>
          <w:color w:val="000000"/>
          <w:szCs w:val="20"/>
        </w:rPr>
        <w:t>GRAIL</w:t>
      </w:r>
    </w:p>
    <w:p w:rsidR="006673FE" w:rsidRDefault="006673FE" w:rsidP="006673FE">
      <w:pPr>
        <w:pStyle w:val="ARText"/>
        <w:tabs>
          <w:tab w:val="left" w:pos="317"/>
        </w:tabs>
        <w:spacing w:before="0" w:after="120"/>
        <w:rPr>
          <w:rFonts w:eastAsia="Times New Roman"/>
          <w:color w:val="000000"/>
          <w:szCs w:val="20"/>
        </w:rPr>
      </w:pPr>
      <w:proofErr w:type="spellStart"/>
      <w:r w:rsidRPr="00DE475B">
        <w:rPr>
          <w:rFonts w:eastAsia="Times New Roman"/>
          <w:color w:val="000000"/>
          <w:szCs w:val="20"/>
        </w:rPr>
        <w:t>SLQ’s</w:t>
      </w:r>
      <w:proofErr w:type="spellEnd"/>
      <w:r w:rsidRPr="00DE475B">
        <w:rPr>
          <w:rFonts w:eastAsia="Times New Roman"/>
          <w:color w:val="000000"/>
          <w:szCs w:val="20"/>
        </w:rPr>
        <w:t xml:space="preserve"> Government Research and Information Library (GRAIL) </w:t>
      </w:r>
      <w:r w:rsidR="00830DD2">
        <w:rPr>
          <w:rFonts w:eastAsia="Times New Roman"/>
          <w:color w:val="000000"/>
          <w:szCs w:val="20"/>
        </w:rPr>
        <w:t xml:space="preserve">service </w:t>
      </w:r>
      <w:r w:rsidRPr="00DE475B">
        <w:rPr>
          <w:rFonts w:eastAsia="Times New Roman"/>
          <w:color w:val="000000"/>
          <w:szCs w:val="20"/>
        </w:rPr>
        <w:t>provides a comprehensive research service for eigh</w:t>
      </w:r>
      <w:r w:rsidR="002E3454">
        <w:rPr>
          <w:rFonts w:eastAsia="Times New Roman"/>
          <w:color w:val="000000"/>
          <w:szCs w:val="20"/>
        </w:rPr>
        <w:t xml:space="preserve">t Queensland government clients, including </w:t>
      </w:r>
      <w:r w:rsidRPr="00DE475B">
        <w:rPr>
          <w:rFonts w:eastAsia="Times New Roman"/>
          <w:color w:val="000000"/>
          <w:szCs w:val="20"/>
        </w:rPr>
        <w:t>Department of the Premie</w:t>
      </w:r>
      <w:r w:rsidR="002E3454">
        <w:rPr>
          <w:rFonts w:eastAsia="Times New Roman"/>
          <w:color w:val="000000"/>
          <w:szCs w:val="20"/>
        </w:rPr>
        <w:t>r and Cabinet and</w:t>
      </w:r>
      <w:r w:rsidRPr="00DE475B">
        <w:rPr>
          <w:rFonts w:eastAsia="Times New Roman"/>
          <w:color w:val="000000"/>
          <w:szCs w:val="20"/>
        </w:rPr>
        <w:t xml:space="preserve"> Queensland Treasury. Jobs Queensland and the </w:t>
      </w:r>
      <w:proofErr w:type="spellStart"/>
      <w:r w:rsidRPr="00DE475B">
        <w:rPr>
          <w:rFonts w:eastAsia="Times New Roman"/>
          <w:color w:val="000000"/>
          <w:szCs w:val="20"/>
        </w:rPr>
        <w:t>DSITI</w:t>
      </w:r>
      <w:proofErr w:type="spellEnd"/>
      <w:r w:rsidRPr="00DE475B">
        <w:rPr>
          <w:rFonts w:eastAsia="Times New Roman"/>
          <w:color w:val="000000"/>
          <w:szCs w:val="20"/>
        </w:rPr>
        <w:t xml:space="preserve"> Strategic P</w:t>
      </w:r>
      <w:r w:rsidR="00C66E8E">
        <w:rPr>
          <w:rFonts w:eastAsia="Times New Roman"/>
          <w:color w:val="000000"/>
          <w:szCs w:val="20"/>
        </w:rPr>
        <w:t>olicy and Innovation unit triall</w:t>
      </w:r>
      <w:r w:rsidRPr="00DE475B">
        <w:rPr>
          <w:rFonts w:eastAsia="Times New Roman"/>
          <w:color w:val="000000"/>
          <w:szCs w:val="20"/>
        </w:rPr>
        <w:t xml:space="preserve">ed the use of GRAIL services in the first half of the financial year, and re-subscribed to 30 June 2017. Throughout the year, GRAIL staff presented information sessions for Queensland government officers in person, regionally and online, to showcase </w:t>
      </w:r>
      <w:r w:rsidR="00830DD2">
        <w:rPr>
          <w:rFonts w:eastAsia="Times New Roman"/>
          <w:color w:val="000000"/>
          <w:szCs w:val="20"/>
        </w:rPr>
        <w:t>its</w:t>
      </w:r>
      <w:r w:rsidRPr="00DE475B">
        <w:rPr>
          <w:rFonts w:eastAsia="Times New Roman"/>
          <w:color w:val="000000"/>
          <w:szCs w:val="20"/>
        </w:rPr>
        <w:t xml:space="preserve"> services to government agencies.</w:t>
      </w:r>
    </w:p>
    <w:p w:rsidR="00857DF3" w:rsidRPr="00857DF3" w:rsidRDefault="00857DF3" w:rsidP="00857DF3">
      <w:pPr>
        <w:pStyle w:val="ARText"/>
        <w:tabs>
          <w:tab w:val="left" w:pos="2008"/>
          <w:tab w:val="left" w:pos="2084"/>
        </w:tabs>
        <w:spacing w:before="0"/>
        <w:rPr>
          <w:rFonts w:eastAsia="Times New Roman"/>
          <w:b/>
          <w:bCs w:val="0"/>
          <w:color w:val="000000"/>
          <w:szCs w:val="20"/>
        </w:rPr>
      </w:pPr>
      <w:r w:rsidRPr="00857DF3">
        <w:rPr>
          <w:rFonts w:eastAsia="Times New Roman"/>
          <w:b/>
          <w:bCs w:val="0"/>
          <w:color w:val="000000"/>
          <w:szCs w:val="20"/>
        </w:rPr>
        <w:t>Reading and writing</w:t>
      </w:r>
    </w:p>
    <w:p w:rsidR="006673FE" w:rsidRPr="00DE475B" w:rsidRDefault="006673FE" w:rsidP="006673FE">
      <w:pPr>
        <w:pStyle w:val="ARText"/>
        <w:tabs>
          <w:tab w:val="left" w:pos="317"/>
        </w:tabs>
        <w:spacing w:before="0" w:after="120"/>
        <w:rPr>
          <w:szCs w:val="20"/>
          <w:shd w:val="clear" w:color="auto" w:fill="FFFFFF"/>
        </w:rPr>
      </w:pPr>
      <w:r w:rsidRPr="00DE475B">
        <w:rPr>
          <w:szCs w:val="20"/>
          <w:shd w:val="clear" w:color="auto" w:fill="FFFFFF"/>
        </w:rPr>
        <w:t xml:space="preserve">In 2016–17, the structure of the </w:t>
      </w:r>
      <w:proofErr w:type="spellStart"/>
      <w:r w:rsidRPr="00DE475B">
        <w:rPr>
          <w:i/>
          <w:szCs w:val="20"/>
          <w:shd w:val="clear" w:color="auto" w:fill="FFFFFF"/>
        </w:rPr>
        <w:t>black&amp;write</w:t>
      </w:r>
      <w:proofErr w:type="spellEnd"/>
      <w:r w:rsidRPr="00DE475B">
        <w:rPr>
          <w:i/>
          <w:szCs w:val="20"/>
          <w:shd w:val="clear" w:color="auto" w:fill="FFFFFF"/>
        </w:rPr>
        <w:t>!</w:t>
      </w:r>
      <w:r w:rsidR="00472562">
        <w:rPr>
          <w:i/>
          <w:szCs w:val="20"/>
          <w:shd w:val="clear" w:color="auto" w:fill="FFFFFF"/>
        </w:rPr>
        <w:t xml:space="preserve"> </w:t>
      </w:r>
      <w:r w:rsidRPr="00DE475B">
        <w:rPr>
          <w:szCs w:val="20"/>
          <w:shd w:val="clear" w:color="auto" w:fill="FFFFFF"/>
        </w:rPr>
        <w:t>Indigenous Writing and Editing program has been reviewed and a new three-year plan developed. The next stage of the project is partially funded, with funding being sought for the remainder. Applications for the next round of Indigenous Writing Fellowships open in late 2017.</w:t>
      </w:r>
    </w:p>
    <w:p w:rsidR="006673FE" w:rsidRPr="00DE475B" w:rsidRDefault="006673FE" w:rsidP="006673FE">
      <w:pPr>
        <w:suppressAutoHyphens w:val="0"/>
        <w:autoSpaceDE/>
        <w:spacing w:after="120"/>
        <w:rPr>
          <w:rFonts w:ascii="Arial" w:hAnsi="Arial" w:cs="Arial"/>
          <w:i/>
          <w:sz w:val="20"/>
          <w:szCs w:val="20"/>
          <w:shd w:val="clear" w:color="auto" w:fill="FFFFFF"/>
        </w:rPr>
      </w:pPr>
      <w:r w:rsidRPr="00DE475B">
        <w:rPr>
          <w:rFonts w:ascii="Arial" w:hAnsi="Arial" w:cs="Arial"/>
          <w:sz w:val="20"/>
          <w:szCs w:val="20"/>
          <w:shd w:val="clear" w:color="auto" w:fill="FFFFFF"/>
        </w:rPr>
        <w:t>Meanwhile</w:t>
      </w:r>
      <w:r w:rsidR="00B85A78">
        <w:rPr>
          <w:rFonts w:ascii="Arial" w:hAnsi="Arial" w:cs="Arial"/>
          <w:sz w:val="20"/>
          <w:szCs w:val="20"/>
          <w:shd w:val="clear" w:color="auto" w:fill="FFFFFF"/>
        </w:rPr>
        <w:t>,</w:t>
      </w:r>
      <w:r w:rsidRPr="00DE475B">
        <w:rPr>
          <w:rFonts w:ascii="Arial" w:hAnsi="Arial" w:cs="Arial"/>
          <w:sz w:val="20"/>
          <w:szCs w:val="20"/>
          <w:shd w:val="clear" w:color="auto" w:fill="FFFFFF"/>
        </w:rPr>
        <w:t xml:space="preserve"> </w:t>
      </w:r>
      <w:proofErr w:type="spellStart"/>
      <w:r w:rsidRPr="00DE475B">
        <w:rPr>
          <w:rFonts w:ascii="Arial" w:hAnsi="Arial" w:cs="Arial"/>
          <w:i/>
          <w:sz w:val="20"/>
          <w:szCs w:val="20"/>
          <w:shd w:val="clear" w:color="auto" w:fill="FFFFFF"/>
        </w:rPr>
        <w:t>black&amp;write</w:t>
      </w:r>
      <w:proofErr w:type="spellEnd"/>
      <w:r w:rsidRPr="00DE475B">
        <w:rPr>
          <w:rFonts w:ascii="Arial" w:hAnsi="Arial" w:cs="Arial"/>
          <w:i/>
          <w:sz w:val="20"/>
          <w:szCs w:val="20"/>
          <w:shd w:val="clear" w:color="auto" w:fill="FFFFFF"/>
        </w:rPr>
        <w:t>!</w:t>
      </w:r>
      <w:r w:rsidRPr="00DE475B">
        <w:rPr>
          <w:rFonts w:ascii="Arial" w:hAnsi="Arial" w:cs="Arial"/>
          <w:sz w:val="20"/>
          <w:szCs w:val="20"/>
          <w:shd w:val="clear" w:color="auto" w:fill="FFFFFF"/>
        </w:rPr>
        <w:t xml:space="preserve"> Indigenous Writing Fellowships are continuing to have a positive impact on the lives of its Fellows. A screen adaptation of </w:t>
      </w:r>
      <w:r w:rsidRPr="00DE475B">
        <w:rPr>
          <w:rFonts w:ascii="Arial" w:hAnsi="Arial" w:cs="Arial"/>
          <w:i/>
          <w:sz w:val="20"/>
          <w:szCs w:val="20"/>
          <w:shd w:val="clear" w:color="auto" w:fill="FFFFFF"/>
        </w:rPr>
        <w:t xml:space="preserve">Grace </w:t>
      </w:r>
      <w:proofErr w:type="gramStart"/>
      <w:r w:rsidRPr="00DE475B">
        <w:rPr>
          <w:rFonts w:ascii="Arial" w:hAnsi="Arial" w:cs="Arial"/>
          <w:i/>
          <w:sz w:val="20"/>
          <w:szCs w:val="20"/>
          <w:shd w:val="clear" w:color="auto" w:fill="FFFFFF"/>
        </w:rPr>
        <w:t>Beside</w:t>
      </w:r>
      <w:proofErr w:type="gramEnd"/>
      <w:r w:rsidRPr="00DE475B">
        <w:rPr>
          <w:rFonts w:ascii="Arial" w:hAnsi="Arial" w:cs="Arial"/>
          <w:i/>
          <w:sz w:val="20"/>
          <w:szCs w:val="20"/>
          <w:shd w:val="clear" w:color="auto" w:fill="FFFFFF"/>
        </w:rPr>
        <w:t xml:space="preserve"> Me</w:t>
      </w:r>
      <w:r w:rsidRPr="00DE475B">
        <w:rPr>
          <w:rFonts w:ascii="Arial" w:hAnsi="Arial" w:cs="Arial"/>
          <w:sz w:val="20"/>
          <w:szCs w:val="20"/>
          <w:shd w:val="clear" w:color="auto" w:fill="FFFFFF"/>
        </w:rPr>
        <w:t> by Sue McPherson, one of inaugural Fellows in 2011, is currently in production.</w:t>
      </w:r>
      <w:r w:rsidRPr="00DE475B">
        <w:rPr>
          <w:rStyle w:val="apple-converted-space"/>
          <w:rFonts w:ascii="Arial" w:hAnsi="Arial" w:cs="Arial"/>
          <w:iCs/>
          <w:sz w:val="20"/>
          <w:szCs w:val="20"/>
        </w:rPr>
        <w:t xml:space="preserve"> </w:t>
      </w:r>
      <w:r w:rsidRPr="00DE475B">
        <w:rPr>
          <w:rFonts w:ascii="Arial" w:hAnsi="Arial" w:cs="Arial"/>
          <w:sz w:val="20"/>
          <w:szCs w:val="20"/>
          <w:shd w:val="clear" w:color="auto" w:fill="FFFFFF"/>
        </w:rPr>
        <w:t xml:space="preserve">Sue has been joined by a team of Indigenous writers for the adaptation to television, including Tristan Savage, a 2013 </w:t>
      </w:r>
      <w:proofErr w:type="spellStart"/>
      <w:r w:rsidRPr="00DE475B">
        <w:rPr>
          <w:rFonts w:ascii="Arial" w:hAnsi="Arial" w:cs="Arial"/>
          <w:i/>
          <w:sz w:val="20"/>
          <w:szCs w:val="20"/>
          <w:shd w:val="clear" w:color="auto" w:fill="FFFFFF"/>
        </w:rPr>
        <w:t>black&amp;write</w:t>
      </w:r>
      <w:proofErr w:type="spellEnd"/>
      <w:r w:rsidRPr="00DE475B">
        <w:rPr>
          <w:rFonts w:ascii="Arial" w:hAnsi="Arial" w:cs="Arial"/>
          <w:i/>
          <w:sz w:val="20"/>
          <w:szCs w:val="20"/>
          <w:shd w:val="clear" w:color="auto" w:fill="FFFFFF"/>
        </w:rPr>
        <w:t>!</w:t>
      </w:r>
      <w:r w:rsidRPr="00DE475B">
        <w:rPr>
          <w:rFonts w:ascii="Arial" w:hAnsi="Arial" w:cs="Arial"/>
          <w:sz w:val="20"/>
          <w:szCs w:val="20"/>
          <w:shd w:val="clear" w:color="auto" w:fill="FFFFFF"/>
        </w:rPr>
        <w:t xml:space="preserve"> </w:t>
      </w:r>
      <w:proofErr w:type="gramStart"/>
      <w:r w:rsidR="00C66E8E" w:rsidRPr="00DE475B">
        <w:rPr>
          <w:rFonts w:ascii="Arial" w:hAnsi="Arial" w:cs="Arial"/>
          <w:sz w:val="20"/>
          <w:szCs w:val="20"/>
          <w:shd w:val="clear" w:color="auto" w:fill="FFFFFF"/>
        </w:rPr>
        <w:t>Fellow</w:t>
      </w:r>
      <w:r w:rsidRPr="00DE475B">
        <w:rPr>
          <w:rFonts w:ascii="Arial" w:hAnsi="Arial" w:cs="Arial"/>
          <w:sz w:val="20"/>
          <w:szCs w:val="20"/>
          <w:shd w:val="clear" w:color="auto" w:fill="FFFFFF"/>
        </w:rPr>
        <w:t>.</w:t>
      </w:r>
      <w:proofErr w:type="gramEnd"/>
      <w:r w:rsidRPr="00DE475B">
        <w:rPr>
          <w:rFonts w:ascii="Arial" w:hAnsi="Arial" w:cs="Arial"/>
          <w:sz w:val="20"/>
          <w:szCs w:val="20"/>
          <w:shd w:val="clear" w:color="auto" w:fill="FFFFFF"/>
        </w:rPr>
        <w:t xml:space="preserve"> </w:t>
      </w:r>
      <w:r w:rsidRPr="00DE475B">
        <w:rPr>
          <w:rStyle w:val="apple-converted-space"/>
          <w:rFonts w:ascii="Arial" w:hAnsi="Arial" w:cs="Arial"/>
          <w:iCs/>
          <w:sz w:val="20"/>
          <w:szCs w:val="20"/>
          <w:shd w:val="clear" w:color="auto" w:fill="FFFFFF"/>
        </w:rPr>
        <w:t>The 13</w:t>
      </w:r>
      <w:r w:rsidR="00B85A78">
        <w:rPr>
          <w:rStyle w:val="apple-converted-space"/>
          <w:rFonts w:ascii="Arial" w:hAnsi="Arial" w:cs="Arial"/>
          <w:iCs/>
          <w:sz w:val="20"/>
          <w:szCs w:val="20"/>
          <w:shd w:val="clear" w:color="auto" w:fill="FFFFFF"/>
        </w:rPr>
        <w:t>-</w:t>
      </w:r>
      <w:r w:rsidRPr="00DE475B">
        <w:rPr>
          <w:rStyle w:val="apple-converted-space"/>
          <w:rFonts w:ascii="Arial" w:hAnsi="Arial" w:cs="Arial"/>
          <w:iCs/>
          <w:sz w:val="20"/>
          <w:szCs w:val="20"/>
          <w:shd w:val="clear" w:color="auto" w:fill="FFFFFF"/>
        </w:rPr>
        <w:t xml:space="preserve">episode series </w:t>
      </w:r>
      <w:r w:rsidRPr="00DE475B">
        <w:rPr>
          <w:rFonts w:ascii="Arial" w:hAnsi="Arial" w:cs="Arial"/>
          <w:sz w:val="20"/>
          <w:szCs w:val="20"/>
          <w:shd w:val="clear" w:color="auto" w:fill="FFFFFF"/>
        </w:rPr>
        <w:t xml:space="preserve">will be filmed in Beaudesert and premiere on </w:t>
      </w:r>
      <w:proofErr w:type="spellStart"/>
      <w:r w:rsidRPr="00DE475B">
        <w:rPr>
          <w:rFonts w:ascii="Arial" w:hAnsi="Arial" w:cs="Arial"/>
          <w:sz w:val="20"/>
          <w:szCs w:val="20"/>
          <w:shd w:val="clear" w:color="auto" w:fill="FFFFFF"/>
        </w:rPr>
        <w:t>NITV</w:t>
      </w:r>
      <w:proofErr w:type="spellEnd"/>
      <w:r w:rsidRPr="00DE475B">
        <w:rPr>
          <w:rFonts w:ascii="Arial" w:hAnsi="Arial" w:cs="Arial"/>
          <w:sz w:val="20"/>
          <w:szCs w:val="20"/>
          <w:shd w:val="clear" w:color="auto" w:fill="FFFFFF"/>
        </w:rPr>
        <w:t>, with a secondary broadcast on the ABC and third release on subscription channel Disney Australia. Author Jane Harrison was shortlisted for the Prime Minister’s Literary Award for Young Adult Fiction for her novel </w:t>
      </w:r>
      <w:r w:rsidRPr="00DE475B">
        <w:rPr>
          <w:rFonts w:ascii="Arial" w:hAnsi="Arial" w:cs="Arial"/>
          <w:i/>
          <w:sz w:val="20"/>
          <w:szCs w:val="20"/>
          <w:shd w:val="clear" w:color="auto" w:fill="FFFFFF"/>
        </w:rPr>
        <w:t xml:space="preserve">Becoming </w:t>
      </w:r>
      <w:proofErr w:type="spellStart"/>
      <w:r w:rsidRPr="00DE475B">
        <w:rPr>
          <w:rFonts w:ascii="Arial" w:hAnsi="Arial" w:cs="Arial"/>
          <w:i/>
          <w:sz w:val="20"/>
          <w:szCs w:val="20"/>
          <w:shd w:val="clear" w:color="auto" w:fill="FFFFFF"/>
        </w:rPr>
        <w:t>Kirrali</w:t>
      </w:r>
      <w:proofErr w:type="spellEnd"/>
      <w:r w:rsidRPr="00DE475B">
        <w:rPr>
          <w:rFonts w:ascii="Arial" w:hAnsi="Arial" w:cs="Arial"/>
          <w:i/>
          <w:sz w:val="20"/>
          <w:szCs w:val="20"/>
          <w:shd w:val="clear" w:color="auto" w:fill="FFFFFF"/>
        </w:rPr>
        <w:t xml:space="preserve"> Lewis</w:t>
      </w:r>
      <w:r w:rsidRPr="00DE475B">
        <w:rPr>
          <w:rFonts w:ascii="Arial" w:hAnsi="Arial" w:cs="Arial"/>
          <w:sz w:val="20"/>
          <w:szCs w:val="20"/>
          <w:shd w:val="clear" w:color="auto" w:fill="FFFFFF"/>
        </w:rPr>
        <w:t xml:space="preserve">, published by </w:t>
      </w:r>
      <w:proofErr w:type="spellStart"/>
      <w:r w:rsidRPr="00DE475B">
        <w:rPr>
          <w:rFonts w:ascii="Arial" w:hAnsi="Arial" w:cs="Arial"/>
          <w:sz w:val="20"/>
          <w:szCs w:val="20"/>
          <w:shd w:val="clear" w:color="auto" w:fill="FFFFFF"/>
        </w:rPr>
        <w:t>Magabala</w:t>
      </w:r>
      <w:proofErr w:type="spellEnd"/>
      <w:r w:rsidRPr="00DE475B">
        <w:rPr>
          <w:rFonts w:ascii="Arial" w:hAnsi="Arial" w:cs="Arial"/>
          <w:sz w:val="20"/>
          <w:szCs w:val="20"/>
          <w:shd w:val="clear" w:color="auto" w:fill="FFFFFF"/>
        </w:rPr>
        <w:t xml:space="preserve"> Books as part of </w:t>
      </w:r>
      <w:proofErr w:type="spellStart"/>
      <w:r w:rsidRPr="00DE475B">
        <w:rPr>
          <w:rFonts w:ascii="Arial" w:hAnsi="Arial" w:cs="Arial"/>
          <w:i/>
          <w:sz w:val="20"/>
          <w:szCs w:val="20"/>
          <w:shd w:val="clear" w:color="auto" w:fill="FFFFFF"/>
        </w:rPr>
        <w:t>black&amp;write</w:t>
      </w:r>
      <w:proofErr w:type="spellEnd"/>
      <w:r w:rsidRPr="00DE475B">
        <w:rPr>
          <w:rFonts w:ascii="Arial" w:hAnsi="Arial" w:cs="Arial"/>
          <w:i/>
          <w:sz w:val="20"/>
          <w:szCs w:val="20"/>
          <w:shd w:val="clear" w:color="auto" w:fill="FFFFFF"/>
        </w:rPr>
        <w:t>!</w:t>
      </w:r>
    </w:p>
    <w:p w:rsidR="006673FE" w:rsidRDefault="006673FE" w:rsidP="006673FE">
      <w:pPr>
        <w:spacing w:after="120"/>
        <w:rPr>
          <w:rFonts w:ascii="Arial" w:hAnsi="Arial" w:cs="Arial"/>
          <w:sz w:val="20"/>
          <w:szCs w:val="20"/>
          <w:lang w:eastAsia="en-US"/>
        </w:rPr>
      </w:pPr>
      <w:r w:rsidRPr="00DE475B">
        <w:rPr>
          <w:rFonts w:ascii="Arial" w:hAnsi="Arial" w:cs="Arial"/>
          <w:sz w:val="20"/>
          <w:szCs w:val="20"/>
          <w:lang w:eastAsia="en-US"/>
        </w:rPr>
        <w:t xml:space="preserve">SLQ continues to </w:t>
      </w:r>
      <w:r w:rsidR="00530240" w:rsidRPr="00DE475B">
        <w:rPr>
          <w:rFonts w:ascii="Arial" w:hAnsi="Arial" w:cs="Arial"/>
          <w:sz w:val="20"/>
          <w:szCs w:val="20"/>
          <w:lang w:eastAsia="en-US"/>
        </w:rPr>
        <w:t>manage</w:t>
      </w:r>
      <w:r w:rsidRPr="00DE475B">
        <w:rPr>
          <w:rFonts w:ascii="Arial" w:hAnsi="Arial" w:cs="Arial"/>
          <w:sz w:val="20"/>
          <w:szCs w:val="20"/>
          <w:lang w:eastAsia="en-US"/>
        </w:rPr>
        <w:t xml:space="preserve"> the </w:t>
      </w:r>
      <w:r w:rsidR="00FF15E9">
        <w:rPr>
          <w:rFonts w:ascii="Arial" w:hAnsi="Arial" w:cs="Arial"/>
          <w:sz w:val="20"/>
          <w:szCs w:val="20"/>
          <w:lang w:eastAsia="en-US"/>
        </w:rPr>
        <w:t>annual</w:t>
      </w:r>
      <w:r w:rsidRPr="00DE475B">
        <w:rPr>
          <w:rFonts w:ascii="Arial" w:hAnsi="Arial" w:cs="Arial"/>
          <w:sz w:val="20"/>
          <w:szCs w:val="20"/>
          <w:lang w:eastAsia="en-US"/>
        </w:rPr>
        <w:t xml:space="preserve"> Queensland Literary Awards (</w:t>
      </w:r>
      <w:proofErr w:type="spellStart"/>
      <w:r w:rsidRPr="00DE475B">
        <w:rPr>
          <w:rFonts w:ascii="Arial" w:hAnsi="Arial" w:cs="Arial"/>
          <w:sz w:val="20"/>
          <w:szCs w:val="20"/>
          <w:lang w:eastAsia="en-US"/>
        </w:rPr>
        <w:t>QLA</w:t>
      </w:r>
      <w:proofErr w:type="spellEnd"/>
      <w:r w:rsidRPr="00DE475B">
        <w:rPr>
          <w:rFonts w:ascii="Arial" w:hAnsi="Arial" w:cs="Arial"/>
          <w:sz w:val="20"/>
          <w:szCs w:val="20"/>
          <w:lang w:eastAsia="en-US"/>
        </w:rPr>
        <w:t>) and Queensland Writers Fellowships, which recognise the literary achievements of published and emerging Queensland and Australian authors. Through the support of Queensland University of Technology (</w:t>
      </w:r>
      <w:proofErr w:type="spellStart"/>
      <w:r w:rsidRPr="00DE475B">
        <w:rPr>
          <w:rFonts w:ascii="Arial" w:hAnsi="Arial" w:cs="Arial"/>
          <w:sz w:val="20"/>
          <w:szCs w:val="20"/>
          <w:lang w:eastAsia="en-US"/>
        </w:rPr>
        <w:t>QUT</w:t>
      </w:r>
      <w:proofErr w:type="spellEnd"/>
      <w:r w:rsidRPr="00DE475B">
        <w:rPr>
          <w:rFonts w:ascii="Arial" w:hAnsi="Arial" w:cs="Arial"/>
          <w:sz w:val="20"/>
          <w:szCs w:val="20"/>
          <w:lang w:eastAsia="en-US"/>
        </w:rPr>
        <w:t xml:space="preserve">), a </w:t>
      </w:r>
      <w:proofErr w:type="spellStart"/>
      <w:r w:rsidRPr="00DE475B">
        <w:rPr>
          <w:rFonts w:ascii="Arial" w:hAnsi="Arial" w:cs="Arial"/>
          <w:sz w:val="20"/>
          <w:szCs w:val="20"/>
          <w:lang w:eastAsia="en-US"/>
        </w:rPr>
        <w:t>QUT</w:t>
      </w:r>
      <w:proofErr w:type="spellEnd"/>
      <w:r w:rsidRPr="00DE475B">
        <w:rPr>
          <w:rFonts w:ascii="Arial" w:hAnsi="Arial" w:cs="Arial"/>
          <w:sz w:val="20"/>
          <w:szCs w:val="20"/>
          <w:lang w:eastAsia="en-US"/>
        </w:rPr>
        <w:t xml:space="preserve"> Digital Literature Award with a cash </w:t>
      </w:r>
      <w:r w:rsidRPr="00DE475B">
        <w:rPr>
          <w:rFonts w:ascii="Arial" w:hAnsi="Arial" w:cs="Arial"/>
          <w:sz w:val="20"/>
          <w:szCs w:val="20"/>
          <w:lang w:eastAsia="en-US"/>
        </w:rPr>
        <w:lastRenderedPageBreak/>
        <w:t xml:space="preserve">prize of $10,000 has been established in 2017, becoming the world’s richest digital literary prize. The </w:t>
      </w:r>
      <w:r w:rsidR="00FF15E9">
        <w:rPr>
          <w:rFonts w:ascii="Arial" w:hAnsi="Arial" w:cs="Arial"/>
          <w:sz w:val="20"/>
          <w:szCs w:val="20"/>
          <w:lang w:eastAsia="en-US"/>
        </w:rPr>
        <w:t>A</w:t>
      </w:r>
      <w:r w:rsidRPr="00DE475B">
        <w:rPr>
          <w:rFonts w:ascii="Arial" w:hAnsi="Arial" w:cs="Arial"/>
          <w:sz w:val="20"/>
          <w:szCs w:val="20"/>
          <w:lang w:eastAsia="en-US"/>
        </w:rPr>
        <w:t xml:space="preserve">ward will acknowledge contemporary publishing and digital innovation in storytelling, celebrating digital literature in all forms. The Queensland Government invests in the creative futures of Queensland’s writers with continuing support for </w:t>
      </w:r>
      <w:proofErr w:type="spellStart"/>
      <w:r w:rsidR="00472562">
        <w:rPr>
          <w:rFonts w:ascii="Arial" w:hAnsi="Arial" w:cs="Arial"/>
          <w:sz w:val="20"/>
          <w:szCs w:val="20"/>
          <w:lang w:eastAsia="en-US"/>
        </w:rPr>
        <w:t>QLA</w:t>
      </w:r>
      <w:proofErr w:type="spellEnd"/>
      <w:r w:rsidRPr="00DE475B">
        <w:rPr>
          <w:rFonts w:ascii="Arial" w:hAnsi="Arial" w:cs="Arial"/>
          <w:sz w:val="20"/>
          <w:szCs w:val="20"/>
          <w:lang w:eastAsia="en-US"/>
        </w:rPr>
        <w:t xml:space="preserve">, including the $25,000 Queensland Premier’s Award for a work of State Significance. </w:t>
      </w:r>
      <w:proofErr w:type="spellStart"/>
      <w:r w:rsidR="00472562">
        <w:rPr>
          <w:rFonts w:ascii="Arial" w:hAnsi="Arial" w:cs="Arial"/>
          <w:sz w:val="20"/>
          <w:szCs w:val="20"/>
          <w:lang w:eastAsia="en-US"/>
        </w:rPr>
        <w:t>QLA</w:t>
      </w:r>
      <w:proofErr w:type="spellEnd"/>
      <w:r w:rsidR="00472562">
        <w:rPr>
          <w:rFonts w:ascii="Arial" w:hAnsi="Arial" w:cs="Arial"/>
          <w:sz w:val="20"/>
          <w:szCs w:val="20"/>
          <w:lang w:eastAsia="en-US"/>
        </w:rPr>
        <w:t xml:space="preserve"> is</w:t>
      </w:r>
      <w:r w:rsidRPr="00DE475B">
        <w:rPr>
          <w:rFonts w:ascii="Arial" w:hAnsi="Arial" w:cs="Arial"/>
          <w:sz w:val="20"/>
          <w:szCs w:val="20"/>
          <w:lang w:eastAsia="en-US"/>
        </w:rPr>
        <w:t xml:space="preserve"> also supported by the University of Queensland, Griffith University, </w:t>
      </w:r>
      <w:proofErr w:type="gramStart"/>
      <w:r w:rsidRPr="00DE475B">
        <w:rPr>
          <w:rFonts w:ascii="Arial" w:hAnsi="Arial" w:cs="Arial"/>
          <w:sz w:val="20"/>
          <w:szCs w:val="20"/>
          <w:lang w:eastAsia="en-US"/>
        </w:rPr>
        <w:t>University</w:t>
      </w:r>
      <w:proofErr w:type="gramEnd"/>
      <w:r w:rsidRPr="00DE475B">
        <w:rPr>
          <w:rFonts w:ascii="Arial" w:hAnsi="Arial" w:cs="Arial"/>
          <w:sz w:val="20"/>
          <w:szCs w:val="20"/>
          <w:lang w:eastAsia="en-US"/>
        </w:rPr>
        <w:t xml:space="preserve"> of Southern Queensland, </w:t>
      </w:r>
      <w:proofErr w:type="spellStart"/>
      <w:r w:rsidRPr="00DE475B">
        <w:rPr>
          <w:rFonts w:ascii="Arial" w:hAnsi="Arial" w:cs="Arial"/>
          <w:sz w:val="20"/>
          <w:szCs w:val="20"/>
          <w:lang w:eastAsia="en-US"/>
        </w:rPr>
        <w:t>QUT</w:t>
      </w:r>
      <w:proofErr w:type="spellEnd"/>
      <w:r w:rsidRPr="00DE475B">
        <w:rPr>
          <w:rFonts w:ascii="Arial" w:hAnsi="Arial" w:cs="Arial"/>
          <w:sz w:val="20"/>
          <w:szCs w:val="20"/>
          <w:lang w:eastAsia="en-US"/>
        </w:rPr>
        <w:t xml:space="preserve">, Copyright Agency Limited Cultural Fund and </w:t>
      </w:r>
      <w:r w:rsidRPr="00DE475B">
        <w:rPr>
          <w:rFonts w:ascii="Arial" w:hAnsi="Arial" w:cs="Arial"/>
          <w:i/>
          <w:sz w:val="20"/>
          <w:szCs w:val="20"/>
          <w:lang w:eastAsia="en-US"/>
        </w:rPr>
        <w:t>The Courier-Mail</w:t>
      </w:r>
      <w:r w:rsidRPr="00DE475B">
        <w:rPr>
          <w:rFonts w:ascii="Arial" w:hAnsi="Arial" w:cs="Arial"/>
          <w:sz w:val="20"/>
          <w:szCs w:val="20"/>
          <w:lang w:eastAsia="en-US"/>
        </w:rPr>
        <w:t xml:space="preserve">. </w:t>
      </w:r>
    </w:p>
    <w:p w:rsidR="00857DF3" w:rsidRPr="00857DF3" w:rsidRDefault="00857DF3" w:rsidP="00857DF3">
      <w:pPr>
        <w:pStyle w:val="ARText"/>
        <w:tabs>
          <w:tab w:val="left" w:pos="2008"/>
          <w:tab w:val="left" w:pos="2084"/>
        </w:tabs>
        <w:spacing w:before="0"/>
        <w:rPr>
          <w:rFonts w:eastAsia="Times New Roman"/>
          <w:b/>
          <w:bCs w:val="0"/>
          <w:color w:val="000000"/>
          <w:szCs w:val="20"/>
        </w:rPr>
      </w:pPr>
      <w:r w:rsidRPr="00857DF3">
        <w:rPr>
          <w:rFonts w:eastAsia="Times New Roman"/>
          <w:b/>
          <w:bCs w:val="0"/>
          <w:color w:val="000000"/>
          <w:szCs w:val="20"/>
        </w:rPr>
        <w:t>Collaborate and co-create</w:t>
      </w:r>
    </w:p>
    <w:p w:rsidR="006673FE" w:rsidRPr="00035585" w:rsidRDefault="006673FE" w:rsidP="006673FE">
      <w:pPr>
        <w:pStyle w:val="ARText"/>
        <w:tabs>
          <w:tab w:val="left" w:pos="317"/>
        </w:tabs>
        <w:spacing w:before="0" w:after="120"/>
        <w:rPr>
          <w:spacing w:val="-2"/>
          <w:kern w:val="20"/>
          <w:szCs w:val="20"/>
        </w:rPr>
      </w:pPr>
      <w:r w:rsidRPr="00035585">
        <w:rPr>
          <w:spacing w:val="-2"/>
          <w:kern w:val="20"/>
          <w:szCs w:val="20"/>
        </w:rPr>
        <w:t xml:space="preserve">SLQ collaborates with </w:t>
      </w:r>
      <w:r w:rsidR="00B85A78">
        <w:rPr>
          <w:spacing w:val="-2"/>
          <w:kern w:val="20"/>
          <w:szCs w:val="20"/>
        </w:rPr>
        <w:t xml:space="preserve">the </w:t>
      </w:r>
      <w:r w:rsidRPr="00035585">
        <w:rPr>
          <w:spacing w:val="-2"/>
          <w:kern w:val="20"/>
          <w:szCs w:val="20"/>
        </w:rPr>
        <w:t>community and its partners to create new content and knowledge through its dedicated centres of engagement. For instance</w:t>
      </w:r>
      <w:r w:rsidR="00B85A78">
        <w:rPr>
          <w:spacing w:val="-2"/>
          <w:kern w:val="20"/>
          <w:szCs w:val="20"/>
        </w:rPr>
        <w:t>,</w:t>
      </w:r>
      <w:r w:rsidRPr="00035585">
        <w:rPr>
          <w:spacing w:val="-2"/>
          <w:kern w:val="20"/>
          <w:szCs w:val="20"/>
        </w:rPr>
        <w:t xml:space="preserve"> the Asia Pacific Design Library hosted the second Asia Pacific Architecture Forum (</w:t>
      </w:r>
      <w:proofErr w:type="spellStart"/>
      <w:r w:rsidRPr="00035585">
        <w:rPr>
          <w:spacing w:val="-2"/>
          <w:kern w:val="20"/>
          <w:szCs w:val="20"/>
        </w:rPr>
        <w:t>APAF</w:t>
      </w:r>
      <w:proofErr w:type="spellEnd"/>
      <w:r w:rsidRPr="00035585">
        <w:rPr>
          <w:spacing w:val="-2"/>
          <w:kern w:val="20"/>
          <w:szCs w:val="20"/>
        </w:rPr>
        <w:t>) in March 201</w:t>
      </w:r>
      <w:r w:rsidR="00035585" w:rsidRPr="00035585">
        <w:rPr>
          <w:spacing w:val="-2"/>
          <w:kern w:val="20"/>
          <w:szCs w:val="20"/>
        </w:rPr>
        <w:t>7</w:t>
      </w:r>
      <w:r w:rsidRPr="00035585">
        <w:rPr>
          <w:spacing w:val="-2"/>
          <w:kern w:val="20"/>
          <w:szCs w:val="20"/>
        </w:rPr>
        <w:t xml:space="preserve"> to explore the region’s role in shaping the future of architecture and future opportunities</w:t>
      </w:r>
      <w:r w:rsidR="00035585" w:rsidRPr="00035585">
        <w:rPr>
          <w:spacing w:val="-2"/>
          <w:kern w:val="20"/>
          <w:szCs w:val="20"/>
        </w:rPr>
        <w:t xml:space="preserve"> </w:t>
      </w:r>
      <w:r w:rsidRPr="00035585">
        <w:rPr>
          <w:spacing w:val="-2"/>
          <w:kern w:val="20"/>
          <w:szCs w:val="20"/>
        </w:rPr>
        <w:t xml:space="preserve">for architects, designers and planners. </w:t>
      </w:r>
      <w:proofErr w:type="spellStart"/>
      <w:r w:rsidRPr="00035585">
        <w:rPr>
          <w:spacing w:val="-2"/>
          <w:kern w:val="20"/>
          <w:szCs w:val="20"/>
        </w:rPr>
        <w:t>APAF</w:t>
      </w:r>
      <w:proofErr w:type="spellEnd"/>
      <w:r w:rsidRPr="00035585">
        <w:rPr>
          <w:spacing w:val="-2"/>
          <w:kern w:val="20"/>
          <w:szCs w:val="20"/>
        </w:rPr>
        <w:t xml:space="preserve"> comprised exhibitions, symposia, tours and workshops across Brisbane.</w:t>
      </w:r>
    </w:p>
    <w:p w:rsidR="006673FE" w:rsidRPr="00DE475B" w:rsidRDefault="006673FE" w:rsidP="006673FE">
      <w:pPr>
        <w:pStyle w:val="ARText"/>
        <w:tabs>
          <w:tab w:val="left" w:pos="317"/>
        </w:tabs>
        <w:spacing w:before="0" w:after="120"/>
        <w:rPr>
          <w:szCs w:val="20"/>
        </w:rPr>
      </w:pPr>
      <w:r w:rsidRPr="00DE475B">
        <w:rPr>
          <w:szCs w:val="20"/>
        </w:rPr>
        <w:t>In June 2017, the winners of the Queensland Memory Fellowships were announced. Each year, SLQ Fellows use the collection to research and create new content that explor</w:t>
      </w:r>
      <w:r w:rsidR="000076D6">
        <w:rPr>
          <w:szCs w:val="20"/>
        </w:rPr>
        <w:t>es and analyses aspects of the S</w:t>
      </w:r>
      <w:r w:rsidRPr="00DE475B">
        <w:rPr>
          <w:szCs w:val="20"/>
        </w:rPr>
        <w:t xml:space="preserve">tate’s history. The $20,000 John Oxley Library Fellowship was awarded to Dr Lauren </w:t>
      </w:r>
      <w:proofErr w:type="spellStart"/>
      <w:r w:rsidRPr="00DE475B">
        <w:rPr>
          <w:szCs w:val="20"/>
        </w:rPr>
        <w:t>Istvandity</w:t>
      </w:r>
      <w:proofErr w:type="spellEnd"/>
      <w:r w:rsidRPr="00DE475B">
        <w:rPr>
          <w:szCs w:val="20"/>
        </w:rPr>
        <w:t xml:space="preserve">, for a project </w:t>
      </w:r>
      <w:proofErr w:type="gramStart"/>
      <w:r w:rsidRPr="00035585">
        <w:rPr>
          <w:i/>
          <w:szCs w:val="20"/>
        </w:rPr>
        <w:t>Reminiscing</w:t>
      </w:r>
      <w:proofErr w:type="gramEnd"/>
      <w:r w:rsidRPr="00035585">
        <w:rPr>
          <w:i/>
          <w:szCs w:val="20"/>
        </w:rPr>
        <w:t xml:space="preserve"> about jazz in Queens</w:t>
      </w:r>
      <w:r w:rsidR="00527438">
        <w:rPr>
          <w:i/>
          <w:szCs w:val="20"/>
        </w:rPr>
        <w:t>land: P</w:t>
      </w:r>
      <w:r w:rsidRPr="00035585">
        <w:rPr>
          <w:i/>
          <w:szCs w:val="20"/>
        </w:rPr>
        <w:t>reserving pre-1965 oral histories for the Q</w:t>
      </w:r>
      <w:r w:rsidR="00527438">
        <w:rPr>
          <w:i/>
          <w:szCs w:val="20"/>
        </w:rPr>
        <w:t>ueensland Jazz Archive C</w:t>
      </w:r>
      <w:r w:rsidRPr="00035585">
        <w:rPr>
          <w:i/>
          <w:szCs w:val="20"/>
        </w:rPr>
        <w:t>ollection</w:t>
      </w:r>
      <w:r w:rsidRPr="00527438">
        <w:rPr>
          <w:szCs w:val="20"/>
        </w:rPr>
        <w:t xml:space="preserve"> in the John Oxley Library</w:t>
      </w:r>
      <w:r w:rsidRPr="00DE475B">
        <w:rPr>
          <w:szCs w:val="20"/>
        </w:rPr>
        <w:t xml:space="preserve">. Commercial diver and marine archaeologist Toni Massey received a $15,000 Queensland Business Leaders Hall of Fame Fellowship to examine how Queensland pearl divers helped develop Queensland’s economy by pioneering the pearl shelling industry. Tess Maunder received the $15,000 </w:t>
      </w:r>
      <w:proofErr w:type="spellStart"/>
      <w:r w:rsidRPr="00DE475B">
        <w:rPr>
          <w:szCs w:val="20"/>
        </w:rPr>
        <w:t>Mittelheuser</w:t>
      </w:r>
      <w:proofErr w:type="spellEnd"/>
      <w:r w:rsidRPr="00DE475B">
        <w:rPr>
          <w:szCs w:val="20"/>
        </w:rPr>
        <w:t xml:space="preserve"> Scholar-in-Residence program, supported by long-term donor Dr </w:t>
      </w:r>
      <w:proofErr w:type="spellStart"/>
      <w:r w:rsidRPr="00DE475B">
        <w:rPr>
          <w:szCs w:val="20"/>
        </w:rPr>
        <w:t>Cathryn</w:t>
      </w:r>
      <w:proofErr w:type="spellEnd"/>
      <w:r w:rsidRPr="00DE475B">
        <w:rPr>
          <w:szCs w:val="20"/>
        </w:rPr>
        <w:t xml:space="preserve"> </w:t>
      </w:r>
      <w:proofErr w:type="spellStart"/>
      <w:r w:rsidRPr="00DE475B">
        <w:rPr>
          <w:szCs w:val="20"/>
        </w:rPr>
        <w:t>Mittelheuser</w:t>
      </w:r>
      <w:proofErr w:type="spellEnd"/>
      <w:r w:rsidRPr="00DE475B">
        <w:rPr>
          <w:szCs w:val="20"/>
        </w:rPr>
        <w:t xml:space="preserve"> </w:t>
      </w:r>
      <w:r w:rsidRPr="00DE475B">
        <w:rPr>
          <w:smallCaps/>
          <w:szCs w:val="20"/>
        </w:rPr>
        <w:t>am</w:t>
      </w:r>
      <w:r w:rsidRPr="00DE475B">
        <w:rPr>
          <w:szCs w:val="20"/>
        </w:rPr>
        <w:t>, to examine the relationship between ‘digital futures’ and contemporary curatorial practice.</w:t>
      </w:r>
    </w:p>
    <w:p w:rsidR="006673FE" w:rsidRPr="00DE475B" w:rsidRDefault="006673FE" w:rsidP="006673FE">
      <w:pPr>
        <w:pStyle w:val="ARText"/>
        <w:tabs>
          <w:tab w:val="left" w:pos="317"/>
        </w:tabs>
        <w:spacing w:before="0" w:after="120"/>
        <w:rPr>
          <w:szCs w:val="20"/>
        </w:rPr>
      </w:pPr>
      <w:r w:rsidRPr="00DE475B">
        <w:rPr>
          <w:szCs w:val="20"/>
        </w:rPr>
        <w:t xml:space="preserve">Finally, four $15,000 </w:t>
      </w:r>
      <w:r w:rsidRPr="00830DD2">
        <w:rPr>
          <w:i/>
          <w:szCs w:val="20"/>
        </w:rPr>
        <w:t>Q ANZAC 100: Memories for a New Generation</w:t>
      </w:r>
      <w:r w:rsidRPr="00DE475B">
        <w:rPr>
          <w:szCs w:val="20"/>
        </w:rPr>
        <w:t xml:space="preserve"> Fellowships were awarded. Dr Peter Crossman received the 2017 Digital Fellowship for his project </w:t>
      </w:r>
      <w:r w:rsidRPr="00DE475B">
        <w:rPr>
          <w:i/>
          <w:szCs w:val="20"/>
        </w:rPr>
        <w:t>Cairns of words and numbers: Queensland’s memory rolls of the Great War</w:t>
      </w:r>
      <w:r w:rsidRPr="00DE475B">
        <w:rPr>
          <w:szCs w:val="20"/>
        </w:rPr>
        <w:t xml:space="preserve">, documenting the names, places and stories of soldiers from 100 Queensland honour boards. Lisa Jackson will examine the home front story of Stradbroke Island’s Inebriate Institution in her </w:t>
      </w:r>
      <w:r w:rsidRPr="00DE475B">
        <w:rPr>
          <w:szCs w:val="20"/>
        </w:rPr>
        <w:lastRenderedPageBreak/>
        <w:t xml:space="preserve">project </w:t>
      </w:r>
      <w:proofErr w:type="gramStart"/>
      <w:r w:rsidRPr="00DE475B">
        <w:rPr>
          <w:i/>
          <w:szCs w:val="20"/>
        </w:rPr>
        <w:t>The</w:t>
      </w:r>
      <w:proofErr w:type="gramEnd"/>
      <w:r w:rsidRPr="00DE475B">
        <w:rPr>
          <w:i/>
          <w:szCs w:val="20"/>
        </w:rPr>
        <w:t xml:space="preserve"> unfinished war: the post-war lives of returned soldiers who spent time in the Inebriate Institution in Dunwich</w:t>
      </w:r>
      <w:r w:rsidRPr="00DE475B">
        <w:rPr>
          <w:szCs w:val="20"/>
        </w:rPr>
        <w:t xml:space="preserve">. Dr Judith Powell’s project </w:t>
      </w:r>
      <w:r w:rsidRPr="00DE475B">
        <w:rPr>
          <w:i/>
          <w:szCs w:val="20"/>
        </w:rPr>
        <w:t xml:space="preserve">Crime, passion and opportunity </w:t>
      </w:r>
      <w:r w:rsidR="00B85A78">
        <w:rPr>
          <w:i/>
          <w:szCs w:val="20"/>
        </w:rPr>
        <w:t>—</w:t>
      </w:r>
      <w:r w:rsidRPr="00DE475B">
        <w:rPr>
          <w:i/>
          <w:szCs w:val="20"/>
        </w:rPr>
        <w:t xml:space="preserve"> policing Brisbane during World War 2</w:t>
      </w:r>
      <w:r w:rsidRPr="00DE475B">
        <w:rPr>
          <w:szCs w:val="20"/>
        </w:rPr>
        <w:t xml:space="preserve"> investigates Brisbane during the Second World War </w:t>
      </w:r>
      <w:r w:rsidR="00530240">
        <w:rPr>
          <w:szCs w:val="20"/>
        </w:rPr>
        <w:t xml:space="preserve">when </w:t>
      </w:r>
      <w:r w:rsidRPr="00DE475B">
        <w:rPr>
          <w:szCs w:val="20"/>
        </w:rPr>
        <w:t>General Douglas MacArthur</w:t>
      </w:r>
      <w:r w:rsidR="00530240">
        <w:rPr>
          <w:szCs w:val="20"/>
        </w:rPr>
        <w:t xml:space="preserve"> was stationed in Brisbane</w:t>
      </w:r>
      <w:r w:rsidRPr="00DE475B">
        <w:rPr>
          <w:szCs w:val="20"/>
        </w:rPr>
        <w:t xml:space="preserve">. Visual artist Greer Townshend’s project </w:t>
      </w:r>
      <w:r w:rsidRPr="00DE475B">
        <w:rPr>
          <w:i/>
          <w:szCs w:val="20"/>
        </w:rPr>
        <w:t>Treasure: a soldier’s story</w:t>
      </w:r>
      <w:r w:rsidRPr="00DE475B">
        <w:rPr>
          <w:szCs w:val="20"/>
        </w:rPr>
        <w:t xml:space="preserve"> explores archetypal imagery found in letters</w:t>
      </w:r>
      <w:r w:rsidR="00B85A78">
        <w:rPr>
          <w:szCs w:val="20"/>
        </w:rPr>
        <w:t>,</w:t>
      </w:r>
      <w:r w:rsidRPr="00DE475B">
        <w:rPr>
          <w:szCs w:val="20"/>
        </w:rPr>
        <w:t xml:space="preserve"> diaries, photographs and possessions of Queensland soldiers during the First World War.</w:t>
      </w:r>
    </w:p>
    <w:p w:rsidR="006673FE" w:rsidRPr="00DE475B" w:rsidRDefault="006673FE" w:rsidP="006673FE">
      <w:pPr>
        <w:pStyle w:val="ARText"/>
        <w:tabs>
          <w:tab w:val="left" w:pos="317"/>
        </w:tabs>
        <w:spacing w:before="0" w:after="120"/>
        <w:rPr>
          <w:color w:val="1D2129"/>
          <w:szCs w:val="20"/>
          <w:shd w:val="clear" w:color="auto" w:fill="FFFFFF"/>
        </w:rPr>
      </w:pPr>
      <w:r w:rsidRPr="00DE475B">
        <w:rPr>
          <w:i/>
          <w:szCs w:val="20"/>
        </w:rPr>
        <w:t>Barambah&lt;&gt;Cherbourg&lt;&gt;Art&lt;&gt;Craft</w:t>
      </w:r>
      <w:r w:rsidRPr="00DE475B">
        <w:rPr>
          <w:szCs w:val="20"/>
        </w:rPr>
        <w:t xml:space="preserve"> was a community exhibition held in kuril dhagun and curated by SLQ in partnership with 2016 winner of the John Oxley Library Community History Award, The Ration Shed Museum (Cherbourg). The exhibition showcased the creative diversity and historic production of Barambah Pottery, a commercial venture established in the Aboriginal community of Cherbourg in 1969. It features more than 100 individual pieces of significant pottery — from elaborate vases to glazed goblets — created before Barambah Pottery was abruptly closed in 1987. The e</w:t>
      </w:r>
      <w:r w:rsidR="00FF15E9">
        <w:rPr>
          <w:szCs w:val="20"/>
        </w:rPr>
        <w:t>xhibition</w:t>
      </w:r>
      <w:r w:rsidRPr="00DE475B">
        <w:rPr>
          <w:szCs w:val="20"/>
        </w:rPr>
        <w:t xml:space="preserve"> ran from December 2016 to April 2017. A companion book, </w:t>
      </w:r>
      <w:r w:rsidRPr="00DE475B">
        <w:rPr>
          <w:i/>
          <w:color w:val="1D2129"/>
          <w:szCs w:val="20"/>
          <w:shd w:val="clear" w:color="auto" w:fill="FFFFFF"/>
        </w:rPr>
        <w:t>Barambah Pottery</w:t>
      </w:r>
      <w:r w:rsidRPr="00DE475B">
        <w:rPr>
          <w:color w:val="1D2129"/>
          <w:szCs w:val="20"/>
          <w:shd w:val="clear" w:color="auto" w:fill="FFFFFF"/>
        </w:rPr>
        <w:t>, was developed to support The Ration Shed.</w:t>
      </w:r>
    </w:p>
    <w:p w:rsidR="006673FE" w:rsidRPr="00DE475B" w:rsidRDefault="006673FE" w:rsidP="006673FE">
      <w:pPr>
        <w:pStyle w:val="ARText"/>
        <w:tabs>
          <w:tab w:val="left" w:pos="317"/>
        </w:tabs>
        <w:spacing w:before="0" w:after="120"/>
        <w:rPr>
          <w:szCs w:val="20"/>
        </w:rPr>
      </w:pPr>
      <w:r w:rsidRPr="00DE475B">
        <w:rPr>
          <w:szCs w:val="20"/>
        </w:rPr>
        <w:t xml:space="preserve">Artist </w:t>
      </w:r>
      <w:r w:rsidRPr="00DE475B">
        <w:rPr>
          <w:rStyle w:val="grey-helvetica-regular"/>
          <w:szCs w:val="20"/>
        </w:rPr>
        <w:t>Donna Davis,</w:t>
      </w:r>
      <w:r w:rsidRPr="00DE475B">
        <w:rPr>
          <w:szCs w:val="20"/>
        </w:rPr>
        <w:t xml:space="preserve"> winner of </w:t>
      </w:r>
      <w:r w:rsidRPr="00DE475B">
        <w:rPr>
          <w:rStyle w:val="grey-helvetica-regular"/>
          <w:szCs w:val="20"/>
        </w:rPr>
        <w:t>Flying Arts 2017 Digital Art Award</w:t>
      </w:r>
      <w:r w:rsidRPr="00DE475B">
        <w:rPr>
          <w:szCs w:val="20"/>
        </w:rPr>
        <w:t xml:space="preserve"> within the Queensland Regional Art Awards, undertook a week-long residency at The Edge to explor</w:t>
      </w:r>
      <w:r w:rsidR="00FF15E9">
        <w:rPr>
          <w:szCs w:val="20"/>
        </w:rPr>
        <w:t>e new skills and techniques in T</w:t>
      </w:r>
      <w:r w:rsidRPr="00DE475B">
        <w:rPr>
          <w:szCs w:val="20"/>
        </w:rPr>
        <w:t>he Edge Fabrication Lab. As a multidisciplinary artist, Donna learnt how to use the laser cutter and the 3D printers, to turn digital creations inspired by nature into tangible objects. It allowed her to understand the capabilities and limitations of this type of equipment, and the opportunities available for creative people at The Edge.</w:t>
      </w:r>
    </w:p>
    <w:p w:rsidR="006B7DFE" w:rsidRPr="00DE475B" w:rsidRDefault="006673FE" w:rsidP="006673FE">
      <w:pPr>
        <w:spacing w:after="120"/>
        <w:rPr>
          <w:rFonts w:ascii="Arial" w:hAnsi="Arial" w:cs="Arial"/>
          <w:sz w:val="20"/>
          <w:szCs w:val="20"/>
        </w:rPr>
      </w:pPr>
      <w:r w:rsidRPr="00DE475B">
        <w:rPr>
          <w:rFonts w:ascii="Arial" w:hAnsi="Arial" w:cs="Arial"/>
          <w:sz w:val="20"/>
          <w:szCs w:val="20"/>
        </w:rPr>
        <w:t xml:space="preserve">The </w:t>
      </w:r>
      <w:proofErr w:type="spellStart"/>
      <w:r w:rsidRPr="00DE475B">
        <w:rPr>
          <w:rFonts w:ascii="Arial" w:hAnsi="Arial" w:cs="Arial"/>
          <w:sz w:val="20"/>
          <w:szCs w:val="20"/>
        </w:rPr>
        <w:t>Siganto</w:t>
      </w:r>
      <w:proofErr w:type="spellEnd"/>
      <w:r w:rsidRPr="00DE475B">
        <w:rPr>
          <w:rFonts w:ascii="Arial" w:hAnsi="Arial" w:cs="Arial"/>
          <w:sz w:val="20"/>
          <w:szCs w:val="20"/>
        </w:rPr>
        <w:t xml:space="preserve"> Foundation artists’ books series 2017 was a week-long celebration of artists' books featuring lectures, workshops and a masterclass led by international artist and publisher Dr Helen Douglas. The series of events, held in March, was presented with the generous support of the </w:t>
      </w:r>
      <w:proofErr w:type="spellStart"/>
      <w:r w:rsidRPr="00DE475B">
        <w:rPr>
          <w:rFonts w:ascii="Arial" w:hAnsi="Arial" w:cs="Arial"/>
          <w:sz w:val="20"/>
          <w:szCs w:val="20"/>
        </w:rPr>
        <w:t>Siganto</w:t>
      </w:r>
      <w:proofErr w:type="spellEnd"/>
      <w:r w:rsidRPr="00DE475B">
        <w:rPr>
          <w:rFonts w:ascii="Arial" w:hAnsi="Arial" w:cs="Arial"/>
          <w:sz w:val="20"/>
          <w:szCs w:val="20"/>
        </w:rPr>
        <w:t xml:space="preserve"> Foundation, a long-term supporter of the Australian Library of Art.</w:t>
      </w:r>
    </w:p>
    <w:p w:rsidR="009C6E86" w:rsidRPr="00857DF3" w:rsidRDefault="003E2C5C" w:rsidP="00857DF3">
      <w:pPr>
        <w:pStyle w:val="ARheading3"/>
        <w:tabs>
          <w:tab w:val="left" w:pos="851"/>
        </w:tabs>
        <w:spacing w:after="120"/>
        <w:rPr>
          <w:color w:val="808080"/>
        </w:rPr>
      </w:pPr>
      <w:r w:rsidRPr="00857DF3">
        <w:rPr>
          <w:color w:val="808080"/>
        </w:rPr>
        <w:t>Facilitate interaction with content</w:t>
      </w:r>
    </w:p>
    <w:p w:rsidR="00857DF3" w:rsidRPr="00857DF3" w:rsidRDefault="00857DF3" w:rsidP="009C6E86">
      <w:pPr>
        <w:pStyle w:val="ARText"/>
        <w:tabs>
          <w:tab w:val="left" w:pos="2008"/>
          <w:tab w:val="left" w:pos="2084"/>
        </w:tabs>
        <w:spacing w:before="0"/>
        <w:rPr>
          <w:i/>
          <w:szCs w:val="20"/>
        </w:rPr>
      </w:pPr>
      <w:r w:rsidRPr="00857DF3">
        <w:rPr>
          <w:rFonts w:eastAsia="Times New Roman"/>
          <w:b/>
          <w:bCs w:val="0"/>
          <w:i/>
          <w:color w:val="000000"/>
          <w:szCs w:val="20"/>
        </w:rPr>
        <w:t>Q ANZAC 100</w:t>
      </w:r>
    </w:p>
    <w:p w:rsidR="006673FE" w:rsidRPr="000523A2" w:rsidRDefault="006673FE" w:rsidP="006673FE">
      <w:pPr>
        <w:suppressAutoHyphens w:val="0"/>
        <w:autoSpaceDE/>
        <w:spacing w:after="120"/>
        <w:rPr>
          <w:rFonts w:ascii="Arial" w:hAnsi="Arial" w:cs="Arial"/>
          <w:sz w:val="20"/>
          <w:szCs w:val="20"/>
        </w:rPr>
      </w:pPr>
      <w:r w:rsidRPr="000523A2">
        <w:rPr>
          <w:rFonts w:ascii="Arial" w:hAnsi="Arial" w:cs="Arial"/>
          <w:sz w:val="20"/>
          <w:szCs w:val="20"/>
        </w:rPr>
        <w:t xml:space="preserve">More than 30,000 First World War Queensland soldier portraits are now available via </w:t>
      </w:r>
      <w:proofErr w:type="spellStart"/>
      <w:r w:rsidRPr="000523A2">
        <w:rPr>
          <w:rFonts w:ascii="Arial" w:hAnsi="Arial" w:cs="Arial"/>
          <w:sz w:val="20"/>
          <w:szCs w:val="20"/>
        </w:rPr>
        <w:t>SLQ’s</w:t>
      </w:r>
      <w:proofErr w:type="spellEnd"/>
      <w:r w:rsidRPr="000523A2">
        <w:rPr>
          <w:rFonts w:ascii="Arial" w:hAnsi="Arial" w:cs="Arial"/>
          <w:sz w:val="20"/>
          <w:szCs w:val="20"/>
        </w:rPr>
        <w:t xml:space="preserve"> catalogue. Queensland Indigenous servicemen have been identified within the</w:t>
      </w:r>
      <w:r w:rsidR="00B32AD3" w:rsidRPr="000523A2">
        <w:rPr>
          <w:rFonts w:ascii="Arial" w:hAnsi="Arial" w:cs="Arial"/>
          <w:sz w:val="20"/>
          <w:szCs w:val="20"/>
        </w:rPr>
        <w:t>se</w:t>
      </w:r>
      <w:r w:rsidRPr="000523A2">
        <w:rPr>
          <w:rFonts w:ascii="Arial" w:hAnsi="Arial" w:cs="Arial"/>
          <w:sz w:val="20"/>
          <w:szCs w:val="20"/>
        </w:rPr>
        <w:t xml:space="preserve"> soldier portraits, and </w:t>
      </w:r>
      <w:r w:rsidR="003825C7" w:rsidRPr="000523A2">
        <w:rPr>
          <w:rFonts w:ascii="Arial" w:hAnsi="Arial" w:cs="Arial"/>
          <w:sz w:val="20"/>
          <w:szCs w:val="20"/>
        </w:rPr>
        <w:t xml:space="preserve">compilation </w:t>
      </w:r>
      <w:r w:rsidR="003825C7" w:rsidRPr="000523A2">
        <w:rPr>
          <w:rFonts w:ascii="Arial" w:hAnsi="Arial" w:cs="Arial"/>
          <w:sz w:val="20"/>
          <w:szCs w:val="20"/>
        </w:rPr>
        <w:lastRenderedPageBreak/>
        <w:t>of</w:t>
      </w:r>
      <w:r w:rsidR="00B32AD3" w:rsidRPr="000523A2">
        <w:rPr>
          <w:rFonts w:ascii="Arial" w:hAnsi="Arial" w:cs="Arial"/>
          <w:sz w:val="20"/>
          <w:szCs w:val="20"/>
        </w:rPr>
        <w:t xml:space="preserve"> a</w:t>
      </w:r>
      <w:r w:rsidRPr="000523A2">
        <w:rPr>
          <w:rFonts w:ascii="Arial" w:hAnsi="Arial" w:cs="Arial"/>
          <w:sz w:val="20"/>
          <w:szCs w:val="20"/>
        </w:rPr>
        <w:t xml:space="preserve"> complete list of </w:t>
      </w:r>
      <w:r w:rsidR="00B32AD3" w:rsidRPr="000523A2">
        <w:rPr>
          <w:rFonts w:ascii="Arial" w:hAnsi="Arial" w:cs="Arial"/>
          <w:sz w:val="20"/>
          <w:szCs w:val="20"/>
        </w:rPr>
        <w:t>Queensland’s Indigenous soldiers 1914</w:t>
      </w:r>
      <w:r w:rsidR="003825C7" w:rsidRPr="000523A2">
        <w:rPr>
          <w:rFonts w:ascii="Arial" w:hAnsi="Arial" w:cs="Arial"/>
          <w:sz w:val="20"/>
          <w:szCs w:val="20"/>
        </w:rPr>
        <w:t>–</w:t>
      </w:r>
      <w:r w:rsidR="00B32AD3" w:rsidRPr="000523A2">
        <w:rPr>
          <w:rFonts w:ascii="Arial" w:hAnsi="Arial" w:cs="Arial"/>
          <w:sz w:val="20"/>
          <w:szCs w:val="20"/>
        </w:rPr>
        <w:t>18</w:t>
      </w:r>
      <w:r w:rsidR="003825C7" w:rsidRPr="000523A2">
        <w:rPr>
          <w:rFonts w:ascii="Arial" w:hAnsi="Arial" w:cs="Arial"/>
          <w:sz w:val="20"/>
          <w:szCs w:val="20"/>
        </w:rPr>
        <w:t xml:space="preserve"> is now in progress</w:t>
      </w:r>
      <w:r w:rsidR="00B32AD3" w:rsidRPr="000523A2">
        <w:rPr>
          <w:rFonts w:ascii="Arial" w:hAnsi="Arial" w:cs="Arial"/>
          <w:sz w:val="20"/>
          <w:szCs w:val="20"/>
        </w:rPr>
        <w:t xml:space="preserve">. </w:t>
      </w:r>
      <w:r w:rsidR="00756C28" w:rsidRPr="000523A2">
        <w:rPr>
          <w:rFonts w:ascii="Arial" w:hAnsi="Arial" w:cs="Arial"/>
          <w:sz w:val="20"/>
          <w:szCs w:val="20"/>
        </w:rPr>
        <w:t xml:space="preserve">Digital stories exploring Queensland’s participation in and commemoration of </w:t>
      </w:r>
      <w:r w:rsidR="00B85A78">
        <w:rPr>
          <w:rFonts w:ascii="Arial" w:hAnsi="Arial" w:cs="Arial"/>
          <w:sz w:val="20"/>
          <w:szCs w:val="20"/>
        </w:rPr>
        <w:t xml:space="preserve">the </w:t>
      </w:r>
      <w:r w:rsidR="000523A2" w:rsidRPr="000523A2">
        <w:rPr>
          <w:rFonts w:ascii="Arial" w:hAnsi="Arial" w:cs="Arial"/>
          <w:sz w:val="20"/>
          <w:szCs w:val="20"/>
        </w:rPr>
        <w:t>First World War</w:t>
      </w:r>
      <w:r w:rsidR="00756C28" w:rsidRPr="000523A2">
        <w:rPr>
          <w:rFonts w:ascii="Arial" w:hAnsi="Arial" w:cs="Arial"/>
          <w:sz w:val="20"/>
          <w:szCs w:val="20"/>
        </w:rPr>
        <w:t xml:space="preserve"> are being made available through the </w:t>
      </w:r>
      <w:r w:rsidR="00756C28" w:rsidRPr="006E031A">
        <w:rPr>
          <w:rFonts w:ascii="Arial" w:hAnsi="Arial" w:cs="Arial"/>
          <w:i/>
          <w:sz w:val="20"/>
          <w:szCs w:val="20"/>
        </w:rPr>
        <w:t>Q ANZAC 100</w:t>
      </w:r>
      <w:r w:rsidR="00756C28" w:rsidRPr="000523A2">
        <w:rPr>
          <w:rFonts w:ascii="Arial" w:hAnsi="Arial" w:cs="Arial"/>
          <w:sz w:val="20"/>
          <w:szCs w:val="20"/>
        </w:rPr>
        <w:t xml:space="preserve"> website.</w:t>
      </w:r>
    </w:p>
    <w:p w:rsidR="006673FE" w:rsidRPr="00DE475B" w:rsidRDefault="006673FE" w:rsidP="006673FE">
      <w:pPr>
        <w:spacing w:after="120"/>
        <w:rPr>
          <w:rFonts w:ascii="Arial" w:hAnsi="Arial" w:cs="Arial"/>
          <w:sz w:val="20"/>
          <w:szCs w:val="20"/>
        </w:rPr>
      </w:pPr>
      <w:proofErr w:type="spellStart"/>
      <w:r w:rsidRPr="00DE475B">
        <w:rPr>
          <w:rFonts w:ascii="Arial" w:hAnsi="Arial" w:cs="Arial"/>
          <w:sz w:val="20"/>
          <w:szCs w:val="20"/>
        </w:rPr>
        <w:t>SLQ’s</w:t>
      </w:r>
      <w:proofErr w:type="spellEnd"/>
      <w:r w:rsidRPr="00DE475B">
        <w:rPr>
          <w:rFonts w:ascii="Arial" w:hAnsi="Arial" w:cs="Arial"/>
          <w:sz w:val="20"/>
          <w:szCs w:val="20"/>
        </w:rPr>
        <w:t xml:space="preserve"> digital volunteering program, Pitch in! </w:t>
      </w:r>
      <w:proofErr w:type="gramStart"/>
      <w:r w:rsidRPr="00DE475B">
        <w:rPr>
          <w:rFonts w:ascii="Arial" w:hAnsi="Arial" w:cs="Arial"/>
          <w:sz w:val="20"/>
          <w:szCs w:val="20"/>
        </w:rPr>
        <w:t>has</w:t>
      </w:r>
      <w:proofErr w:type="gramEnd"/>
      <w:r w:rsidRPr="00DE475B">
        <w:rPr>
          <w:rFonts w:ascii="Arial" w:hAnsi="Arial" w:cs="Arial"/>
          <w:sz w:val="20"/>
          <w:szCs w:val="20"/>
        </w:rPr>
        <w:t xml:space="preserve"> been expanded through </w:t>
      </w:r>
      <w:r w:rsidRPr="006E031A">
        <w:rPr>
          <w:rFonts w:ascii="Arial" w:hAnsi="Arial" w:cs="Arial"/>
          <w:i/>
          <w:sz w:val="20"/>
          <w:szCs w:val="20"/>
        </w:rPr>
        <w:t>Q ANZAC 100</w:t>
      </w:r>
      <w:r w:rsidRPr="00DE475B">
        <w:rPr>
          <w:rFonts w:ascii="Arial" w:hAnsi="Arial" w:cs="Arial"/>
          <w:sz w:val="20"/>
          <w:szCs w:val="20"/>
        </w:rPr>
        <w:t xml:space="preserve"> funding to include crowdsourced online transcription of First World War diaries, letters</w:t>
      </w:r>
      <w:r w:rsidR="00B85A78">
        <w:rPr>
          <w:rFonts w:ascii="Arial" w:hAnsi="Arial" w:cs="Arial"/>
          <w:sz w:val="20"/>
          <w:szCs w:val="20"/>
        </w:rPr>
        <w:t>,</w:t>
      </w:r>
      <w:r w:rsidRPr="00DE475B">
        <w:rPr>
          <w:rFonts w:ascii="Arial" w:hAnsi="Arial" w:cs="Arial"/>
          <w:sz w:val="20"/>
          <w:szCs w:val="20"/>
        </w:rPr>
        <w:t xml:space="preserve"> postcards and other material. SLQ is the first public library and arts institution to make its First World War content available on the online transcription crowdsourcing platform </w:t>
      </w:r>
      <w:proofErr w:type="spellStart"/>
      <w:r w:rsidRPr="00DE475B">
        <w:rPr>
          <w:rFonts w:ascii="Arial" w:hAnsi="Arial" w:cs="Arial"/>
          <w:sz w:val="20"/>
          <w:szCs w:val="20"/>
        </w:rPr>
        <w:t>DigiVol</w:t>
      </w:r>
      <w:proofErr w:type="spellEnd"/>
      <w:r w:rsidR="003E50AB">
        <w:rPr>
          <w:rFonts w:ascii="Arial" w:hAnsi="Arial" w:cs="Arial"/>
          <w:sz w:val="20"/>
          <w:szCs w:val="20"/>
        </w:rPr>
        <w:t>, joining Harvard University, t</w:t>
      </w:r>
      <w:r w:rsidRPr="00DE475B">
        <w:rPr>
          <w:rFonts w:ascii="Arial" w:hAnsi="Arial" w:cs="Arial"/>
          <w:sz w:val="20"/>
          <w:szCs w:val="20"/>
        </w:rPr>
        <w:t>he Smithsonian Institution and CSIRO.</w:t>
      </w:r>
    </w:p>
    <w:p w:rsidR="006673FE" w:rsidRPr="00DE475B" w:rsidRDefault="006673FE" w:rsidP="006673FE">
      <w:pPr>
        <w:pStyle w:val="ListParagraph"/>
        <w:spacing w:after="120"/>
        <w:ind w:left="0"/>
        <w:rPr>
          <w:sz w:val="20"/>
        </w:rPr>
      </w:pPr>
      <w:r w:rsidRPr="00DE475B">
        <w:rPr>
          <w:sz w:val="20"/>
        </w:rPr>
        <w:t>As part of the Spirit of Anzac Centenary Experience (</w:t>
      </w:r>
      <w:proofErr w:type="spellStart"/>
      <w:r w:rsidRPr="00DE475B">
        <w:rPr>
          <w:sz w:val="20"/>
        </w:rPr>
        <w:t>SACE</w:t>
      </w:r>
      <w:proofErr w:type="spellEnd"/>
      <w:r w:rsidRPr="00DE475B">
        <w:rPr>
          <w:sz w:val="20"/>
        </w:rPr>
        <w:t xml:space="preserve">) travelling exhibition, SLQ created Community Zone exhibitions at each of the five </w:t>
      </w:r>
      <w:proofErr w:type="spellStart"/>
      <w:r w:rsidRPr="00DE475B">
        <w:rPr>
          <w:sz w:val="20"/>
        </w:rPr>
        <w:t>SACE</w:t>
      </w:r>
      <w:proofErr w:type="spellEnd"/>
      <w:r w:rsidRPr="00DE475B">
        <w:rPr>
          <w:sz w:val="20"/>
        </w:rPr>
        <w:t xml:space="preserve"> locations. The final exhibition was held in Townsville in September 2016. Local exhibition material was so</w:t>
      </w:r>
      <w:r w:rsidR="00104C4A">
        <w:rPr>
          <w:sz w:val="20"/>
        </w:rPr>
        <w:t>urced from historical societies</w:t>
      </w:r>
      <w:r w:rsidRPr="00DE475B">
        <w:rPr>
          <w:sz w:val="20"/>
        </w:rPr>
        <w:t xml:space="preserve"> </w:t>
      </w:r>
      <w:r w:rsidR="00104C4A">
        <w:rPr>
          <w:sz w:val="20"/>
        </w:rPr>
        <w:t xml:space="preserve">and </w:t>
      </w:r>
      <w:r w:rsidRPr="00DE475B">
        <w:rPr>
          <w:sz w:val="20"/>
        </w:rPr>
        <w:t xml:space="preserve">regional and military museums in the area. SLQ staff also delivered a series of </w:t>
      </w:r>
      <w:r w:rsidR="0082091B">
        <w:rPr>
          <w:sz w:val="20"/>
        </w:rPr>
        <w:t xml:space="preserve">First World War </w:t>
      </w:r>
      <w:r w:rsidRPr="00DE475B">
        <w:rPr>
          <w:sz w:val="20"/>
        </w:rPr>
        <w:t xml:space="preserve">White Glove Experiences, social media workshops and Conservation Clinics as part of the </w:t>
      </w:r>
      <w:proofErr w:type="spellStart"/>
      <w:r w:rsidRPr="00DE475B">
        <w:rPr>
          <w:sz w:val="20"/>
        </w:rPr>
        <w:t>SACE</w:t>
      </w:r>
      <w:proofErr w:type="spellEnd"/>
      <w:r w:rsidRPr="00DE475B">
        <w:rPr>
          <w:sz w:val="20"/>
        </w:rPr>
        <w:t xml:space="preserve"> program of events. Travel bursaries helped almost 400 people from regional communities attend </w:t>
      </w:r>
      <w:proofErr w:type="spellStart"/>
      <w:r w:rsidRPr="00DE475B">
        <w:rPr>
          <w:sz w:val="20"/>
        </w:rPr>
        <w:t>SACE</w:t>
      </w:r>
      <w:proofErr w:type="spellEnd"/>
      <w:r w:rsidRPr="00DE475B">
        <w:rPr>
          <w:sz w:val="20"/>
        </w:rPr>
        <w:t xml:space="preserve"> exhibitions across four regional centres.</w:t>
      </w:r>
    </w:p>
    <w:p w:rsidR="006673FE" w:rsidRDefault="006673FE" w:rsidP="006673FE">
      <w:pPr>
        <w:spacing w:after="120"/>
        <w:rPr>
          <w:rFonts w:ascii="Arial" w:hAnsi="Arial" w:cs="Arial"/>
          <w:sz w:val="20"/>
          <w:szCs w:val="20"/>
          <w:lang w:eastAsia="en-US"/>
        </w:rPr>
      </w:pPr>
      <w:r w:rsidRPr="00DE475B">
        <w:rPr>
          <w:rFonts w:ascii="Arial" w:hAnsi="Arial" w:cs="Arial"/>
          <w:sz w:val="20"/>
          <w:szCs w:val="20"/>
          <w:lang w:eastAsia="en-US"/>
        </w:rPr>
        <w:t xml:space="preserve">In November 2016, </w:t>
      </w:r>
      <w:proofErr w:type="spellStart"/>
      <w:r w:rsidRPr="00DE475B">
        <w:rPr>
          <w:rFonts w:ascii="Arial" w:hAnsi="Arial" w:cs="Arial"/>
          <w:sz w:val="20"/>
          <w:szCs w:val="20"/>
          <w:lang w:eastAsia="en-US"/>
        </w:rPr>
        <w:t>SLQ’s</w:t>
      </w:r>
      <w:proofErr w:type="spellEnd"/>
      <w:r w:rsidRPr="00DE475B">
        <w:rPr>
          <w:rFonts w:ascii="Arial" w:hAnsi="Arial" w:cs="Arial"/>
          <w:sz w:val="20"/>
          <w:szCs w:val="20"/>
          <w:lang w:eastAsia="en-US"/>
        </w:rPr>
        <w:t xml:space="preserve"> </w:t>
      </w:r>
      <w:r w:rsidRPr="00DE475B">
        <w:rPr>
          <w:rFonts w:ascii="Arial" w:hAnsi="Arial" w:cs="Arial"/>
          <w:i/>
          <w:sz w:val="20"/>
          <w:szCs w:val="20"/>
          <w:lang w:eastAsia="en-US"/>
        </w:rPr>
        <w:t>Peace and Quiet</w:t>
      </w:r>
      <w:r w:rsidRPr="00DE475B">
        <w:rPr>
          <w:rFonts w:ascii="Arial" w:hAnsi="Arial" w:cs="Arial"/>
          <w:sz w:val="20"/>
          <w:szCs w:val="20"/>
          <w:lang w:eastAsia="en-US"/>
        </w:rPr>
        <w:t xml:space="preserve"> exhibition won a </w:t>
      </w:r>
      <w:r w:rsidRPr="00DE475B">
        <w:rPr>
          <w:rFonts w:ascii="Arial" w:hAnsi="Arial" w:cs="Arial"/>
          <w:i/>
          <w:sz w:val="20"/>
          <w:szCs w:val="20"/>
          <w:lang w:eastAsia="en-US"/>
        </w:rPr>
        <w:t>2016 Gallery and Museum Achievement Award</w:t>
      </w:r>
      <w:r w:rsidRPr="00DE475B">
        <w:rPr>
          <w:rFonts w:ascii="Arial" w:hAnsi="Arial" w:cs="Arial"/>
          <w:sz w:val="20"/>
          <w:szCs w:val="20"/>
          <w:lang w:eastAsia="en-US"/>
        </w:rPr>
        <w:t xml:space="preserve"> in the Engagement category. </w:t>
      </w:r>
      <w:r w:rsidRPr="00DE475B">
        <w:rPr>
          <w:rFonts w:ascii="Arial" w:hAnsi="Arial" w:cs="Arial"/>
          <w:i/>
          <w:sz w:val="20"/>
          <w:szCs w:val="20"/>
          <w:lang w:eastAsia="en-US"/>
        </w:rPr>
        <w:t>Peace and Quiet</w:t>
      </w:r>
      <w:r w:rsidRPr="00DE475B">
        <w:rPr>
          <w:rFonts w:ascii="Arial" w:hAnsi="Arial" w:cs="Arial"/>
          <w:sz w:val="20"/>
          <w:szCs w:val="20"/>
          <w:lang w:eastAsia="en-US"/>
        </w:rPr>
        <w:t xml:space="preserve"> was a community</w:t>
      </w:r>
      <w:r w:rsidR="00104C4A">
        <w:rPr>
          <w:rFonts w:ascii="Arial" w:hAnsi="Arial" w:cs="Arial"/>
          <w:sz w:val="20"/>
          <w:szCs w:val="20"/>
          <w:lang w:eastAsia="en-US"/>
        </w:rPr>
        <w:t>-</w:t>
      </w:r>
      <w:r w:rsidRPr="00DE475B">
        <w:rPr>
          <w:rFonts w:ascii="Arial" w:hAnsi="Arial" w:cs="Arial"/>
          <w:sz w:val="20"/>
          <w:szCs w:val="20"/>
          <w:lang w:eastAsia="en-US"/>
        </w:rPr>
        <w:t xml:space="preserve">generated exhibition that explored personal, social and political ideas of peace. It was held from November 2015 to February 2016 as part of </w:t>
      </w:r>
      <w:r w:rsidRPr="00DE475B">
        <w:rPr>
          <w:rFonts w:ascii="Arial" w:hAnsi="Arial" w:cs="Arial"/>
          <w:i/>
          <w:sz w:val="20"/>
          <w:szCs w:val="20"/>
          <w:lang w:eastAsia="en-US"/>
        </w:rPr>
        <w:t>Q ANZAC 100: Memories for a New Generation</w:t>
      </w:r>
      <w:r w:rsidRPr="00DE475B">
        <w:rPr>
          <w:rFonts w:ascii="Arial" w:hAnsi="Arial" w:cs="Arial"/>
          <w:sz w:val="20"/>
          <w:szCs w:val="20"/>
          <w:lang w:eastAsia="en-US"/>
        </w:rPr>
        <w:t>.</w:t>
      </w:r>
    </w:p>
    <w:p w:rsidR="00857DF3" w:rsidRPr="00857DF3" w:rsidRDefault="00104C4A" w:rsidP="00857DF3">
      <w:pPr>
        <w:pStyle w:val="ARText"/>
        <w:tabs>
          <w:tab w:val="left" w:pos="2008"/>
          <w:tab w:val="left" w:pos="2084"/>
        </w:tabs>
        <w:spacing w:before="0"/>
        <w:rPr>
          <w:rFonts w:eastAsia="Times New Roman"/>
          <w:b/>
          <w:bCs w:val="0"/>
          <w:color w:val="000000"/>
          <w:szCs w:val="20"/>
        </w:rPr>
      </w:pPr>
      <w:r>
        <w:rPr>
          <w:rFonts w:eastAsia="Times New Roman"/>
          <w:b/>
          <w:bCs w:val="0"/>
          <w:color w:val="000000"/>
          <w:szCs w:val="20"/>
        </w:rPr>
        <w:t>Signature P</w:t>
      </w:r>
      <w:r w:rsidR="00857DF3" w:rsidRPr="00857DF3">
        <w:rPr>
          <w:rFonts w:eastAsia="Times New Roman"/>
          <w:b/>
          <w:bCs w:val="0"/>
          <w:color w:val="000000"/>
          <w:szCs w:val="20"/>
        </w:rPr>
        <w:t>rogram</w:t>
      </w:r>
    </w:p>
    <w:p w:rsidR="006673FE" w:rsidRPr="00104C4A" w:rsidRDefault="006673FE" w:rsidP="006673FE">
      <w:pPr>
        <w:suppressAutoHyphens w:val="0"/>
        <w:autoSpaceDE/>
        <w:spacing w:after="120"/>
        <w:rPr>
          <w:rFonts w:ascii="Arial" w:hAnsi="Arial" w:cs="Arial"/>
          <w:iCs/>
          <w:spacing w:val="2"/>
          <w:sz w:val="20"/>
          <w:szCs w:val="20"/>
        </w:rPr>
      </w:pPr>
      <w:r w:rsidRPr="00104C4A">
        <w:rPr>
          <w:rFonts w:ascii="Arial" w:hAnsi="Arial" w:cs="Arial"/>
          <w:iCs/>
          <w:spacing w:val="2"/>
          <w:sz w:val="20"/>
          <w:szCs w:val="20"/>
        </w:rPr>
        <w:t xml:space="preserve">In 2016 the annual signature program </w:t>
      </w:r>
      <w:r w:rsidRPr="00104C4A">
        <w:rPr>
          <w:rFonts w:ascii="Arial" w:hAnsi="Arial" w:cs="Arial"/>
          <w:i/>
          <w:iCs/>
          <w:spacing w:val="2"/>
          <w:sz w:val="20"/>
          <w:szCs w:val="20"/>
        </w:rPr>
        <w:t>Belonging</w:t>
      </w:r>
      <w:r w:rsidRPr="00104C4A">
        <w:rPr>
          <w:rFonts w:ascii="Arial" w:hAnsi="Arial" w:cs="Arial"/>
          <w:iCs/>
          <w:spacing w:val="2"/>
          <w:sz w:val="20"/>
          <w:szCs w:val="20"/>
        </w:rPr>
        <w:t xml:space="preserve"> focused on exploring Queensland’s identity. </w:t>
      </w:r>
      <w:r w:rsidR="00A80920" w:rsidRPr="00104C4A">
        <w:rPr>
          <w:rFonts w:ascii="Arial" w:hAnsi="Arial" w:cs="Arial"/>
          <w:iCs/>
          <w:spacing w:val="2"/>
          <w:sz w:val="20"/>
          <w:szCs w:val="20"/>
        </w:rPr>
        <w:t>T</w:t>
      </w:r>
      <w:r w:rsidRPr="00104C4A">
        <w:rPr>
          <w:rFonts w:ascii="Arial" w:hAnsi="Arial" w:cs="Arial"/>
          <w:iCs/>
          <w:spacing w:val="2"/>
          <w:sz w:val="20"/>
          <w:szCs w:val="20"/>
        </w:rPr>
        <w:t>he theme explored the connections we have to our families, communities a</w:t>
      </w:r>
      <w:r w:rsidR="00A80920" w:rsidRPr="00104C4A">
        <w:rPr>
          <w:rFonts w:ascii="Arial" w:hAnsi="Arial" w:cs="Arial"/>
          <w:iCs/>
          <w:spacing w:val="2"/>
          <w:sz w:val="20"/>
          <w:szCs w:val="20"/>
        </w:rPr>
        <w:t>nd special places in Queensland, and invited the</w:t>
      </w:r>
      <w:r w:rsidRPr="00104C4A">
        <w:rPr>
          <w:rFonts w:ascii="Arial" w:hAnsi="Arial" w:cs="Arial"/>
          <w:iCs/>
          <w:spacing w:val="2"/>
          <w:sz w:val="20"/>
          <w:szCs w:val="20"/>
        </w:rPr>
        <w:t xml:space="preserve"> community to delve into SLQ collections through the exhibitions </w:t>
      </w:r>
      <w:r w:rsidRPr="00104C4A">
        <w:rPr>
          <w:rFonts w:ascii="Arial" w:hAnsi="Arial" w:cs="Arial"/>
          <w:i/>
          <w:iCs/>
          <w:spacing w:val="2"/>
          <w:sz w:val="20"/>
          <w:szCs w:val="20"/>
        </w:rPr>
        <w:t>Tradition Now</w:t>
      </w:r>
      <w:r w:rsidRPr="00104C4A">
        <w:rPr>
          <w:rFonts w:ascii="Arial" w:hAnsi="Arial" w:cs="Arial"/>
          <w:iCs/>
          <w:spacing w:val="2"/>
          <w:sz w:val="20"/>
          <w:szCs w:val="20"/>
        </w:rPr>
        <w:t xml:space="preserve"> and </w:t>
      </w:r>
      <w:r w:rsidRPr="00104C4A">
        <w:rPr>
          <w:rFonts w:ascii="Arial" w:hAnsi="Arial" w:cs="Arial"/>
          <w:i/>
          <w:iCs/>
          <w:spacing w:val="2"/>
          <w:sz w:val="20"/>
          <w:szCs w:val="20"/>
        </w:rPr>
        <w:t xml:space="preserve">Art of </w:t>
      </w:r>
      <w:r w:rsidR="00104C4A" w:rsidRPr="00104C4A">
        <w:rPr>
          <w:rFonts w:ascii="Arial" w:hAnsi="Arial" w:cs="Arial"/>
          <w:i/>
          <w:iCs/>
          <w:spacing w:val="2"/>
          <w:sz w:val="20"/>
          <w:szCs w:val="20"/>
        </w:rPr>
        <w:t xml:space="preserve">the </w:t>
      </w:r>
      <w:r w:rsidRPr="00104C4A">
        <w:rPr>
          <w:rFonts w:ascii="Arial" w:hAnsi="Arial" w:cs="Arial"/>
          <w:i/>
          <w:iCs/>
          <w:spacing w:val="2"/>
          <w:sz w:val="20"/>
          <w:szCs w:val="20"/>
        </w:rPr>
        <w:t>Skins</w:t>
      </w:r>
      <w:r w:rsidRPr="00104C4A">
        <w:rPr>
          <w:rFonts w:ascii="Arial" w:hAnsi="Arial" w:cs="Arial"/>
          <w:iCs/>
          <w:spacing w:val="2"/>
          <w:sz w:val="20"/>
          <w:szCs w:val="20"/>
        </w:rPr>
        <w:t xml:space="preserve">. </w:t>
      </w:r>
      <w:r w:rsidR="00DF63C8" w:rsidRPr="00104C4A">
        <w:rPr>
          <w:rFonts w:ascii="Arial" w:hAnsi="Arial" w:cs="Arial"/>
          <w:i/>
          <w:spacing w:val="2"/>
          <w:sz w:val="20"/>
          <w:szCs w:val="20"/>
          <w:lang w:eastAsia="en-US"/>
        </w:rPr>
        <w:t>Art of the Skins</w:t>
      </w:r>
      <w:r w:rsidR="00DF63C8" w:rsidRPr="00104C4A">
        <w:rPr>
          <w:rFonts w:ascii="Arial" w:hAnsi="Arial" w:cs="Arial"/>
          <w:spacing w:val="2"/>
          <w:sz w:val="20"/>
          <w:szCs w:val="20"/>
          <w:lang w:eastAsia="en-US"/>
        </w:rPr>
        <w:t xml:space="preserve"> saw </w:t>
      </w:r>
      <w:r w:rsidRPr="00104C4A">
        <w:rPr>
          <w:rFonts w:ascii="Arial" w:hAnsi="Arial" w:cs="Arial"/>
          <w:spacing w:val="2"/>
          <w:sz w:val="20"/>
          <w:szCs w:val="20"/>
          <w:lang w:eastAsia="en-US"/>
        </w:rPr>
        <w:t>kuril dhagun partner with Indigenous artists Carol McGreg</w:t>
      </w:r>
      <w:r w:rsidR="00DF63C8" w:rsidRPr="00104C4A">
        <w:rPr>
          <w:rFonts w:ascii="Arial" w:hAnsi="Arial" w:cs="Arial"/>
          <w:spacing w:val="2"/>
          <w:sz w:val="20"/>
          <w:szCs w:val="20"/>
          <w:lang w:eastAsia="en-US"/>
        </w:rPr>
        <w:t xml:space="preserve">or and </w:t>
      </w:r>
      <w:proofErr w:type="spellStart"/>
      <w:r w:rsidR="00DF63C8" w:rsidRPr="00104C4A">
        <w:rPr>
          <w:rFonts w:ascii="Arial" w:hAnsi="Arial" w:cs="Arial"/>
          <w:spacing w:val="2"/>
          <w:sz w:val="20"/>
          <w:szCs w:val="20"/>
          <w:lang w:eastAsia="en-US"/>
        </w:rPr>
        <w:t>Glennys</w:t>
      </w:r>
      <w:proofErr w:type="spellEnd"/>
      <w:r w:rsidR="00DF63C8" w:rsidRPr="00104C4A">
        <w:rPr>
          <w:rFonts w:ascii="Arial" w:hAnsi="Arial" w:cs="Arial"/>
          <w:spacing w:val="2"/>
          <w:sz w:val="20"/>
          <w:szCs w:val="20"/>
          <w:lang w:eastAsia="en-US"/>
        </w:rPr>
        <w:t xml:space="preserve"> Briggs to lead 120 participants in creating possum skin cloaks. These creations were on display in </w:t>
      </w:r>
      <w:r w:rsidR="00104C4A" w:rsidRPr="00104C4A">
        <w:rPr>
          <w:rFonts w:ascii="Arial" w:hAnsi="Arial" w:cs="Arial"/>
          <w:spacing w:val="2"/>
          <w:sz w:val="20"/>
          <w:szCs w:val="20"/>
          <w:lang w:eastAsia="en-US"/>
        </w:rPr>
        <w:t xml:space="preserve">the </w:t>
      </w:r>
      <w:r w:rsidR="00DF63C8" w:rsidRPr="00104C4A">
        <w:rPr>
          <w:rFonts w:ascii="Arial" w:hAnsi="Arial" w:cs="Arial"/>
          <w:spacing w:val="2"/>
          <w:sz w:val="20"/>
          <w:szCs w:val="20"/>
          <w:lang w:eastAsia="en-US"/>
        </w:rPr>
        <w:t xml:space="preserve">SLQ Gallery </w:t>
      </w:r>
      <w:r w:rsidRPr="00104C4A">
        <w:rPr>
          <w:rFonts w:ascii="Arial" w:hAnsi="Arial" w:cs="Arial"/>
          <w:spacing w:val="2"/>
          <w:sz w:val="20"/>
          <w:szCs w:val="20"/>
          <w:lang w:eastAsia="en-US"/>
        </w:rPr>
        <w:t>from June to November 2016. A retrospective exhibition catalogue is available online.</w:t>
      </w:r>
    </w:p>
    <w:p w:rsidR="006673FE" w:rsidRPr="00DE475B" w:rsidRDefault="006673FE" w:rsidP="006673FE">
      <w:pPr>
        <w:spacing w:after="120"/>
        <w:rPr>
          <w:rFonts w:ascii="Arial" w:hAnsi="Arial" w:cs="Arial"/>
          <w:sz w:val="20"/>
          <w:szCs w:val="20"/>
          <w:lang w:eastAsia="en-US"/>
        </w:rPr>
      </w:pPr>
      <w:r w:rsidRPr="00DE475B">
        <w:rPr>
          <w:rFonts w:ascii="Arial" w:hAnsi="Arial" w:cs="Arial"/>
          <w:iCs/>
          <w:sz w:val="20"/>
          <w:szCs w:val="20"/>
        </w:rPr>
        <w:lastRenderedPageBreak/>
        <w:t xml:space="preserve">The community was also invited to take part in conversations online and at events such as </w:t>
      </w:r>
      <w:r w:rsidRPr="00DE475B">
        <w:rPr>
          <w:rFonts w:ascii="Arial" w:hAnsi="Arial" w:cs="Arial"/>
          <w:i/>
          <w:sz w:val="20"/>
          <w:szCs w:val="20"/>
          <w:lang w:eastAsia="en-US"/>
        </w:rPr>
        <w:t>Queenslanders in Conversation — 25th Anniversary of the Anti-Discrimination Act</w:t>
      </w:r>
      <w:r w:rsidRPr="00DE475B">
        <w:rPr>
          <w:rFonts w:ascii="Arial" w:hAnsi="Arial" w:cs="Arial"/>
          <w:b/>
          <w:sz w:val="20"/>
          <w:szCs w:val="20"/>
          <w:lang w:eastAsia="en-US"/>
        </w:rPr>
        <w:t xml:space="preserve"> </w:t>
      </w:r>
      <w:r w:rsidRPr="00DE475B">
        <w:rPr>
          <w:rFonts w:ascii="Arial" w:hAnsi="Arial" w:cs="Arial"/>
          <w:sz w:val="20"/>
          <w:szCs w:val="20"/>
          <w:lang w:eastAsia="en-US"/>
        </w:rPr>
        <w:t>in November 2016. Through a partnership with ABC</w:t>
      </w:r>
      <w:r w:rsidR="006E62B5">
        <w:rPr>
          <w:rFonts w:ascii="Arial" w:hAnsi="Arial" w:cs="Arial"/>
          <w:sz w:val="20"/>
          <w:szCs w:val="20"/>
          <w:lang w:eastAsia="en-US"/>
        </w:rPr>
        <w:t xml:space="preserve"> Radio Brisbane</w:t>
      </w:r>
      <w:r w:rsidRPr="00DE475B">
        <w:rPr>
          <w:rFonts w:ascii="Arial" w:hAnsi="Arial" w:cs="Arial"/>
          <w:sz w:val="20"/>
          <w:szCs w:val="20"/>
          <w:lang w:eastAsia="en-US"/>
        </w:rPr>
        <w:t>, SLQ hos</w:t>
      </w:r>
      <w:r w:rsidR="001554D5">
        <w:rPr>
          <w:rFonts w:ascii="Arial" w:hAnsi="Arial" w:cs="Arial"/>
          <w:sz w:val="20"/>
          <w:szCs w:val="20"/>
          <w:lang w:eastAsia="en-US"/>
        </w:rPr>
        <w:t>ted a conversation between high-</w:t>
      </w:r>
      <w:r w:rsidRPr="00DE475B">
        <w:rPr>
          <w:rFonts w:ascii="Arial" w:hAnsi="Arial" w:cs="Arial"/>
          <w:sz w:val="20"/>
          <w:szCs w:val="20"/>
          <w:lang w:eastAsia="en-US"/>
        </w:rPr>
        <w:t xml:space="preserve">profile panellists including Anti-Discrimination Commissioner Kevin Cocks on the topic </w:t>
      </w:r>
      <w:r w:rsidR="00A00DC3">
        <w:rPr>
          <w:rFonts w:ascii="Arial" w:hAnsi="Arial" w:cs="Arial"/>
          <w:sz w:val="20"/>
          <w:szCs w:val="20"/>
          <w:lang w:eastAsia="en-US"/>
        </w:rPr>
        <w:t xml:space="preserve">“Has Queensland become too PC?” </w:t>
      </w:r>
      <w:r w:rsidRPr="00DE475B">
        <w:rPr>
          <w:rFonts w:ascii="Arial" w:hAnsi="Arial" w:cs="Arial"/>
          <w:sz w:val="20"/>
          <w:szCs w:val="20"/>
          <w:lang w:eastAsia="en-US"/>
        </w:rPr>
        <w:t xml:space="preserve">The 2016 Brisbane Writers Festival also included 19 events with a ‘belonging’ theme as part of its ongoing partnership with SLQ. </w:t>
      </w:r>
    </w:p>
    <w:p w:rsidR="006673FE" w:rsidRPr="00DE475B" w:rsidRDefault="00A80920" w:rsidP="006673FE">
      <w:pPr>
        <w:spacing w:after="120"/>
        <w:rPr>
          <w:rFonts w:ascii="Arial" w:hAnsi="Arial" w:cs="Arial"/>
          <w:sz w:val="20"/>
          <w:szCs w:val="20"/>
        </w:rPr>
      </w:pPr>
      <w:r>
        <w:rPr>
          <w:rFonts w:ascii="Arial" w:hAnsi="Arial" w:cs="Arial"/>
          <w:sz w:val="20"/>
          <w:szCs w:val="20"/>
        </w:rPr>
        <w:t xml:space="preserve">The 2017 </w:t>
      </w:r>
      <w:r w:rsidR="002B503A">
        <w:rPr>
          <w:rFonts w:ascii="Arial" w:hAnsi="Arial" w:cs="Arial"/>
          <w:sz w:val="20"/>
          <w:szCs w:val="20"/>
        </w:rPr>
        <w:t xml:space="preserve">signature program </w:t>
      </w:r>
      <w:r w:rsidR="006673FE" w:rsidRPr="00DE475B">
        <w:rPr>
          <w:rFonts w:ascii="Arial" w:hAnsi="Arial" w:cs="Arial"/>
          <w:sz w:val="20"/>
          <w:szCs w:val="20"/>
        </w:rPr>
        <w:t xml:space="preserve">theme is Digital Futures, </w:t>
      </w:r>
      <w:r w:rsidR="006673FE" w:rsidRPr="00006BA5">
        <w:rPr>
          <w:rFonts w:ascii="Arial" w:hAnsi="Arial" w:cs="Arial"/>
          <w:sz w:val="20"/>
          <w:szCs w:val="20"/>
        </w:rPr>
        <w:t>e</w:t>
      </w:r>
      <w:r w:rsidR="00765556">
        <w:rPr>
          <w:rFonts w:ascii="Arial" w:hAnsi="Arial" w:cs="Arial"/>
          <w:sz w:val="20"/>
          <w:szCs w:val="20"/>
        </w:rPr>
        <w:t>xploring aspects of our digital world, considering the future and examining</w:t>
      </w:r>
      <w:r w:rsidR="006673FE" w:rsidRPr="00DE475B">
        <w:rPr>
          <w:rFonts w:ascii="Arial" w:hAnsi="Arial" w:cs="Arial"/>
          <w:sz w:val="20"/>
          <w:szCs w:val="20"/>
        </w:rPr>
        <w:t xml:space="preserve"> what it means to be a digital citizen. The program incorporates exhibitions, talks and activities around Futurism, Digital Participation and Our Digital Place. The Digital Futu</w:t>
      </w:r>
      <w:r w:rsidR="00513CE9">
        <w:rPr>
          <w:rFonts w:ascii="Arial" w:hAnsi="Arial" w:cs="Arial"/>
          <w:sz w:val="20"/>
          <w:szCs w:val="20"/>
        </w:rPr>
        <w:t>res Lab</w:t>
      </w:r>
      <w:r w:rsidR="00765556">
        <w:rPr>
          <w:rFonts w:ascii="Arial" w:hAnsi="Arial" w:cs="Arial"/>
          <w:sz w:val="20"/>
          <w:szCs w:val="20"/>
        </w:rPr>
        <w:t>,</w:t>
      </w:r>
      <w:r w:rsidR="00513CE9">
        <w:rPr>
          <w:rFonts w:ascii="Arial" w:hAnsi="Arial" w:cs="Arial"/>
          <w:sz w:val="20"/>
          <w:szCs w:val="20"/>
        </w:rPr>
        <w:t xml:space="preserve"> opened in February 2017, </w:t>
      </w:r>
      <w:r w:rsidR="00765556">
        <w:rPr>
          <w:rFonts w:ascii="Arial" w:hAnsi="Arial" w:cs="Arial"/>
          <w:sz w:val="20"/>
          <w:szCs w:val="20"/>
        </w:rPr>
        <w:t>invites</w:t>
      </w:r>
      <w:r w:rsidR="00513CE9">
        <w:rPr>
          <w:rFonts w:ascii="Arial" w:hAnsi="Arial" w:cs="Arial"/>
          <w:sz w:val="20"/>
          <w:szCs w:val="20"/>
        </w:rPr>
        <w:t xml:space="preserve"> </w:t>
      </w:r>
      <w:r w:rsidR="006673FE" w:rsidRPr="00DE475B">
        <w:rPr>
          <w:rFonts w:ascii="Arial" w:hAnsi="Arial" w:cs="Arial"/>
          <w:sz w:val="20"/>
          <w:szCs w:val="20"/>
        </w:rPr>
        <w:t xml:space="preserve">visitors </w:t>
      </w:r>
      <w:r w:rsidR="00513CE9">
        <w:rPr>
          <w:rFonts w:ascii="Arial" w:hAnsi="Arial" w:cs="Arial"/>
          <w:sz w:val="20"/>
          <w:szCs w:val="20"/>
        </w:rPr>
        <w:t>to</w:t>
      </w:r>
      <w:r w:rsidR="006673FE" w:rsidRPr="00DE475B">
        <w:rPr>
          <w:rFonts w:ascii="Arial" w:hAnsi="Arial" w:cs="Arial"/>
          <w:sz w:val="20"/>
          <w:szCs w:val="20"/>
        </w:rPr>
        <w:t xml:space="preserve"> experience new technologies such as Tilt Brush, HP Sprout 3D scanning</w:t>
      </w:r>
      <w:r w:rsidR="0076300B">
        <w:rPr>
          <w:rFonts w:ascii="Arial" w:hAnsi="Arial" w:cs="Arial"/>
          <w:sz w:val="20"/>
          <w:szCs w:val="20"/>
        </w:rPr>
        <w:t xml:space="preserve"> and 3D printing. Visitors </w:t>
      </w:r>
      <w:r w:rsidR="006673FE" w:rsidRPr="00DE475B">
        <w:rPr>
          <w:rFonts w:ascii="Arial" w:hAnsi="Arial" w:cs="Arial"/>
          <w:sz w:val="20"/>
          <w:szCs w:val="20"/>
        </w:rPr>
        <w:t>engag</w:t>
      </w:r>
      <w:r w:rsidR="0076300B">
        <w:rPr>
          <w:rFonts w:ascii="Arial" w:hAnsi="Arial" w:cs="Arial"/>
          <w:sz w:val="20"/>
          <w:szCs w:val="20"/>
        </w:rPr>
        <w:t>ed</w:t>
      </w:r>
      <w:r w:rsidR="006673FE" w:rsidRPr="00DE475B">
        <w:rPr>
          <w:rFonts w:ascii="Arial" w:hAnsi="Arial" w:cs="Arial"/>
          <w:sz w:val="20"/>
          <w:szCs w:val="20"/>
        </w:rPr>
        <w:t xml:space="preserve"> online with the hashtag #</w:t>
      </w:r>
      <w:proofErr w:type="spellStart"/>
      <w:r w:rsidR="006673FE" w:rsidRPr="00DE475B">
        <w:rPr>
          <w:rFonts w:ascii="Arial" w:hAnsi="Arial" w:cs="Arial"/>
          <w:sz w:val="20"/>
          <w:szCs w:val="20"/>
        </w:rPr>
        <w:t>digitalfutures</w:t>
      </w:r>
      <w:proofErr w:type="spellEnd"/>
      <w:r w:rsidR="0076300B">
        <w:rPr>
          <w:rFonts w:ascii="Arial" w:hAnsi="Arial" w:cs="Arial"/>
          <w:sz w:val="20"/>
          <w:szCs w:val="20"/>
        </w:rPr>
        <w:t>,</w:t>
      </w:r>
      <w:r w:rsidR="006673FE" w:rsidRPr="00DE475B">
        <w:rPr>
          <w:rFonts w:ascii="Arial" w:hAnsi="Arial" w:cs="Arial"/>
          <w:sz w:val="20"/>
          <w:szCs w:val="20"/>
        </w:rPr>
        <w:t xml:space="preserve"> adding their thoughts, voices and objects to the exhibition’s </w:t>
      </w:r>
      <w:proofErr w:type="spellStart"/>
      <w:r w:rsidR="006673FE" w:rsidRPr="00DE475B">
        <w:rPr>
          <w:rFonts w:ascii="Arial" w:hAnsi="Arial" w:cs="Arial"/>
          <w:sz w:val="20"/>
          <w:szCs w:val="20"/>
        </w:rPr>
        <w:t>Wunderkammer</w:t>
      </w:r>
      <w:proofErr w:type="spellEnd"/>
      <w:r w:rsidR="006673FE" w:rsidRPr="00DE475B">
        <w:rPr>
          <w:rFonts w:ascii="Arial" w:hAnsi="Arial" w:cs="Arial"/>
          <w:sz w:val="20"/>
          <w:szCs w:val="20"/>
        </w:rPr>
        <w:t xml:space="preserve">, Timeline and Hive Mind installations. The Digital Futures Lab will evolve </w:t>
      </w:r>
      <w:r w:rsidR="00765556">
        <w:rPr>
          <w:rFonts w:ascii="Arial" w:hAnsi="Arial" w:cs="Arial"/>
          <w:sz w:val="20"/>
          <w:szCs w:val="20"/>
        </w:rPr>
        <w:t xml:space="preserve">through 2017 </w:t>
      </w:r>
      <w:r w:rsidR="006673FE" w:rsidRPr="00DE475B">
        <w:rPr>
          <w:rFonts w:ascii="Arial" w:hAnsi="Arial" w:cs="Arial"/>
          <w:sz w:val="20"/>
          <w:szCs w:val="20"/>
        </w:rPr>
        <w:t>to keep content fresh.</w:t>
      </w:r>
    </w:p>
    <w:p w:rsidR="00857DF3" w:rsidRPr="00857DF3" w:rsidRDefault="00857DF3" w:rsidP="00857DF3">
      <w:pPr>
        <w:pStyle w:val="ARText"/>
        <w:tabs>
          <w:tab w:val="left" w:pos="2008"/>
          <w:tab w:val="left" w:pos="2084"/>
        </w:tabs>
        <w:spacing w:before="0"/>
        <w:rPr>
          <w:rFonts w:eastAsia="Times New Roman"/>
          <w:b/>
          <w:bCs w:val="0"/>
          <w:color w:val="000000"/>
          <w:szCs w:val="20"/>
        </w:rPr>
      </w:pPr>
      <w:r w:rsidRPr="00857DF3">
        <w:rPr>
          <w:rFonts w:eastAsia="Times New Roman"/>
          <w:b/>
          <w:bCs w:val="0"/>
          <w:color w:val="000000"/>
          <w:szCs w:val="20"/>
        </w:rPr>
        <w:t>Collection distribution</w:t>
      </w:r>
    </w:p>
    <w:p w:rsidR="006673FE" w:rsidRPr="00DE475B" w:rsidRDefault="006673FE" w:rsidP="006673FE">
      <w:pPr>
        <w:suppressAutoHyphens w:val="0"/>
        <w:autoSpaceDE/>
        <w:spacing w:after="120"/>
        <w:rPr>
          <w:rFonts w:ascii="Arial" w:hAnsi="Arial" w:cs="Arial"/>
          <w:sz w:val="20"/>
          <w:szCs w:val="20"/>
        </w:rPr>
      </w:pPr>
      <w:r w:rsidRPr="00DE475B">
        <w:rPr>
          <w:rFonts w:ascii="Arial" w:hAnsi="Arial" w:cs="Arial"/>
          <w:sz w:val="20"/>
          <w:szCs w:val="20"/>
        </w:rPr>
        <w:t xml:space="preserve">SLQ has been examining how </w:t>
      </w:r>
      <w:proofErr w:type="spellStart"/>
      <w:r w:rsidRPr="00DE475B">
        <w:rPr>
          <w:rFonts w:ascii="Arial" w:hAnsi="Arial" w:cs="Arial"/>
          <w:sz w:val="20"/>
          <w:szCs w:val="20"/>
        </w:rPr>
        <w:t>IKCs</w:t>
      </w:r>
      <w:proofErr w:type="spellEnd"/>
      <w:r w:rsidRPr="00DE475B">
        <w:rPr>
          <w:rFonts w:ascii="Arial" w:hAnsi="Arial" w:cs="Arial"/>
          <w:sz w:val="20"/>
          <w:szCs w:val="20"/>
        </w:rPr>
        <w:t xml:space="preserve"> and public libraries use grants to expand their </w:t>
      </w:r>
      <w:r w:rsidRPr="00DE475B">
        <w:rPr>
          <w:rFonts w:ascii="Arial" w:hAnsi="Arial" w:cs="Arial"/>
          <w:sz w:val="20"/>
          <w:szCs w:val="20"/>
        </w:rPr>
        <w:lastRenderedPageBreak/>
        <w:t xml:space="preserve">collections, identifying ways to improve return on investment for Queenslanders. Options are </w:t>
      </w:r>
      <w:r w:rsidR="00404BEA">
        <w:rPr>
          <w:rFonts w:ascii="Arial" w:hAnsi="Arial" w:cs="Arial"/>
          <w:sz w:val="20"/>
          <w:szCs w:val="20"/>
        </w:rPr>
        <w:t xml:space="preserve">now </w:t>
      </w:r>
      <w:r w:rsidRPr="00DE475B">
        <w:rPr>
          <w:rFonts w:ascii="Arial" w:hAnsi="Arial" w:cs="Arial"/>
          <w:sz w:val="20"/>
          <w:szCs w:val="20"/>
        </w:rPr>
        <w:t xml:space="preserve">being explored to better </w:t>
      </w:r>
      <w:r w:rsidR="00404BEA">
        <w:rPr>
          <w:rFonts w:ascii="Arial" w:hAnsi="Arial" w:cs="Arial"/>
          <w:sz w:val="20"/>
          <w:szCs w:val="20"/>
        </w:rPr>
        <w:t xml:space="preserve">support the </w:t>
      </w:r>
      <w:proofErr w:type="spellStart"/>
      <w:r w:rsidR="00404BEA">
        <w:rPr>
          <w:rFonts w:ascii="Arial" w:hAnsi="Arial" w:cs="Arial"/>
          <w:sz w:val="20"/>
          <w:szCs w:val="20"/>
        </w:rPr>
        <w:t>IKC</w:t>
      </w:r>
      <w:proofErr w:type="spellEnd"/>
      <w:r w:rsidR="00404BEA">
        <w:rPr>
          <w:rFonts w:ascii="Arial" w:hAnsi="Arial" w:cs="Arial"/>
          <w:sz w:val="20"/>
          <w:szCs w:val="20"/>
        </w:rPr>
        <w:t xml:space="preserve"> and </w:t>
      </w:r>
      <w:r w:rsidRPr="00DE475B">
        <w:rPr>
          <w:rFonts w:ascii="Arial" w:hAnsi="Arial" w:cs="Arial"/>
          <w:sz w:val="20"/>
          <w:szCs w:val="20"/>
        </w:rPr>
        <w:t>Rural Libraries Queensland (</w:t>
      </w:r>
      <w:proofErr w:type="spellStart"/>
      <w:r w:rsidRPr="00DE475B">
        <w:rPr>
          <w:rFonts w:ascii="Arial" w:hAnsi="Arial" w:cs="Arial"/>
          <w:sz w:val="20"/>
          <w:szCs w:val="20"/>
        </w:rPr>
        <w:t>RLQ</w:t>
      </w:r>
      <w:proofErr w:type="spellEnd"/>
      <w:r w:rsidRPr="00DE475B">
        <w:rPr>
          <w:rFonts w:ascii="Arial" w:hAnsi="Arial" w:cs="Arial"/>
          <w:sz w:val="20"/>
          <w:szCs w:val="20"/>
        </w:rPr>
        <w:t>)</w:t>
      </w:r>
      <w:r w:rsidR="00404BEA">
        <w:rPr>
          <w:rFonts w:ascii="Arial" w:hAnsi="Arial" w:cs="Arial"/>
          <w:sz w:val="20"/>
          <w:szCs w:val="20"/>
        </w:rPr>
        <w:t xml:space="preserve"> networks</w:t>
      </w:r>
      <w:r w:rsidRPr="00DE475B">
        <w:rPr>
          <w:rFonts w:ascii="Arial" w:hAnsi="Arial" w:cs="Arial"/>
          <w:sz w:val="20"/>
          <w:szCs w:val="20"/>
        </w:rPr>
        <w:t>, such as a collection excha</w:t>
      </w:r>
      <w:r w:rsidR="00404BEA">
        <w:rPr>
          <w:rFonts w:ascii="Arial" w:hAnsi="Arial" w:cs="Arial"/>
          <w:sz w:val="20"/>
          <w:szCs w:val="20"/>
        </w:rPr>
        <w:t xml:space="preserve">nge program to improve access to </w:t>
      </w:r>
      <w:r w:rsidRPr="00DE475B">
        <w:rPr>
          <w:rFonts w:ascii="Arial" w:hAnsi="Arial" w:cs="Arial"/>
          <w:sz w:val="20"/>
          <w:szCs w:val="20"/>
        </w:rPr>
        <w:t xml:space="preserve">collection </w:t>
      </w:r>
      <w:r w:rsidR="00404BEA">
        <w:rPr>
          <w:rFonts w:ascii="Arial" w:hAnsi="Arial" w:cs="Arial"/>
          <w:sz w:val="20"/>
          <w:szCs w:val="20"/>
        </w:rPr>
        <w:t>items</w:t>
      </w:r>
      <w:r w:rsidRPr="00DE475B">
        <w:rPr>
          <w:rFonts w:ascii="Arial" w:hAnsi="Arial" w:cs="Arial"/>
          <w:sz w:val="20"/>
          <w:szCs w:val="20"/>
        </w:rPr>
        <w:t xml:space="preserve"> for all </w:t>
      </w:r>
      <w:proofErr w:type="spellStart"/>
      <w:r w:rsidRPr="00DE475B">
        <w:rPr>
          <w:rFonts w:ascii="Arial" w:hAnsi="Arial" w:cs="Arial"/>
          <w:sz w:val="20"/>
          <w:szCs w:val="20"/>
        </w:rPr>
        <w:t>IKC</w:t>
      </w:r>
      <w:proofErr w:type="spellEnd"/>
      <w:r w:rsidRPr="00DE475B">
        <w:rPr>
          <w:rFonts w:ascii="Arial" w:hAnsi="Arial" w:cs="Arial"/>
          <w:sz w:val="20"/>
          <w:szCs w:val="20"/>
        </w:rPr>
        <w:t xml:space="preserve"> and </w:t>
      </w:r>
      <w:proofErr w:type="spellStart"/>
      <w:r w:rsidRPr="00DE475B">
        <w:rPr>
          <w:rFonts w:ascii="Arial" w:hAnsi="Arial" w:cs="Arial"/>
          <w:sz w:val="20"/>
          <w:szCs w:val="20"/>
        </w:rPr>
        <w:t>RLQ</w:t>
      </w:r>
      <w:proofErr w:type="spellEnd"/>
      <w:r w:rsidRPr="00DE475B">
        <w:rPr>
          <w:rFonts w:ascii="Arial" w:hAnsi="Arial" w:cs="Arial"/>
          <w:sz w:val="20"/>
          <w:szCs w:val="20"/>
        </w:rPr>
        <w:t xml:space="preserve"> communities. This</w:t>
      </w:r>
      <w:r w:rsidR="00404BEA">
        <w:rPr>
          <w:rFonts w:ascii="Arial" w:hAnsi="Arial" w:cs="Arial"/>
          <w:sz w:val="20"/>
          <w:szCs w:val="20"/>
        </w:rPr>
        <w:t xml:space="preserve"> work will continue in </w:t>
      </w:r>
      <w:r w:rsidRPr="00DE475B">
        <w:rPr>
          <w:rFonts w:ascii="Arial" w:hAnsi="Arial" w:cs="Arial"/>
          <w:sz w:val="20"/>
          <w:szCs w:val="20"/>
        </w:rPr>
        <w:t>2017–18.</w:t>
      </w:r>
    </w:p>
    <w:p w:rsidR="006673FE" w:rsidRPr="00DE475B" w:rsidRDefault="006673FE" w:rsidP="006673FE">
      <w:pPr>
        <w:spacing w:after="120"/>
        <w:rPr>
          <w:rFonts w:ascii="Arial" w:hAnsi="Arial" w:cs="Arial"/>
          <w:sz w:val="20"/>
          <w:szCs w:val="20"/>
        </w:rPr>
      </w:pPr>
      <w:r w:rsidRPr="00DE475B">
        <w:rPr>
          <w:rFonts w:ascii="Arial" w:hAnsi="Arial" w:cs="Arial"/>
          <w:sz w:val="20"/>
          <w:szCs w:val="20"/>
        </w:rPr>
        <w:t>A prototype Data Visualisation Tool was developed by Zone4 using Queensland p</w:t>
      </w:r>
      <w:r w:rsidR="000876A1">
        <w:rPr>
          <w:rFonts w:ascii="Arial" w:hAnsi="Arial" w:cs="Arial"/>
          <w:sz w:val="20"/>
          <w:szCs w:val="20"/>
        </w:rPr>
        <w:t>ublic library data from 2011–15. S</w:t>
      </w:r>
      <w:r w:rsidRPr="00DE475B">
        <w:rPr>
          <w:rFonts w:ascii="Arial" w:hAnsi="Arial" w:cs="Arial"/>
          <w:sz w:val="20"/>
          <w:szCs w:val="20"/>
        </w:rPr>
        <w:t>everal library services expressed interest in this tool, which helps with benchmarking and annual repor</w:t>
      </w:r>
      <w:r w:rsidR="001554D5">
        <w:rPr>
          <w:rFonts w:ascii="Arial" w:hAnsi="Arial" w:cs="Arial"/>
          <w:sz w:val="20"/>
          <w:szCs w:val="20"/>
        </w:rPr>
        <w:t>ting to c</w:t>
      </w:r>
      <w:r w:rsidR="000876A1">
        <w:rPr>
          <w:rFonts w:ascii="Arial" w:hAnsi="Arial" w:cs="Arial"/>
          <w:sz w:val="20"/>
          <w:szCs w:val="20"/>
        </w:rPr>
        <w:t>ouncil. The refreshed t</w:t>
      </w:r>
      <w:r w:rsidRPr="00DE475B">
        <w:rPr>
          <w:rFonts w:ascii="Arial" w:hAnsi="Arial" w:cs="Arial"/>
          <w:sz w:val="20"/>
          <w:szCs w:val="20"/>
        </w:rPr>
        <w:t xml:space="preserve">ool incorporates the latest Queensland public library data from 2015–16 and integrates Google Analytics functionality </w:t>
      </w:r>
      <w:r w:rsidR="000876A1">
        <w:rPr>
          <w:rFonts w:ascii="Arial" w:hAnsi="Arial" w:cs="Arial"/>
          <w:sz w:val="20"/>
          <w:szCs w:val="20"/>
        </w:rPr>
        <w:t>to enable tracking of usage. This</w:t>
      </w:r>
      <w:r w:rsidRPr="00DE475B">
        <w:rPr>
          <w:rFonts w:ascii="Arial" w:hAnsi="Arial" w:cs="Arial"/>
          <w:sz w:val="20"/>
          <w:szCs w:val="20"/>
        </w:rPr>
        <w:t xml:space="preserve"> </w:t>
      </w:r>
      <w:r w:rsidR="000876A1">
        <w:rPr>
          <w:rFonts w:ascii="Arial" w:hAnsi="Arial" w:cs="Arial"/>
          <w:sz w:val="20"/>
          <w:szCs w:val="20"/>
        </w:rPr>
        <w:t>t</w:t>
      </w:r>
      <w:r w:rsidRPr="00DE475B">
        <w:rPr>
          <w:rFonts w:ascii="Arial" w:hAnsi="Arial" w:cs="Arial"/>
          <w:sz w:val="20"/>
          <w:szCs w:val="20"/>
        </w:rPr>
        <w:t>ool was made accessible through the Public Libraries Connect website in May 2017.</w:t>
      </w:r>
    </w:p>
    <w:p w:rsidR="00857DF3" w:rsidRPr="00857DF3" w:rsidRDefault="00857DF3" w:rsidP="00857DF3">
      <w:pPr>
        <w:pStyle w:val="ARText"/>
        <w:tabs>
          <w:tab w:val="left" w:pos="2008"/>
          <w:tab w:val="left" w:pos="2084"/>
        </w:tabs>
        <w:spacing w:before="0"/>
        <w:rPr>
          <w:rFonts w:eastAsia="Times New Roman"/>
          <w:b/>
          <w:bCs w:val="0"/>
          <w:color w:val="000000"/>
          <w:szCs w:val="20"/>
        </w:rPr>
      </w:pPr>
      <w:r w:rsidRPr="00857DF3">
        <w:rPr>
          <w:rFonts w:eastAsia="Times New Roman"/>
          <w:b/>
          <w:bCs w:val="0"/>
          <w:color w:val="000000"/>
          <w:szCs w:val="20"/>
        </w:rPr>
        <w:t>Online engagement</w:t>
      </w:r>
    </w:p>
    <w:p w:rsidR="001D4DAF" w:rsidRPr="007C38AF" w:rsidRDefault="006673FE" w:rsidP="006673FE">
      <w:pPr>
        <w:widowControl w:val="0"/>
        <w:spacing w:after="120"/>
        <w:rPr>
          <w:rFonts w:ascii="Arial" w:hAnsi="Arial" w:cs="Arial"/>
          <w:spacing w:val="-2"/>
          <w:sz w:val="20"/>
          <w:szCs w:val="20"/>
        </w:rPr>
        <w:sectPr w:rsidR="001D4DAF" w:rsidRPr="007C38AF" w:rsidSect="00B53922">
          <w:type w:val="continuous"/>
          <w:pgSz w:w="11906" w:h="16838"/>
          <w:pgMar w:top="1440" w:right="1701" w:bottom="1440" w:left="1701" w:header="709" w:footer="709" w:gutter="0"/>
          <w:cols w:num="2" w:space="397"/>
          <w:docGrid w:linePitch="360"/>
        </w:sectPr>
      </w:pPr>
      <w:r w:rsidRPr="007C38AF">
        <w:rPr>
          <w:rFonts w:ascii="Arial" w:hAnsi="Arial" w:cs="Arial"/>
          <w:spacing w:val="-2"/>
          <w:sz w:val="20"/>
          <w:szCs w:val="20"/>
        </w:rPr>
        <w:t>SLQ is currently developing a Digital Strategy, taking a strat</w:t>
      </w:r>
      <w:r w:rsidR="007C38AF" w:rsidRPr="007C38AF">
        <w:rPr>
          <w:rFonts w:ascii="Arial" w:hAnsi="Arial" w:cs="Arial"/>
          <w:spacing w:val="-2"/>
          <w:sz w:val="20"/>
          <w:szCs w:val="20"/>
        </w:rPr>
        <w:t xml:space="preserve">egic view of how to achieve the aims of </w:t>
      </w:r>
      <w:r w:rsidRPr="007C38AF">
        <w:rPr>
          <w:rFonts w:ascii="Arial" w:hAnsi="Arial" w:cs="Arial"/>
          <w:spacing w:val="-2"/>
          <w:sz w:val="20"/>
          <w:szCs w:val="20"/>
        </w:rPr>
        <w:t>engagement and access to information in the digital space. The strategy will look at how people interact with the data accessible now</w:t>
      </w:r>
      <w:r w:rsidR="007C38AF" w:rsidRPr="007C38AF">
        <w:rPr>
          <w:rFonts w:ascii="Arial" w:hAnsi="Arial" w:cs="Arial"/>
          <w:spacing w:val="-2"/>
          <w:sz w:val="20"/>
          <w:szCs w:val="20"/>
        </w:rPr>
        <w:t>,</w:t>
      </w:r>
      <w:r w:rsidRPr="007C38AF">
        <w:rPr>
          <w:rFonts w:ascii="Arial" w:hAnsi="Arial" w:cs="Arial"/>
          <w:spacing w:val="-2"/>
          <w:sz w:val="20"/>
          <w:szCs w:val="20"/>
        </w:rPr>
        <w:t xml:space="preserve"> and how that may change in the future. It will focus on the themes of content, skills, community, experience and infrastructure, and will be presented to the Library Board in December 2017.</w:t>
      </w:r>
    </w:p>
    <w:p w:rsidR="00D346B4" w:rsidRPr="00DE475B" w:rsidRDefault="003E2C5C" w:rsidP="00DC57D3">
      <w:pPr>
        <w:pStyle w:val="ARHeading1"/>
        <w:pageBreakBefore/>
      </w:pPr>
      <w:r w:rsidRPr="00230FF4">
        <w:lastRenderedPageBreak/>
        <w:t>Build</w:t>
      </w:r>
      <w:r w:rsidR="00D346B4" w:rsidRPr="00230FF4">
        <w:t xml:space="preserve"> capability</w:t>
      </w:r>
    </w:p>
    <w:p w:rsidR="00D346B4" w:rsidRPr="00DE475B" w:rsidRDefault="00D346B4">
      <w:pPr>
        <w:rPr>
          <w:rFonts w:ascii="Arial" w:hAnsi="Arial" w:cs="Arial"/>
          <w:shd w:val="clear" w:color="auto" w:fill="FFFF00"/>
        </w:rPr>
      </w:pPr>
    </w:p>
    <w:p w:rsidR="00D346B4" w:rsidRPr="00DE475B" w:rsidRDefault="00840C5D">
      <w:pPr>
        <w:rPr>
          <w:rFonts w:ascii="Arial" w:hAnsi="Arial" w:cs="Arial"/>
          <w:i/>
          <w:sz w:val="20"/>
          <w:szCs w:val="20"/>
        </w:rPr>
      </w:pPr>
      <w:r w:rsidRPr="00DE475B">
        <w:rPr>
          <w:rFonts w:ascii="Arial" w:hAnsi="Arial" w:cs="Arial"/>
          <w:i/>
          <w:sz w:val="20"/>
          <w:szCs w:val="20"/>
        </w:rPr>
        <w:t xml:space="preserve">SLQ strives </w:t>
      </w:r>
      <w:r w:rsidR="00EF01B7" w:rsidRPr="00DE475B">
        <w:rPr>
          <w:rFonts w:ascii="Arial" w:hAnsi="Arial" w:cs="Arial"/>
          <w:i/>
          <w:sz w:val="20"/>
          <w:szCs w:val="20"/>
        </w:rPr>
        <w:t xml:space="preserve">to </w:t>
      </w:r>
      <w:r w:rsidR="00F9671E" w:rsidRPr="00DE475B">
        <w:rPr>
          <w:rFonts w:ascii="Arial" w:hAnsi="Arial" w:cs="Arial"/>
          <w:i/>
          <w:sz w:val="20"/>
          <w:szCs w:val="20"/>
        </w:rPr>
        <w:t>build capability within the organisation</w:t>
      </w:r>
      <w:r w:rsidR="00A318D2" w:rsidRPr="00DE475B">
        <w:rPr>
          <w:rFonts w:ascii="Arial" w:hAnsi="Arial" w:cs="Arial"/>
          <w:i/>
          <w:sz w:val="20"/>
          <w:szCs w:val="20"/>
        </w:rPr>
        <w:t xml:space="preserve">, its government clients and in </w:t>
      </w:r>
      <w:r w:rsidR="00F9671E" w:rsidRPr="00DE475B">
        <w:rPr>
          <w:rFonts w:ascii="Arial" w:hAnsi="Arial" w:cs="Arial"/>
          <w:i/>
          <w:sz w:val="20"/>
          <w:szCs w:val="20"/>
        </w:rPr>
        <w:t xml:space="preserve">its communities of interest. </w:t>
      </w:r>
      <w:r w:rsidRPr="00DE475B">
        <w:rPr>
          <w:rFonts w:ascii="Arial" w:hAnsi="Arial" w:cs="Arial"/>
          <w:i/>
          <w:sz w:val="20"/>
          <w:szCs w:val="20"/>
        </w:rPr>
        <w:t>It aims to be economically su</w:t>
      </w:r>
      <w:r w:rsidR="00813A51" w:rsidRPr="00DE475B">
        <w:rPr>
          <w:rFonts w:ascii="Arial" w:hAnsi="Arial" w:cs="Arial"/>
          <w:i/>
          <w:sz w:val="20"/>
          <w:szCs w:val="20"/>
        </w:rPr>
        <w:t>stainable while delivering high-</w:t>
      </w:r>
      <w:r w:rsidRPr="00DE475B">
        <w:rPr>
          <w:rFonts w:ascii="Arial" w:hAnsi="Arial" w:cs="Arial"/>
          <w:i/>
          <w:sz w:val="20"/>
          <w:szCs w:val="20"/>
        </w:rPr>
        <w:t>quality services in partnership with public and private organisations.</w:t>
      </w:r>
    </w:p>
    <w:p w:rsidR="00D346B4" w:rsidRPr="00DE475B" w:rsidRDefault="00D346B4">
      <w:pPr>
        <w:pStyle w:val="ARHeading1"/>
        <w:rPr>
          <w:sz w:val="20"/>
          <w:szCs w:val="20"/>
        </w:rPr>
      </w:pPr>
    </w:p>
    <w:p w:rsidR="00D346B4" w:rsidRPr="00DE475B" w:rsidRDefault="00D346B4" w:rsidP="00B17F1C">
      <w:pPr>
        <w:pStyle w:val="ARHeading1"/>
        <w:sectPr w:rsidR="00D346B4" w:rsidRPr="00DE475B" w:rsidSect="00B53922">
          <w:type w:val="continuous"/>
          <w:pgSz w:w="11906" w:h="16838"/>
          <w:pgMar w:top="1440" w:right="1701" w:bottom="1440" w:left="1701" w:header="709" w:footer="709" w:gutter="0"/>
          <w:cols w:space="720"/>
          <w:docGrid w:linePitch="360"/>
        </w:sectPr>
      </w:pPr>
    </w:p>
    <w:p w:rsidR="00E4365F" w:rsidRPr="001078D2" w:rsidRDefault="003E2C5C" w:rsidP="001078D2">
      <w:pPr>
        <w:pStyle w:val="ARheading3"/>
        <w:tabs>
          <w:tab w:val="left" w:pos="851"/>
        </w:tabs>
        <w:spacing w:after="120"/>
        <w:rPr>
          <w:color w:val="808080"/>
        </w:rPr>
      </w:pPr>
      <w:r w:rsidRPr="001078D2">
        <w:rPr>
          <w:color w:val="808080"/>
        </w:rPr>
        <w:lastRenderedPageBreak/>
        <w:t>Build capability in communities of interest</w:t>
      </w:r>
      <w:r w:rsidR="00E4365F" w:rsidRPr="001078D2">
        <w:rPr>
          <w:color w:val="808080"/>
        </w:rPr>
        <w:t xml:space="preserve"> </w:t>
      </w:r>
    </w:p>
    <w:p w:rsidR="001078D2" w:rsidRPr="001078D2" w:rsidRDefault="001078D2" w:rsidP="001078D2">
      <w:pPr>
        <w:pStyle w:val="ARText"/>
        <w:tabs>
          <w:tab w:val="left" w:pos="2008"/>
          <w:tab w:val="left" w:pos="2084"/>
        </w:tabs>
        <w:spacing w:before="0"/>
        <w:rPr>
          <w:rFonts w:eastAsia="Times New Roman"/>
          <w:b/>
          <w:bCs w:val="0"/>
          <w:color w:val="000000"/>
          <w:szCs w:val="20"/>
        </w:rPr>
      </w:pPr>
      <w:r w:rsidRPr="001078D2">
        <w:rPr>
          <w:rFonts w:eastAsia="Times New Roman"/>
          <w:b/>
          <w:bCs w:val="0"/>
          <w:color w:val="000000"/>
          <w:szCs w:val="20"/>
        </w:rPr>
        <w:t>Professional development</w:t>
      </w:r>
    </w:p>
    <w:p w:rsidR="00D82B10" w:rsidRPr="00DE475B" w:rsidRDefault="00D82B10" w:rsidP="00D82B10">
      <w:pPr>
        <w:pStyle w:val="ARText"/>
        <w:tabs>
          <w:tab w:val="left" w:pos="317"/>
        </w:tabs>
        <w:spacing w:before="0" w:after="120"/>
        <w:rPr>
          <w:szCs w:val="20"/>
        </w:rPr>
      </w:pPr>
      <w:r w:rsidRPr="00DE475B">
        <w:rPr>
          <w:szCs w:val="20"/>
        </w:rPr>
        <w:t xml:space="preserve">SLQ coordinates and delivers a calendar of professional development activities for public library and </w:t>
      </w:r>
      <w:proofErr w:type="spellStart"/>
      <w:r w:rsidRPr="00DE475B">
        <w:rPr>
          <w:szCs w:val="20"/>
        </w:rPr>
        <w:t>IKC</w:t>
      </w:r>
      <w:proofErr w:type="spellEnd"/>
      <w:r w:rsidRPr="00DE475B">
        <w:rPr>
          <w:szCs w:val="20"/>
        </w:rPr>
        <w:t xml:space="preserve"> staff. For instance, more than 60 Queensland public library staff attended the </w:t>
      </w:r>
      <w:r w:rsidRPr="00DE475B">
        <w:rPr>
          <w:i/>
          <w:iCs/>
          <w:szCs w:val="20"/>
        </w:rPr>
        <w:t>Innovation in Public Libraries Regional Professional Development</w:t>
      </w:r>
      <w:r w:rsidRPr="00DE475B">
        <w:rPr>
          <w:szCs w:val="20"/>
        </w:rPr>
        <w:t xml:space="preserve"> in Townsville in August 2016. Participants shared ideas with regional colleagues on public programming, including design thinking and coding and robotics. A research paper, </w:t>
      </w:r>
      <w:r w:rsidRPr="00DE475B">
        <w:rPr>
          <w:i/>
          <w:iCs/>
          <w:szCs w:val="20"/>
        </w:rPr>
        <w:t>Impact of Libraries as Creative Spaces,</w:t>
      </w:r>
      <w:r w:rsidRPr="00DE475B">
        <w:rPr>
          <w:szCs w:val="20"/>
        </w:rPr>
        <w:t xml:space="preserve"> was launched by Professor Jean Burgess and Dr </w:t>
      </w:r>
      <w:proofErr w:type="spellStart"/>
      <w:r w:rsidRPr="00DE475B">
        <w:rPr>
          <w:szCs w:val="20"/>
        </w:rPr>
        <w:t>Kirralie</w:t>
      </w:r>
      <w:proofErr w:type="spellEnd"/>
      <w:r w:rsidRPr="00DE475B">
        <w:rPr>
          <w:szCs w:val="20"/>
        </w:rPr>
        <w:t xml:space="preserve"> Houghton from </w:t>
      </w:r>
      <w:proofErr w:type="spellStart"/>
      <w:r w:rsidRPr="00DE475B">
        <w:rPr>
          <w:szCs w:val="20"/>
        </w:rPr>
        <w:t>QUT</w:t>
      </w:r>
      <w:proofErr w:type="spellEnd"/>
      <w:r w:rsidRPr="00DE475B">
        <w:rPr>
          <w:szCs w:val="20"/>
        </w:rPr>
        <w:t xml:space="preserve">. SLQ also ran a program of professional development workshops for public library staff in seven regional locations. Participants met library colleagues and learnt about program development, grant applications, innovative service delivery, new technology, library management and community engagement. Additionally, two-day forums have been held on Managing the Business of Libraries (Noosa, May 2017) and Digital Inclusion (Brisbane, June 2017). </w:t>
      </w:r>
      <w:r w:rsidR="0063157C">
        <w:rPr>
          <w:szCs w:val="20"/>
        </w:rPr>
        <w:t>P</w:t>
      </w:r>
      <w:r w:rsidR="0063157C" w:rsidRPr="00DE475B">
        <w:rPr>
          <w:szCs w:val="20"/>
        </w:rPr>
        <w:t xml:space="preserve">rofessional development </w:t>
      </w:r>
      <w:r w:rsidR="0063157C">
        <w:rPr>
          <w:szCs w:val="20"/>
        </w:rPr>
        <w:t>t</w:t>
      </w:r>
      <w:r w:rsidRPr="00DE475B">
        <w:rPr>
          <w:szCs w:val="20"/>
        </w:rPr>
        <w:t xml:space="preserve">ravel bursaries were available to support </w:t>
      </w:r>
      <w:r w:rsidR="0063157C">
        <w:rPr>
          <w:szCs w:val="20"/>
        </w:rPr>
        <w:t xml:space="preserve">public librarians from remote locations </w:t>
      </w:r>
      <w:r w:rsidR="008738FE">
        <w:rPr>
          <w:szCs w:val="20"/>
        </w:rPr>
        <w:t xml:space="preserve">to </w:t>
      </w:r>
      <w:r w:rsidR="0063157C">
        <w:rPr>
          <w:szCs w:val="20"/>
        </w:rPr>
        <w:t>attend these events</w:t>
      </w:r>
      <w:r w:rsidRPr="00DE475B">
        <w:rPr>
          <w:szCs w:val="20"/>
        </w:rPr>
        <w:t>.</w:t>
      </w:r>
    </w:p>
    <w:p w:rsidR="007E364B" w:rsidRPr="007E364B" w:rsidRDefault="007E364B" w:rsidP="007E364B">
      <w:pPr>
        <w:pStyle w:val="ARText"/>
        <w:tabs>
          <w:tab w:val="left" w:pos="2008"/>
          <w:tab w:val="left" w:pos="2084"/>
        </w:tabs>
        <w:spacing w:before="0"/>
        <w:rPr>
          <w:rFonts w:eastAsia="Times New Roman"/>
          <w:b/>
          <w:bCs w:val="0"/>
          <w:color w:val="000000"/>
          <w:szCs w:val="20"/>
        </w:rPr>
      </w:pPr>
      <w:r w:rsidRPr="007E364B">
        <w:rPr>
          <w:rFonts w:eastAsia="Times New Roman"/>
          <w:b/>
          <w:bCs w:val="0"/>
          <w:color w:val="000000"/>
          <w:szCs w:val="20"/>
        </w:rPr>
        <w:t>Public library visioning</w:t>
      </w:r>
    </w:p>
    <w:p w:rsidR="00D82B10" w:rsidRDefault="00D82B10" w:rsidP="00D82B10">
      <w:pPr>
        <w:pStyle w:val="ARText"/>
        <w:tabs>
          <w:tab w:val="left" w:pos="317"/>
        </w:tabs>
        <w:spacing w:before="0" w:after="120"/>
        <w:rPr>
          <w:szCs w:val="20"/>
        </w:rPr>
      </w:pPr>
      <w:r w:rsidRPr="00DE475B">
        <w:rPr>
          <w:i/>
          <w:iCs/>
          <w:szCs w:val="20"/>
        </w:rPr>
        <w:t>The Next Horizon: VISION 2017 for Queensland public libraries</w:t>
      </w:r>
      <w:r w:rsidRPr="00DE475B">
        <w:rPr>
          <w:szCs w:val="20"/>
        </w:rPr>
        <w:t xml:space="preserve"> will conclude this year. A tender process began in June 2017 to engage consultants </w:t>
      </w:r>
      <w:r w:rsidR="002B32BD">
        <w:rPr>
          <w:szCs w:val="20"/>
        </w:rPr>
        <w:t xml:space="preserve">who will </w:t>
      </w:r>
      <w:r w:rsidRPr="00DE475B">
        <w:rPr>
          <w:szCs w:val="20"/>
        </w:rPr>
        <w:t>review the document and develo</w:t>
      </w:r>
      <w:r w:rsidR="008738FE">
        <w:rPr>
          <w:szCs w:val="20"/>
        </w:rPr>
        <w:t>p a revised vision. Queensland c</w:t>
      </w:r>
      <w:r w:rsidRPr="00DE475B">
        <w:rPr>
          <w:szCs w:val="20"/>
        </w:rPr>
        <w:t xml:space="preserve">ouncils have been advised of the upcoming review and </w:t>
      </w:r>
      <w:r w:rsidR="002B32BD">
        <w:rPr>
          <w:szCs w:val="20"/>
        </w:rPr>
        <w:t>were</w:t>
      </w:r>
      <w:r w:rsidRPr="00DE475B">
        <w:rPr>
          <w:szCs w:val="20"/>
        </w:rPr>
        <w:t xml:space="preserve"> encouraged to particip</w:t>
      </w:r>
      <w:r w:rsidR="002B32BD">
        <w:rPr>
          <w:szCs w:val="20"/>
        </w:rPr>
        <w:t>ate in the consultation process, which is now in development.</w:t>
      </w:r>
    </w:p>
    <w:p w:rsidR="00352995" w:rsidRPr="00352995" w:rsidRDefault="00352995" w:rsidP="00352995">
      <w:pPr>
        <w:pStyle w:val="ARText"/>
        <w:tabs>
          <w:tab w:val="left" w:pos="2008"/>
          <w:tab w:val="left" w:pos="2084"/>
        </w:tabs>
        <w:spacing w:before="0"/>
        <w:rPr>
          <w:rFonts w:eastAsia="Times New Roman"/>
          <w:b/>
          <w:bCs w:val="0"/>
          <w:color w:val="000000"/>
          <w:szCs w:val="20"/>
        </w:rPr>
      </w:pPr>
      <w:r w:rsidRPr="00352995">
        <w:rPr>
          <w:rFonts w:eastAsia="Times New Roman"/>
          <w:b/>
          <w:bCs w:val="0"/>
          <w:color w:val="000000"/>
          <w:szCs w:val="20"/>
        </w:rPr>
        <w:t>Public Library Grants Methodology</w:t>
      </w:r>
    </w:p>
    <w:p w:rsidR="00D82B10" w:rsidRPr="00DE475B" w:rsidRDefault="00D82B10" w:rsidP="00D82B10">
      <w:pPr>
        <w:pStyle w:val="ARText"/>
        <w:tabs>
          <w:tab w:val="left" w:pos="317"/>
        </w:tabs>
        <w:spacing w:before="0" w:after="120"/>
        <w:rPr>
          <w:szCs w:val="20"/>
        </w:rPr>
      </w:pPr>
      <w:r w:rsidRPr="00DE475B">
        <w:rPr>
          <w:szCs w:val="20"/>
        </w:rPr>
        <w:t>While the current triennial Public Library Grants Methodology review period was due to end on 30 June 2017, the Minister approved postponement of the methodology review to 2017–18, and the extension of the current Servic</w:t>
      </w:r>
      <w:r w:rsidR="00C6520C">
        <w:rPr>
          <w:szCs w:val="20"/>
        </w:rPr>
        <w:t>e Level Agreements (</w:t>
      </w:r>
      <w:proofErr w:type="spellStart"/>
      <w:r w:rsidR="00C6520C">
        <w:rPr>
          <w:szCs w:val="20"/>
        </w:rPr>
        <w:t>SLAs</w:t>
      </w:r>
      <w:proofErr w:type="spellEnd"/>
      <w:r w:rsidR="00C6520C">
        <w:rPr>
          <w:szCs w:val="20"/>
        </w:rPr>
        <w:t>) with c</w:t>
      </w:r>
      <w:r w:rsidRPr="00DE475B">
        <w:rPr>
          <w:szCs w:val="20"/>
        </w:rPr>
        <w:t>ouncils</w:t>
      </w:r>
      <w:r w:rsidR="00530240">
        <w:rPr>
          <w:szCs w:val="20"/>
        </w:rPr>
        <w:t xml:space="preserve"> for 12 months</w:t>
      </w:r>
      <w:r w:rsidRPr="00DE475B">
        <w:rPr>
          <w:szCs w:val="20"/>
        </w:rPr>
        <w:t xml:space="preserve">. This will allow for the review of </w:t>
      </w:r>
      <w:r w:rsidRPr="00DE475B">
        <w:rPr>
          <w:i/>
          <w:szCs w:val="20"/>
        </w:rPr>
        <w:t>The Next Horizon: VISION 2017</w:t>
      </w:r>
      <w:r w:rsidRPr="00DE475B">
        <w:rPr>
          <w:szCs w:val="20"/>
        </w:rPr>
        <w:t xml:space="preserve">, which will inform the Public Library Grants Methodology Review process in 2017–18 and the development of revised </w:t>
      </w:r>
      <w:proofErr w:type="spellStart"/>
      <w:r w:rsidRPr="00DE475B">
        <w:rPr>
          <w:szCs w:val="20"/>
        </w:rPr>
        <w:t>SLAs</w:t>
      </w:r>
      <w:proofErr w:type="spellEnd"/>
      <w:r w:rsidRPr="00DE475B">
        <w:rPr>
          <w:szCs w:val="20"/>
        </w:rPr>
        <w:t xml:space="preserve"> for 2018–19.</w:t>
      </w:r>
    </w:p>
    <w:p w:rsidR="00352995" w:rsidRPr="00352995" w:rsidRDefault="00352995" w:rsidP="00352995">
      <w:pPr>
        <w:pStyle w:val="ARText"/>
        <w:tabs>
          <w:tab w:val="left" w:pos="2008"/>
          <w:tab w:val="left" w:pos="2084"/>
        </w:tabs>
        <w:spacing w:before="0"/>
        <w:rPr>
          <w:rFonts w:eastAsia="Times New Roman"/>
          <w:b/>
          <w:bCs w:val="0"/>
          <w:color w:val="000000"/>
          <w:szCs w:val="20"/>
        </w:rPr>
      </w:pPr>
      <w:r w:rsidRPr="00352995">
        <w:rPr>
          <w:rFonts w:eastAsia="Times New Roman"/>
          <w:b/>
          <w:bCs w:val="0"/>
          <w:color w:val="000000"/>
          <w:szCs w:val="20"/>
        </w:rPr>
        <w:lastRenderedPageBreak/>
        <w:t xml:space="preserve">Enhance effectiveness of </w:t>
      </w:r>
      <w:proofErr w:type="spellStart"/>
      <w:r w:rsidRPr="00352995">
        <w:rPr>
          <w:rFonts w:eastAsia="Times New Roman"/>
          <w:b/>
          <w:bCs w:val="0"/>
          <w:color w:val="000000"/>
          <w:szCs w:val="20"/>
        </w:rPr>
        <w:t>IKCs</w:t>
      </w:r>
      <w:proofErr w:type="spellEnd"/>
    </w:p>
    <w:p w:rsidR="00D82B10" w:rsidRDefault="00830DD2" w:rsidP="00D82B10">
      <w:pPr>
        <w:pStyle w:val="ARText"/>
        <w:tabs>
          <w:tab w:val="left" w:pos="317"/>
        </w:tabs>
        <w:spacing w:before="0" w:after="120"/>
        <w:rPr>
          <w:szCs w:val="20"/>
        </w:rPr>
      </w:pPr>
      <w:r>
        <w:rPr>
          <w:szCs w:val="20"/>
        </w:rPr>
        <w:t>Following the July 2016</w:t>
      </w:r>
      <w:r w:rsidR="00D82B10" w:rsidRPr="00DE475B">
        <w:rPr>
          <w:szCs w:val="20"/>
        </w:rPr>
        <w:t xml:space="preserve"> introducti</w:t>
      </w:r>
      <w:r w:rsidR="00C6520C">
        <w:rPr>
          <w:szCs w:val="20"/>
        </w:rPr>
        <w:t xml:space="preserve">on of new </w:t>
      </w:r>
      <w:proofErr w:type="spellStart"/>
      <w:r w:rsidR="00C6520C">
        <w:rPr>
          <w:szCs w:val="20"/>
        </w:rPr>
        <w:t>SLAs</w:t>
      </w:r>
      <w:proofErr w:type="spellEnd"/>
      <w:r w:rsidR="00C6520C">
        <w:rPr>
          <w:szCs w:val="20"/>
        </w:rPr>
        <w:t xml:space="preserve"> between SLQ and c</w:t>
      </w:r>
      <w:r w:rsidR="00D82B10" w:rsidRPr="00DE475B">
        <w:rPr>
          <w:szCs w:val="20"/>
        </w:rPr>
        <w:t xml:space="preserve">ouncils operating </w:t>
      </w:r>
      <w:proofErr w:type="spellStart"/>
      <w:r w:rsidR="00D82B10" w:rsidRPr="00DE475B">
        <w:rPr>
          <w:szCs w:val="20"/>
        </w:rPr>
        <w:t>IKCs</w:t>
      </w:r>
      <w:proofErr w:type="spellEnd"/>
      <w:r w:rsidR="00D82B10" w:rsidRPr="00DE475B">
        <w:rPr>
          <w:szCs w:val="20"/>
        </w:rPr>
        <w:t xml:space="preserve">, SLQ reviewed the effectiveness of these new agreements. They included changes to the way library content was purchased and how First 5 Forever funding was delivered. The review </w:t>
      </w:r>
      <w:r w:rsidR="0063157C">
        <w:rPr>
          <w:szCs w:val="20"/>
        </w:rPr>
        <w:t>considered</w:t>
      </w:r>
      <w:r w:rsidR="00D82B10" w:rsidRPr="00DE475B">
        <w:rPr>
          <w:szCs w:val="20"/>
        </w:rPr>
        <w:t xml:space="preserve"> the effectiveness of the investment and identifie</w:t>
      </w:r>
      <w:r w:rsidR="0063157C">
        <w:rPr>
          <w:szCs w:val="20"/>
        </w:rPr>
        <w:t>d</w:t>
      </w:r>
      <w:r w:rsidR="00D82B10" w:rsidRPr="00DE475B">
        <w:rPr>
          <w:szCs w:val="20"/>
        </w:rPr>
        <w:t xml:space="preserve"> ways to improve community outcomes.</w:t>
      </w:r>
      <w:r w:rsidR="0063157C">
        <w:rPr>
          <w:szCs w:val="20"/>
        </w:rPr>
        <w:t xml:space="preserve"> </w:t>
      </w:r>
      <w:r w:rsidR="002B32BD">
        <w:rPr>
          <w:szCs w:val="20"/>
        </w:rPr>
        <w:t>Findings</w:t>
      </w:r>
      <w:r w:rsidR="00D82B10" w:rsidRPr="00DE475B">
        <w:rPr>
          <w:szCs w:val="20"/>
        </w:rPr>
        <w:t xml:space="preserve"> were presented to the Library Board in February 2017, and will help inform the next </w:t>
      </w:r>
      <w:proofErr w:type="spellStart"/>
      <w:r w:rsidR="00D82B10" w:rsidRPr="00DE475B">
        <w:rPr>
          <w:szCs w:val="20"/>
        </w:rPr>
        <w:t>SLAs</w:t>
      </w:r>
      <w:proofErr w:type="spellEnd"/>
      <w:r w:rsidR="00D82B10" w:rsidRPr="00DE475B">
        <w:rPr>
          <w:szCs w:val="20"/>
        </w:rPr>
        <w:t xml:space="preserve">, due to begin in July 2018. </w:t>
      </w:r>
    </w:p>
    <w:p w:rsidR="00352995" w:rsidRPr="00D43827" w:rsidRDefault="00D43827" w:rsidP="00D43827">
      <w:pPr>
        <w:pStyle w:val="ARText"/>
        <w:tabs>
          <w:tab w:val="left" w:pos="2008"/>
          <w:tab w:val="left" w:pos="2084"/>
        </w:tabs>
        <w:spacing w:before="0"/>
        <w:rPr>
          <w:rFonts w:eastAsia="Times New Roman"/>
          <w:b/>
          <w:bCs w:val="0"/>
          <w:color w:val="000000"/>
          <w:szCs w:val="20"/>
        </w:rPr>
      </w:pPr>
      <w:r w:rsidRPr="00D43827">
        <w:rPr>
          <w:rFonts w:eastAsia="Times New Roman"/>
          <w:b/>
          <w:bCs w:val="0"/>
          <w:color w:val="000000"/>
          <w:szCs w:val="20"/>
        </w:rPr>
        <w:t>Learning opportunities</w:t>
      </w:r>
    </w:p>
    <w:p w:rsidR="00D82B10" w:rsidRPr="001C4134" w:rsidRDefault="00D82B10" w:rsidP="00D82B10">
      <w:pPr>
        <w:pStyle w:val="ARText"/>
        <w:tabs>
          <w:tab w:val="left" w:pos="317"/>
        </w:tabs>
        <w:spacing w:before="0" w:after="120"/>
        <w:rPr>
          <w:spacing w:val="-2"/>
          <w:kern w:val="20"/>
          <w:szCs w:val="20"/>
        </w:rPr>
      </w:pPr>
      <w:r w:rsidRPr="001C4134">
        <w:rPr>
          <w:spacing w:val="-2"/>
          <w:kern w:val="20"/>
          <w:szCs w:val="20"/>
        </w:rPr>
        <w:t xml:space="preserve">SLQ supports learning through a diverse array of activities onsite, including design thinking workshops through the Asia Pacific Design Library, workshops and fabrication lab inductions in The Edge, school tours, school holiday workshops </w:t>
      </w:r>
      <w:r w:rsidR="00097A9C">
        <w:rPr>
          <w:spacing w:val="-2"/>
          <w:kern w:val="20"/>
          <w:szCs w:val="20"/>
        </w:rPr>
        <w:t xml:space="preserve">and </w:t>
      </w:r>
      <w:r w:rsidRPr="001C4134">
        <w:rPr>
          <w:spacing w:val="-2"/>
          <w:kern w:val="20"/>
          <w:szCs w:val="20"/>
        </w:rPr>
        <w:t xml:space="preserve">craft sessions at the </w:t>
      </w:r>
      <w:r w:rsidR="00097A9C">
        <w:rPr>
          <w:spacing w:val="-2"/>
          <w:kern w:val="20"/>
          <w:szCs w:val="20"/>
        </w:rPr>
        <w:t>SLQ</w:t>
      </w:r>
      <w:r w:rsidRPr="001C4134">
        <w:rPr>
          <w:spacing w:val="-2"/>
          <w:kern w:val="20"/>
          <w:szCs w:val="20"/>
        </w:rPr>
        <w:t xml:space="preserve"> Shop. It also supports public libraries and </w:t>
      </w:r>
      <w:proofErr w:type="spellStart"/>
      <w:r w:rsidRPr="001C4134">
        <w:rPr>
          <w:spacing w:val="-2"/>
          <w:kern w:val="20"/>
          <w:szCs w:val="20"/>
        </w:rPr>
        <w:t>IKCs</w:t>
      </w:r>
      <w:proofErr w:type="spellEnd"/>
      <w:r w:rsidRPr="001C4134">
        <w:rPr>
          <w:spacing w:val="-2"/>
          <w:kern w:val="20"/>
          <w:szCs w:val="20"/>
        </w:rPr>
        <w:t xml:space="preserve"> to deliver programs across Queensland, providing regional access to learning activities. Some of these, like </w:t>
      </w:r>
      <w:proofErr w:type="spellStart"/>
      <w:r w:rsidRPr="001C4134">
        <w:rPr>
          <w:spacing w:val="-2"/>
          <w:kern w:val="20"/>
          <w:szCs w:val="20"/>
        </w:rPr>
        <w:t>TSSQ</w:t>
      </w:r>
      <w:proofErr w:type="spellEnd"/>
      <w:r w:rsidRPr="001C4134">
        <w:rPr>
          <w:spacing w:val="-2"/>
          <w:kern w:val="20"/>
          <w:szCs w:val="20"/>
        </w:rPr>
        <w:t xml:space="preserve"> </w:t>
      </w:r>
      <w:r w:rsidR="001C4134" w:rsidRPr="001C4134">
        <w:rPr>
          <w:spacing w:val="-2"/>
          <w:kern w:val="20"/>
          <w:szCs w:val="20"/>
        </w:rPr>
        <w:t xml:space="preserve">(page 21) </w:t>
      </w:r>
      <w:r w:rsidRPr="001C4134">
        <w:rPr>
          <w:spacing w:val="-2"/>
          <w:kern w:val="20"/>
          <w:szCs w:val="20"/>
        </w:rPr>
        <w:t>and the coding and robotics workshops (page</w:t>
      </w:r>
      <w:r w:rsidR="001C4134" w:rsidRPr="001C4134">
        <w:rPr>
          <w:spacing w:val="-2"/>
          <w:kern w:val="20"/>
          <w:szCs w:val="20"/>
        </w:rPr>
        <w:t xml:space="preserve"> 20</w:t>
      </w:r>
      <w:r w:rsidRPr="001C4134">
        <w:rPr>
          <w:spacing w:val="-2"/>
          <w:kern w:val="20"/>
          <w:szCs w:val="20"/>
        </w:rPr>
        <w:t xml:space="preserve">) are explored elsewhere in this report. SLQ also provides learning notes </w:t>
      </w:r>
      <w:r w:rsidR="006A1A7E" w:rsidRPr="001C4134">
        <w:rPr>
          <w:spacing w:val="-2"/>
          <w:kern w:val="20"/>
          <w:szCs w:val="20"/>
        </w:rPr>
        <w:t xml:space="preserve">aligned to the school curriculum </w:t>
      </w:r>
      <w:r w:rsidRPr="001C4134">
        <w:rPr>
          <w:spacing w:val="-2"/>
          <w:kern w:val="20"/>
          <w:szCs w:val="20"/>
        </w:rPr>
        <w:t xml:space="preserve">for its major exhibitions, such as </w:t>
      </w:r>
      <w:r w:rsidRPr="00810A40">
        <w:rPr>
          <w:i/>
          <w:spacing w:val="-2"/>
          <w:kern w:val="20"/>
          <w:szCs w:val="20"/>
        </w:rPr>
        <w:t>Art of the Skins</w:t>
      </w:r>
      <w:r w:rsidRPr="001C4134">
        <w:rPr>
          <w:spacing w:val="-2"/>
          <w:kern w:val="20"/>
          <w:szCs w:val="20"/>
        </w:rPr>
        <w:t xml:space="preserve"> (page </w:t>
      </w:r>
      <w:r w:rsidR="001C4134" w:rsidRPr="001C4134">
        <w:rPr>
          <w:spacing w:val="-2"/>
          <w:kern w:val="20"/>
          <w:szCs w:val="20"/>
        </w:rPr>
        <w:t>2</w:t>
      </w:r>
      <w:r w:rsidR="005147B1">
        <w:rPr>
          <w:spacing w:val="-2"/>
          <w:kern w:val="20"/>
          <w:szCs w:val="20"/>
        </w:rPr>
        <w:t>7</w:t>
      </w:r>
      <w:r w:rsidR="006A1A7E">
        <w:rPr>
          <w:spacing w:val="-2"/>
          <w:kern w:val="20"/>
          <w:szCs w:val="20"/>
        </w:rPr>
        <w:t>)</w:t>
      </w:r>
      <w:r w:rsidRPr="001C4134">
        <w:rPr>
          <w:spacing w:val="-2"/>
          <w:kern w:val="20"/>
          <w:szCs w:val="20"/>
        </w:rPr>
        <w:t>.</w:t>
      </w:r>
    </w:p>
    <w:p w:rsidR="00D82B10" w:rsidRPr="00DE475B" w:rsidRDefault="00D82B10" w:rsidP="00D82B10">
      <w:pPr>
        <w:spacing w:after="120"/>
        <w:rPr>
          <w:rFonts w:ascii="Arial" w:hAnsi="Arial" w:cs="Arial"/>
          <w:sz w:val="20"/>
          <w:szCs w:val="20"/>
        </w:rPr>
      </w:pPr>
      <w:r w:rsidRPr="00DE475B">
        <w:rPr>
          <w:rFonts w:ascii="Arial" w:hAnsi="Arial" w:cs="Arial"/>
          <w:sz w:val="20"/>
          <w:szCs w:val="20"/>
        </w:rPr>
        <w:t>Construction was a theme for The Corner in early 2017 to create an environment for multiple styles of play and engagement, for children and families. </w:t>
      </w:r>
      <w:r w:rsidRPr="00DE475B">
        <w:rPr>
          <w:rFonts w:ascii="Arial" w:hAnsi="Arial" w:cs="Arial"/>
          <w:i/>
          <w:sz w:val="20"/>
          <w:szCs w:val="20"/>
        </w:rPr>
        <w:t>Let’s Build in The Corner</w:t>
      </w:r>
      <w:r w:rsidRPr="00DE475B">
        <w:rPr>
          <w:rFonts w:ascii="Arial" w:hAnsi="Arial" w:cs="Arial"/>
          <w:sz w:val="20"/>
          <w:szCs w:val="20"/>
        </w:rPr>
        <w:t xml:space="preserve"> was complemented by The Imagination </w:t>
      </w:r>
      <w:proofErr w:type="spellStart"/>
      <w:r w:rsidRPr="00DE475B">
        <w:rPr>
          <w:rFonts w:ascii="Arial" w:hAnsi="Arial" w:cs="Arial"/>
          <w:sz w:val="20"/>
          <w:szCs w:val="20"/>
        </w:rPr>
        <w:t>Playscape</w:t>
      </w:r>
      <w:proofErr w:type="spellEnd"/>
      <w:r w:rsidRPr="00DE475B">
        <w:rPr>
          <w:rFonts w:ascii="Arial" w:hAnsi="Arial" w:cs="Arial"/>
          <w:sz w:val="20"/>
          <w:szCs w:val="20"/>
        </w:rPr>
        <w:t xml:space="preserve"> in The Parlour, allowing children to change the space around them and design their own course of play.</w:t>
      </w:r>
      <w:r w:rsidR="000A6252">
        <w:rPr>
          <w:rFonts w:ascii="Arial" w:hAnsi="Arial" w:cs="Arial"/>
          <w:sz w:val="20"/>
          <w:szCs w:val="20"/>
        </w:rPr>
        <w:t xml:space="preserve"> </w:t>
      </w:r>
      <w:r w:rsidRPr="00DE475B">
        <w:rPr>
          <w:rFonts w:ascii="Arial" w:hAnsi="Arial" w:cs="Arial"/>
          <w:sz w:val="20"/>
          <w:szCs w:val="20"/>
        </w:rPr>
        <w:t>The</w:t>
      </w:r>
      <w:r w:rsidR="000A6252">
        <w:rPr>
          <w:rFonts w:ascii="Arial" w:hAnsi="Arial" w:cs="Arial"/>
          <w:sz w:val="20"/>
          <w:szCs w:val="20"/>
        </w:rPr>
        <w:t xml:space="preserve"> </w:t>
      </w:r>
      <w:r w:rsidRPr="00DE475B">
        <w:rPr>
          <w:rFonts w:ascii="Arial" w:hAnsi="Arial" w:cs="Arial"/>
          <w:sz w:val="20"/>
          <w:szCs w:val="20"/>
        </w:rPr>
        <w:t>Imagination</w:t>
      </w:r>
      <w:r w:rsidR="000A6252">
        <w:rPr>
          <w:rFonts w:ascii="Arial" w:hAnsi="Arial" w:cs="Arial"/>
          <w:sz w:val="20"/>
          <w:szCs w:val="20"/>
        </w:rPr>
        <w:t xml:space="preserve"> </w:t>
      </w:r>
      <w:proofErr w:type="spellStart"/>
      <w:r w:rsidRPr="00DE475B">
        <w:rPr>
          <w:rFonts w:ascii="Arial" w:hAnsi="Arial" w:cs="Arial"/>
          <w:sz w:val="20"/>
          <w:szCs w:val="20"/>
        </w:rPr>
        <w:t>Playscape</w:t>
      </w:r>
      <w:proofErr w:type="spellEnd"/>
      <w:r w:rsidRPr="00DE475B">
        <w:rPr>
          <w:rFonts w:ascii="Arial" w:hAnsi="Arial" w:cs="Arial"/>
          <w:sz w:val="20"/>
          <w:szCs w:val="20"/>
        </w:rPr>
        <w:t xml:space="preserve"> </w:t>
      </w:r>
      <w:r w:rsidR="000A6252">
        <w:rPr>
          <w:rFonts w:ascii="Arial" w:hAnsi="Arial" w:cs="Arial"/>
          <w:sz w:val="20"/>
          <w:szCs w:val="20"/>
        </w:rPr>
        <w:t>comprises assorted</w:t>
      </w:r>
      <w:r w:rsidRPr="00DE475B">
        <w:rPr>
          <w:rFonts w:ascii="Arial" w:hAnsi="Arial" w:cs="Arial"/>
          <w:sz w:val="20"/>
          <w:szCs w:val="20"/>
        </w:rPr>
        <w:t xml:space="preserve"> loose parts</w:t>
      </w:r>
      <w:r w:rsidR="000A6252">
        <w:rPr>
          <w:rFonts w:ascii="Arial" w:hAnsi="Arial" w:cs="Arial"/>
          <w:sz w:val="20"/>
          <w:szCs w:val="20"/>
        </w:rPr>
        <w:t xml:space="preserve"> — </w:t>
      </w:r>
      <w:r w:rsidRPr="00DE475B">
        <w:rPr>
          <w:rFonts w:ascii="Arial" w:hAnsi="Arial" w:cs="Arial"/>
          <w:sz w:val="20"/>
          <w:szCs w:val="20"/>
        </w:rPr>
        <w:t xml:space="preserve">shapes, angles, chutes and hinges </w:t>
      </w:r>
      <w:r w:rsidR="000A6252">
        <w:rPr>
          <w:rFonts w:ascii="Arial" w:hAnsi="Arial" w:cs="Arial"/>
          <w:sz w:val="20"/>
          <w:szCs w:val="20"/>
        </w:rPr>
        <w:t xml:space="preserve">— </w:t>
      </w:r>
      <w:r w:rsidRPr="00DE475B">
        <w:rPr>
          <w:rFonts w:ascii="Arial" w:hAnsi="Arial" w:cs="Arial"/>
          <w:sz w:val="20"/>
          <w:szCs w:val="20"/>
        </w:rPr>
        <w:t>that prompt children to transform their environment and create objects, imaginary places, dramatic scenarios and games to play. This encourages</w:t>
      </w:r>
      <w:r w:rsidR="000A6252">
        <w:rPr>
          <w:rFonts w:ascii="Arial" w:hAnsi="Arial" w:cs="Arial"/>
          <w:sz w:val="20"/>
          <w:szCs w:val="20"/>
        </w:rPr>
        <w:t xml:space="preserve"> the</w:t>
      </w:r>
      <w:r w:rsidRPr="00DE475B">
        <w:rPr>
          <w:rFonts w:ascii="Arial" w:hAnsi="Arial" w:cs="Arial"/>
          <w:sz w:val="20"/>
          <w:szCs w:val="20"/>
        </w:rPr>
        <w:t xml:space="preserve"> creativity,</w:t>
      </w:r>
      <w:r w:rsidR="000A6252">
        <w:rPr>
          <w:rFonts w:ascii="Arial" w:hAnsi="Arial" w:cs="Arial"/>
          <w:sz w:val="20"/>
          <w:szCs w:val="20"/>
        </w:rPr>
        <w:t xml:space="preserve"> </w:t>
      </w:r>
      <w:r w:rsidR="00810A40">
        <w:rPr>
          <w:rFonts w:ascii="Arial" w:hAnsi="Arial" w:cs="Arial"/>
          <w:sz w:val="20"/>
          <w:szCs w:val="20"/>
        </w:rPr>
        <w:t>social interaction and open-</w:t>
      </w:r>
      <w:r w:rsidRPr="00DE475B">
        <w:rPr>
          <w:rFonts w:ascii="Arial" w:hAnsi="Arial" w:cs="Arial"/>
          <w:sz w:val="20"/>
          <w:szCs w:val="20"/>
        </w:rPr>
        <w:t>ended play critical to a child’s intellectual, social, physical and emotional development. The installation at SLQ included</w:t>
      </w:r>
      <w:r w:rsidR="00810A40">
        <w:rPr>
          <w:rFonts w:ascii="Arial" w:hAnsi="Arial" w:cs="Arial"/>
          <w:sz w:val="20"/>
          <w:szCs w:val="20"/>
        </w:rPr>
        <w:t xml:space="preserve"> both facilitated play and open-</w:t>
      </w:r>
      <w:r w:rsidRPr="00DE475B">
        <w:rPr>
          <w:rFonts w:ascii="Arial" w:hAnsi="Arial" w:cs="Arial"/>
          <w:sz w:val="20"/>
          <w:szCs w:val="20"/>
        </w:rPr>
        <w:t xml:space="preserve">ended free play sessions. The Let’s Build and Imagination </w:t>
      </w:r>
      <w:proofErr w:type="spellStart"/>
      <w:r w:rsidRPr="00DE475B">
        <w:rPr>
          <w:rFonts w:ascii="Arial" w:hAnsi="Arial" w:cs="Arial"/>
          <w:sz w:val="20"/>
          <w:szCs w:val="20"/>
        </w:rPr>
        <w:t>Playscape</w:t>
      </w:r>
      <w:proofErr w:type="spellEnd"/>
      <w:r w:rsidRPr="00DE475B">
        <w:rPr>
          <w:rFonts w:ascii="Arial" w:hAnsi="Arial" w:cs="Arial"/>
          <w:sz w:val="20"/>
          <w:szCs w:val="20"/>
        </w:rPr>
        <w:t xml:space="preserve"> installations are</w:t>
      </w:r>
      <w:r w:rsidR="00F71D56">
        <w:rPr>
          <w:rFonts w:ascii="Arial" w:hAnsi="Arial" w:cs="Arial"/>
          <w:sz w:val="20"/>
          <w:szCs w:val="20"/>
        </w:rPr>
        <w:t xml:space="preserve"> </w:t>
      </w:r>
      <w:r w:rsidR="000A6252">
        <w:rPr>
          <w:rFonts w:ascii="Arial" w:hAnsi="Arial" w:cs="Arial"/>
          <w:sz w:val="20"/>
          <w:szCs w:val="20"/>
        </w:rPr>
        <w:t xml:space="preserve">now </w:t>
      </w:r>
      <w:r w:rsidR="00F71D56">
        <w:rPr>
          <w:rFonts w:ascii="Arial" w:hAnsi="Arial" w:cs="Arial"/>
          <w:sz w:val="20"/>
          <w:szCs w:val="20"/>
        </w:rPr>
        <w:t>available for loan within the public l</w:t>
      </w:r>
      <w:r w:rsidRPr="00DE475B">
        <w:rPr>
          <w:rFonts w:ascii="Arial" w:hAnsi="Arial" w:cs="Arial"/>
          <w:sz w:val="20"/>
          <w:szCs w:val="20"/>
        </w:rPr>
        <w:t xml:space="preserve">ibrary and </w:t>
      </w:r>
      <w:proofErr w:type="spellStart"/>
      <w:r w:rsidRPr="00DE475B">
        <w:rPr>
          <w:rFonts w:ascii="Arial" w:hAnsi="Arial" w:cs="Arial"/>
          <w:sz w:val="20"/>
          <w:szCs w:val="20"/>
        </w:rPr>
        <w:t>IKC</w:t>
      </w:r>
      <w:proofErr w:type="spellEnd"/>
      <w:r w:rsidRPr="00DE475B">
        <w:rPr>
          <w:rFonts w:ascii="Arial" w:hAnsi="Arial" w:cs="Arial"/>
          <w:sz w:val="20"/>
          <w:szCs w:val="20"/>
        </w:rPr>
        <w:t xml:space="preserve"> networks.</w:t>
      </w:r>
    </w:p>
    <w:p w:rsidR="00D82B10" w:rsidRPr="00DE475B" w:rsidRDefault="00D82B10" w:rsidP="00D82B10">
      <w:pPr>
        <w:spacing w:after="120"/>
        <w:rPr>
          <w:rFonts w:ascii="Arial" w:hAnsi="Arial" w:cs="Arial"/>
          <w:sz w:val="20"/>
          <w:szCs w:val="20"/>
          <w:lang w:eastAsia="en-US"/>
        </w:rPr>
      </w:pPr>
      <w:r w:rsidRPr="00DE475B">
        <w:rPr>
          <w:rFonts w:ascii="Arial" w:hAnsi="Arial" w:cs="Arial"/>
          <w:sz w:val="20"/>
          <w:szCs w:val="20"/>
          <w:lang w:eastAsia="en-US"/>
        </w:rPr>
        <w:lastRenderedPageBreak/>
        <w:t>The Summer Reading Club (</w:t>
      </w:r>
      <w:proofErr w:type="spellStart"/>
      <w:r w:rsidRPr="00DE475B">
        <w:rPr>
          <w:rFonts w:ascii="Arial" w:hAnsi="Arial" w:cs="Arial"/>
          <w:sz w:val="20"/>
          <w:szCs w:val="20"/>
          <w:lang w:eastAsia="en-US"/>
        </w:rPr>
        <w:t>SRC</w:t>
      </w:r>
      <w:proofErr w:type="spellEnd"/>
      <w:r w:rsidRPr="00DE475B">
        <w:rPr>
          <w:rFonts w:ascii="Arial" w:hAnsi="Arial" w:cs="Arial"/>
          <w:sz w:val="20"/>
          <w:szCs w:val="20"/>
          <w:lang w:eastAsia="en-US"/>
        </w:rPr>
        <w:t xml:space="preserve">) program is delivered nationally in partnership with ALIA (Australian Library and Information Association), the Australian Public Library Alliance and State and participating libraries across Australia. The 2016 </w:t>
      </w:r>
      <w:proofErr w:type="spellStart"/>
      <w:r w:rsidRPr="00DE475B">
        <w:rPr>
          <w:rFonts w:ascii="Arial" w:hAnsi="Arial" w:cs="Arial"/>
          <w:sz w:val="20"/>
          <w:szCs w:val="20"/>
          <w:lang w:eastAsia="en-US"/>
        </w:rPr>
        <w:t>SRC</w:t>
      </w:r>
      <w:proofErr w:type="spellEnd"/>
      <w:r w:rsidRPr="00DE475B">
        <w:rPr>
          <w:rFonts w:ascii="Arial" w:hAnsi="Arial" w:cs="Arial"/>
          <w:sz w:val="20"/>
          <w:szCs w:val="20"/>
          <w:lang w:eastAsia="en-US"/>
        </w:rPr>
        <w:t xml:space="preserve"> theme of </w:t>
      </w:r>
      <w:r w:rsidRPr="00DE475B">
        <w:rPr>
          <w:rFonts w:ascii="Arial" w:hAnsi="Arial" w:cs="Arial"/>
          <w:i/>
          <w:sz w:val="20"/>
          <w:szCs w:val="20"/>
          <w:lang w:eastAsia="en-US"/>
        </w:rPr>
        <w:t>Heroes and Villains</w:t>
      </w:r>
      <w:r w:rsidRPr="00DE475B">
        <w:rPr>
          <w:rFonts w:ascii="Arial" w:hAnsi="Arial" w:cs="Arial"/>
          <w:sz w:val="20"/>
          <w:szCs w:val="20"/>
          <w:lang w:eastAsia="en-US"/>
        </w:rPr>
        <w:t xml:space="preserve"> was delivered online and in 1,083 Australian libraries (including mobile libraries and </w:t>
      </w:r>
      <w:proofErr w:type="spellStart"/>
      <w:r w:rsidRPr="00DE475B">
        <w:rPr>
          <w:rFonts w:ascii="Arial" w:hAnsi="Arial" w:cs="Arial"/>
          <w:sz w:val="20"/>
          <w:szCs w:val="20"/>
          <w:lang w:eastAsia="en-US"/>
        </w:rPr>
        <w:t>I</w:t>
      </w:r>
      <w:r w:rsidR="00EC3910">
        <w:rPr>
          <w:rFonts w:ascii="Arial" w:hAnsi="Arial" w:cs="Arial"/>
          <w:sz w:val="20"/>
          <w:szCs w:val="20"/>
          <w:lang w:eastAsia="en-US"/>
        </w:rPr>
        <w:t>KCs</w:t>
      </w:r>
      <w:proofErr w:type="spellEnd"/>
      <w:r w:rsidRPr="00DE475B">
        <w:rPr>
          <w:rFonts w:ascii="Arial" w:hAnsi="Arial" w:cs="Arial"/>
          <w:sz w:val="20"/>
          <w:szCs w:val="20"/>
          <w:lang w:eastAsia="en-US"/>
        </w:rPr>
        <w:t xml:space="preserve">) </w:t>
      </w:r>
      <w:r w:rsidR="00EC3910">
        <w:rPr>
          <w:rFonts w:ascii="Arial" w:hAnsi="Arial" w:cs="Arial"/>
          <w:sz w:val="20"/>
          <w:szCs w:val="20"/>
          <w:lang w:eastAsia="en-US"/>
        </w:rPr>
        <w:t>through</w:t>
      </w:r>
      <w:r w:rsidRPr="00DE475B">
        <w:rPr>
          <w:rFonts w:ascii="Arial" w:hAnsi="Arial" w:cs="Arial"/>
          <w:sz w:val="20"/>
          <w:szCs w:val="20"/>
          <w:lang w:eastAsia="en-US"/>
        </w:rPr>
        <w:t xml:space="preserve"> </w:t>
      </w:r>
      <w:r w:rsidR="00EC3910">
        <w:rPr>
          <w:rFonts w:ascii="Arial" w:hAnsi="Arial" w:cs="Arial"/>
          <w:sz w:val="20"/>
          <w:szCs w:val="20"/>
          <w:lang w:eastAsia="en-US"/>
        </w:rPr>
        <w:t>December 2016 and</w:t>
      </w:r>
      <w:r w:rsidRPr="00DE475B">
        <w:rPr>
          <w:rFonts w:ascii="Arial" w:hAnsi="Arial" w:cs="Arial"/>
          <w:sz w:val="20"/>
          <w:szCs w:val="20"/>
          <w:lang w:eastAsia="en-US"/>
        </w:rPr>
        <w:t xml:space="preserve"> January 2017. The program featured blogs from the Australian Children’s Laureate, Leigh Hobbs</w:t>
      </w:r>
      <w:r w:rsidR="00281882">
        <w:rPr>
          <w:rFonts w:ascii="Arial" w:hAnsi="Arial" w:cs="Arial"/>
          <w:sz w:val="20"/>
          <w:szCs w:val="20"/>
          <w:lang w:eastAsia="en-US"/>
        </w:rPr>
        <w:t>,</w:t>
      </w:r>
      <w:r w:rsidRPr="00DE475B">
        <w:rPr>
          <w:rFonts w:ascii="Arial" w:hAnsi="Arial" w:cs="Arial"/>
          <w:sz w:val="20"/>
          <w:szCs w:val="20"/>
          <w:lang w:eastAsia="en-US"/>
        </w:rPr>
        <w:t xml:space="preserve"> and popular children’s author Deborah </w:t>
      </w:r>
      <w:proofErr w:type="spellStart"/>
      <w:r w:rsidRPr="00DE475B">
        <w:rPr>
          <w:rFonts w:ascii="Arial" w:hAnsi="Arial" w:cs="Arial"/>
          <w:sz w:val="20"/>
          <w:szCs w:val="20"/>
          <w:lang w:eastAsia="en-US"/>
        </w:rPr>
        <w:t>Abela</w:t>
      </w:r>
      <w:proofErr w:type="spellEnd"/>
      <w:r w:rsidRPr="00DE475B">
        <w:rPr>
          <w:rFonts w:ascii="Arial" w:hAnsi="Arial" w:cs="Arial"/>
          <w:sz w:val="20"/>
          <w:szCs w:val="20"/>
          <w:lang w:eastAsia="en-US"/>
        </w:rPr>
        <w:t xml:space="preserve">. This is the sixth year SLQ has delivered this as a national program. Nationally, more than 82,500 children and young people participated in library summer holiday programs. A total of 55,874 children and young people formally registered in the </w:t>
      </w:r>
      <w:proofErr w:type="spellStart"/>
      <w:r w:rsidRPr="00DE475B">
        <w:rPr>
          <w:rFonts w:ascii="Arial" w:hAnsi="Arial" w:cs="Arial"/>
          <w:sz w:val="20"/>
          <w:szCs w:val="20"/>
          <w:lang w:eastAsia="en-US"/>
        </w:rPr>
        <w:t>SRC</w:t>
      </w:r>
      <w:proofErr w:type="spellEnd"/>
      <w:r w:rsidRPr="00DE475B">
        <w:rPr>
          <w:rFonts w:ascii="Arial" w:hAnsi="Arial" w:cs="Arial"/>
          <w:sz w:val="20"/>
          <w:szCs w:val="20"/>
          <w:lang w:eastAsia="en-US"/>
        </w:rPr>
        <w:t>, an increase of 15% on last year, leading to an increase of 37% in the number of books read (456,187 books).</w:t>
      </w:r>
    </w:p>
    <w:p w:rsidR="00D82B10" w:rsidRPr="00DE475B" w:rsidRDefault="00D82B10" w:rsidP="00D82B10">
      <w:pPr>
        <w:pStyle w:val="ListParagraph"/>
        <w:spacing w:after="120"/>
        <w:ind w:left="0"/>
        <w:rPr>
          <w:sz w:val="20"/>
        </w:rPr>
      </w:pPr>
      <w:proofErr w:type="spellStart"/>
      <w:r w:rsidRPr="00DE475B">
        <w:rPr>
          <w:sz w:val="20"/>
        </w:rPr>
        <w:t>SLQ’s</w:t>
      </w:r>
      <w:proofErr w:type="spellEnd"/>
      <w:r w:rsidRPr="00DE475B">
        <w:rPr>
          <w:sz w:val="20"/>
        </w:rPr>
        <w:t xml:space="preserve"> </w:t>
      </w:r>
      <w:r w:rsidR="00097AB4">
        <w:rPr>
          <w:sz w:val="20"/>
        </w:rPr>
        <w:t xml:space="preserve">onsite </w:t>
      </w:r>
      <w:r w:rsidRPr="00DE475B">
        <w:rPr>
          <w:sz w:val="20"/>
        </w:rPr>
        <w:t xml:space="preserve">Summer Holiday Program has historically started in January, but </w:t>
      </w:r>
      <w:r w:rsidR="00A96C97">
        <w:rPr>
          <w:sz w:val="20"/>
        </w:rPr>
        <w:t>in summer 2016–17</w:t>
      </w:r>
      <w:r w:rsidRPr="00DE475B">
        <w:rPr>
          <w:sz w:val="20"/>
        </w:rPr>
        <w:t xml:space="preserve"> was extended to five weeks to include the Christmas </w:t>
      </w:r>
      <w:r w:rsidR="00097AB4">
        <w:rPr>
          <w:sz w:val="20"/>
        </w:rPr>
        <w:t>/ New Year period. The result was</w:t>
      </w:r>
      <w:r w:rsidRPr="00DE475B">
        <w:rPr>
          <w:sz w:val="20"/>
        </w:rPr>
        <w:t xml:space="preserve"> </w:t>
      </w:r>
      <w:r w:rsidR="00097AB4">
        <w:rPr>
          <w:sz w:val="20"/>
        </w:rPr>
        <w:t xml:space="preserve">an </w:t>
      </w:r>
      <w:r w:rsidRPr="00DE475B">
        <w:rPr>
          <w:sz w:val="20"/>
        </w:rPr>
        <w:t xml:space="preserve">almost 100% increase in </w:t>
      </w:r>
      <w:r w:rsidR="00097AB4">
        <w:rPr>
          <w:sz w:val="20"/>
        </w:rPr>
        <w:t>access by</w:t>
      </w:r>
      <w:r w:rsidRPr="00DE475B">
        <w:rPr>
          <w:sz w:val="20"/>
        </w:rPr>
        <w:t xml:space="preserve"> children and families to SLQ programs </w:t>
      </w:r>
      <w:r w:rsidR="00097AB4">
        <w:rPr>
          <w:sz w:val="20"/>
        </w:rPr>
        <w:t>in</w:t>
      </w:r>
      <w:r w:rsidRPr="00DE475B">
        <w:rPr>
          <w:sz w:val="20"/>
        </w:rPr>
        <w:t xml:space="preserve"> this period. </w:t>
      </w:r>
      <w:r w:rsidR="00097AB4">
        <w:rPr>
          <w:sz w:val="20"/>
        </w:rPr>
        <w:t xml:space="preserve">Authors and illustrators helped to </w:t>
      </w:r>
      <w:r w:rsidRPr="00DE475B">
        <w:rPr>
          <w:sz w:val="20"/>
        </w:rPr>
        <w:t xml:space="preserve">design a program </w:t>
      </w:r>
      <w:r w:rsidR="00097AB4">
        <w:rPr>
          <w:sz w:val="20"/>
        </w:rPr>
        <w:t xml:space="preserve">in which </w:t>
      </w:r>
      <w:r w:rsidRPr="00DE475B">
        <w:rPr>
          <w:sz w:val="20"/>
        </w:rPr>
        <w:t>children and families share</w:t>
      </w:r>
      <w:r w:rsidR="00097AB4">
        <w:rPr>
          <w:sz w:val="20"/>
        </w:rPr>
        <w:t>d</w:t>
      </w:r>
      <w:r w:rsidRPr="00DE475B">
        <w:rPr>
          <w:sz w:val="20"/>
        </w:rPr>
        <w:t>, play</w:t>
      </w:r>
      <w:r w:rsidR="00097AB4">
        <w:rPr>
          <w:sz w:val="20"/>
        </w:rPr>
        <w:t>ed and mad</w:t>
      </w:r>
      <w:r w:rsidRPr="00DE475B">
        <w:rPr>
          <w:sz w:val="20"/>
        </w:rPr>
        <w:t>e connections</w:t>
      </w:r>
      <w:r w:rsidR="00097AB4">
        <w:rPr>
          <w:sz w:val="20"/>
        </w:rPr>
        <w:t xml:space="preserve"> with picture books through art-</w:t>
      </w:r>
      <w:r w:rsidRPr="00DE475B">
        <w:rPr>
          <w:sz w:val="20"/>
        </w:rPr>
        <w:t>based activities, music workshops, shared s</w:t>
      </w:r>
      <w:r w:rsidR="00097AB4">
        <w:rPr>
          <w:sz w:val="20"/>
        </w:rPr>
        <w:t>torytelling sessions and a book-</w:t>
      </w:r>
      <w:r w:rsidRPr="00DE475B">
        <w:rPr>
          <w:sz w:val="20"/>
        </w:rPr>
        <w:t xml:space="preserve">based family film festival. </w:t>
      </w:r>
    </w:p>
    <w:p w:rsidR="00E4365F" w:rsidRPr="00A96C97" w:rsidRDefault="00A96C97" w:rsidP="00D82B10">
      <w:pPr>
        <w:spacing w:after="120"/>
        <w:rPr>
          <w:rFonts w:ascii="Arial" w:hAnsi="Arial" w:cs="Arial"/>
          <w:spacing w:val="-2"/>
          <w:sz w:val="20"/>
          <w:szCs w:val="20"/>
        </w:rPr>
      </w:pPr>
      <w:r w:rsidRPr="00A96C97">
        <w:rPr>
          <w:rFonts w:ascii="Arial" w:hAnsi="Arial" w:cs="Arial"/>
          <w:spacing w:val="-2"/>
          <w:sz w:val="20"/>
          <w:szCs w:val="20"/>
        </w:rPr>
        <w:t>Additionally, t</w:t>
      </w:r>
      <w:r w:rsidR="00D82B10" w:rsidRPr="00A96C97">
        <w:rPr>
          <w:rFonts w:ascii="Arial" w:hAnsi="Arial" w:cs="Arial"/>
          <w:spacing w:val="-2"/>
          <w:sz w:val="20"/>
          <w:szCs w:val="20"/>
        </w:rPr>
        <w:t xml:space="preserve">he </w:t>
      </w:r>
      <w:r w:rsidR="00D82B10" w:rsidRPr="00A96C97">
        <w:rPr>
          <w:rFonts w:ascii="Arial" w:hAnsi="Arial" w:cs="Arial"/>
          <w:i/>
          <w:spacing w:val="-2"/>
          <w:sz w:val="20"/>
          <w:szCs w:val="20"/>
        </w:rPr>
        <w:t>Story Lab</w:t>
      </w:r>
      <w:r w:rsidR="00D82B10" w:rsidRPr="00A96C97">
        <w:rPr>
          <w:rFonts w:ascii="Arial" w:hAnsi="Arial" w:cs="Arial"/>
          <w:spacing w:val="-2"/>
          <w:sz w:val="20"/>
          <w:szCs w:val="20"/>
        </w:rPr>
        <w:t xml:space="preserve"> summer STEAM-based program </w:t>
      </w:r>
      <w:r w:rsidR="00A92D40" w:rsidRPr="00A96C97">
        <w:rPr>
          <w:rFonts w:ascii="Arial" w:hAnsi="Arial" w:cs="Arial"/>
          <w:spacing w:val="-2"/>
          <w:sz w:val="20"/>
          <w:szCs w:val="20"/>
        </w:rPr>
        <w:t>took place at SLQ venues</w:t>
      </w:r>
      <w:r w:rsidR="00D82B10" w:rsidRPr="00A96C97">
        <w:rPr>
          <w:rFonts w:ascii="Arial" w:hAnsi="Arial" w:cs="Arial"/>
          <w:spacing w:val="-2"/>
          <w:sz w:val="20"/>
          <w:szCs w:val="20"/>
        </w:rPr>
        <w:t xml:space="preserve"> over three weeks in December 2016 and January 2017. More than 330 children and young people aged 8</w:t>
      </w:r>
      <w:r w:rsidR="005147B1">
        <w:rPr>
          <w:rFonts w:ascii="Arial" w:hAnsi="Arial" w:cs="Arial"/>
          <w:spacing w:val="-2"/>
          <w:sz w:val="20"/>
          <w:szCs w:val="20"/>
        </w:rPr>
        <w:t xml:space="preserve"> to </w:t>
      </w:r>
      <w:r w:rsidR="00D82B10" w:rsidRPr="00A96C97">
        <w:rPr>
          <w:rFonts w:ascii="Arial" w:hAnsi="Arial" w:cs="Arial"/>
          <w:spacing w:val="-2"/>
          <w:sz w:val="20"/>
          <w:szCs w:val="20"/>
        </w:rPr>
        <w:t xml:space="preserve">17 participated, with workshops booked to 90% capacity. Delivered by professional artists and facilitators, the program </w:t>
      </w:r>
      <w:r w:rsidR="00BB5EED" w:rsidRPr="00A96C97">
        <w:rPr>
          <w:rFonts w:ascii="Arial" w:hAnsi="Arial" w:cs="Arial"/>
          <w:spacing w:val="-2"/>
          <w:sz w:val="20"/>
          <w:szCs w:val="20"/>
        </w:rPr>
        <w:t>explored</w:t>
      </w:r>
      <w:r w:rsidR="00011D91">
        <w:rPr>
          <w:rFonts w:ascii="Arial" w:hAnsi="Arial" w:cs="Arial"/>
          <w:spacing w:val="-2"/>
          <w:sz w:val="20"/>
          <w:szCs w:val="20"/>
        </w:rPr>
        <w:t xml:space="preserve"> engineering, </w:t>
      </w:r>
      <w:proofErr w:type="spellStart"/>
      <w:r w:rsidR="00011D91">
        <w:rPr>
          <w:rFonts w:ascii="Arial" w:hAnsi="Arial" w:cs="Arial"/>
          <w:spacing w:val="-2"/>
          <w:sz w:val="20"/>
          <w:szCs w:val="20"/>
        </w:rPr>
        <w:t>song</w:t>
      </w:r>
      <w:r w:rsidR="00D82B10" w:rsidRPr="00A96C97">
        <w:rPr>
          <w:rFonts w:ascii="Arial" w:hAnsi="Arial" w:cs="Arial"/>
          <w:spacing w:val="-2"/>
          <w:sz w:val="20"/>
          <w:szCs w:val="20"/>
        </w:rPr>
        <w:t>writing</w:t>
      </w:r>
      <w:proofErr w:type="spellEnd"/>
      <w:r w:rsidR="00D82B10" w:rsidRPr="00A96C97">
        <w:rPr>
          <w:rFonts w:ascii="Arial" w:hAnsi="Arial" w:cs="Arial"/>
          <w:spacing w:val="-2"/>
          <w:sz w:val="20"/>
          <w:szCs w:val="20"/>
        </w:rPr>
        <w:t xml:space="preserve">, storytelling, game development and various forms of design. </w:t>
      </w:r>
      <w:r w:rsidR="00BB5EED" w:rsidRPr="00A96C97">
        <w:rPr>
          <w:rFonts w:ascii="Arial" w:hAnsi="Arial" w:cs="Arial"/>
          <w:spacing w:val="-2"/>
          <w:sz w:val="20"/>
          <w:szCs w:val="20"/>
        </w:rPr>
        <w:t>P</w:t>
      </w:r>
      <w:r w:rsidR="00D82B10" w:rsidRPr="00A96C97">
        <w:rPr>
          <w:rFonts w:ascii="Arial" w:hAnsi="Arial" w:cs="Arial"/>
          <w:spacing w:val="-2"/>
          <w:sz w:val="20"/>
          <w:szCs w:val="20"/>
        </w:rPr>
        <w:t>articipants access</w:t>
      </w:r>
      <w:r w:rsidR="00BB5EED" w:rsidRPr="00A96C97">
        <w:rPr>
          <w:rFonts w:ascii="Arial" w:hAnsi="Arial" w:cs="Arial"/>
          <w:spacing w:val="-2"/>
          <w:sz w:val="20"/>
          <w:szCs w:val="20"/>
        </w:rPr>
        <w:t>ed</w:t>
      </w:r>
      <w:r w:rsidR="00D82B10" w:rsidRPr="00A96C97">
        <w:rPr>
          <w:rFonts w:ascii="Arial" w:hAnsi="Arial" w:cs="Arial"/>
          <w:spacing w:val="-2"/>
          <w:sz w:val="20"/>
          <w:szCs w:val="20"/>
        </w:rPr>
        <w:t xml:space="preserve"> technology such as virtual reality devices</w:t>
      </w:r>
      <w:r w:rsidR="00A92D40" w:rsidRPr="00A96C97">
        <w:rPr>
          <w:rFonts w:ascii="Arial" w:hAnsi="Arial" w:cs="Arial"/>
          <w:spacing w:val="-2"/>
          <w:sz w:val="20"/>
          <w:szCs w:val="20"/>
        </w:rPr>
        <w:t>,</w:t>
      </w:r>
      <w:r w:rsidR="00D82B10" w:rsidRPr="00A96C97">
        <w:rPr>
          <w:rFonts w:ascii="Arial" w:hAnsi="Arial" w:cs="Arial"/>
          <w:spacing w:val="-2"/>
          <w:sz w:val="20"/>
          <w:szCs w:val="20"/>
        </w:rPr>
        <w:t xml:space="preserve"> and laser and vinyl cutters.</w:t>
      </w:r>
    </w:p>
    <w:p w:rsidR="00E4365F" w:rsidRPr="00973A71" w:rsidRDefault="003E2C5C" w:rsidP="00973A71">
      <w:pPr>
        <w:pStyle w:val="ARheading3"/>
        <w:tabs>
          <w:tab w:val="left" w:pos="851"/>
        </w:tabs>
        <w:spacing w:after="120"/>
        <w:rPr>
          <w:color w:val="808080"/>
        </w:rPr>
      </w:pPr>
      <w:r w:rsidRPr="00973A71">
        <w:rPr>
          <w:color w:val="808080"/>
        </w:rPr>
        <w:t>Generate n</w:t>
      </w:r>
      <w:r w:rsidR="00E4365F" w:rsidRPr="00973A71">
        <w:rPr>
          <w:color w:val="808080"/>
        </w:rPr>
        <w:t>ew revenue</w:t>
      </w:r>
      <w:r w:rsidRPr="00973A71">
        <w:rPr>
          <w:color w:val="808080"/>
        </w:rPr>
        <w:t xml:space="preserve"> sources</w:t>
      </w:r>
    </w:p>
    <w:p w:rsidR="00973A71" w:rsidRPr="00973A71" w:rsidRDefault="00973A71" w:rsidP="00973A71">
      <w:pPr>
        <w:pStyle w:val="ARText"/>
        <w:tabs>
          <w:tab w:val="left" w:pos="2008"/>
          <w:tab w:val="left" w:pos="2084"/>
        </w:tabs>
        <w:spacing w:before="0"/>
        <w:rPr>
          <w:rFonts w:eastAsia="Times New Roman"/>
          <w:b/>
          <w:bCs w:val="0"/>
          <w:color w:val="000000"/>
          <w:szCs w:val="20"/>
        </w:rPr>
      </w:pPr>
      <w:r w:rsidRPr="00973A71">
        <w:rPr>
          <w:rFonts w:eastAsia="Times New Roman"/>
          <w:b/>
          <w:bCs w:val="0"/>
          <w:color w:val="000000"/>
          <w:szCs w:val="20"/>
        </w:rPr>
        <w:t>Queensland Library Foundation</w:t>
      </w:r>
    </w:p>
    <w:p w:rsidR="00D82B10" w:rsidRPr="00DE475B" w:rsidRDefault="00D82B10" w:rsidP="00D82B10">
      <w:pPr>
        <w:pStyle w:val="ARText"/>
        <w:spacing w:before="0" w:after="120"/>
        <w:rPr>
          <w:b/>
        </w:rPr>
      </w:pPr>
      <w:r w:rsidRPr="00DE475B">
        <w:rPr>
          <w:lang w:eastAsia="en-US"/>
        </w:rPr>
        <w:t xml:space="preserve">Queensland Library Foundation has </w:t>
      </w:r>
      <w:r w:rsidR="00C5332E">
        <w:rPr>
          <w:lang w:eastAsia="en-US"/>
        </w:rPr>
        <w:t>more than</w:t>
      </w:r>
      <w:r w:rsidRPr="00DE475B">
        <w:rPr>
          <w:lang w:eastAsia="en-US"/>
        </w:rPr>
        <w:t xml:space="preserve"> 250 active donors and works with these donors to build, maintain and enhance </w:t>
      </w:r>
      <w:proofErr w:type="spellStart"/>
      <w:r w:rsidRPr="00DE475B">
        <w:rPr>
          <w:lang w:eastAsia="en-US"/>
        </w:rPr>
        <w:t>SLQ’s</w:t>
      </w:r>
      <w:proofErr w:type="spellEnd"/>
      <w:r w:rsidRPr="00DE475B">
        <w:rPr>
          <w:lang w:eastAsia="en-US"/>
        </w:rPr>
        <w:t xml:space="preserve"> collections, services and facilities through general gi</w:t>
      </w:r>
      <w:r w:rsidR="001C2BCB">
        <w:rPr>
          <w:lang w:eastAsia="en-US"/>
        </w:rPr>
        <w:t>ving and corporate sponsorship.</w:t>
      </w:r>
    </w:p>
    <w:p w:rsidR="00D82B10" w:rsidRPr="00DE475B" w:rsidRDefault="00D82B10" w:rsidP="00D82B10">
      <w:pPr>
        <w:pStyle w:val="ARText"/>
        <w:spacing w:before="0" w:after="120"/>
        <w:rPr>
          <w:lang w:eastAsia="en-US"/>
        </w:rPr>
      </w:pPr>
      <w:r w:rsidRPr="00DE475B">
        <w:rPr>
          <w:lang w:eastAsia="en-US"/>
        </w:rPr>
        <w:t>The Fou</w:t>
      </w:r>
      <w:r w:rsidR="006E7ED3">
        <w:rPr>
          <w:lang w:eastAsia="en-US"/>
        </w:rPr>
        <w:t>ndation secured approximately $9</w:t>
      </w:r>
      <w:r w:rsidRPr="00DE475B">
        <w:rPr>
          <w:lang w:eastAsia="en-US"/>
        </w:rPr>
        <w:t>0,000 through general giving to its end-of-year and end-of-financial year campaigns</w:t>
      </w:r>
      <w:r w:rsidR="00784670">
        <w:rPr>
          <w:lang w:eastAsia="en-US"/>
        </w:rPr>
        <w:t>,</w:t>
      </w:r>
      <w:r w:rsidRPr="00DE475B">
        <w:rPr>
          <w:lang w:eastAsia="en-US"/>
        </w:rPr>
        <w:t xml:space="preserve"> and benefited from the support of major </w:t>
      </w:r>
      <w:r w:rsidRPr="00DE475B">
        <w:rPr>
          <w:lang w:eastAsia="en-US"/>
        </w:rPr>
        <w:lastRenderedPageBreak/>
        <w:t>donors, private trusts and foundations for key projects.</w:t>
      </w:r>
      <w:r w:rsidR="00F71D56">
        <w:rPr>
          <w:lang w:eastAsia="en-US"/>
        </w:rPr>
        <w:t xml:space="preserve"> </w:t>
      </w:r>
      <w:r w:rsidRPr="00DE475B">
        <w:rPr>
          <w:lang w:eastAsia="en-US"/>
        </w:rPr>
        <w:t xml:space="preserve">Membership </w:t>
      </w:r>
      <w:proofErr w:type="gramStart"/>
      <w:r w:rsidRPr="00DE475B">
        <w:rPr>
          <w:lang w:eastAsia="en-US"/>
        </w:rPr>
        <w:t>of the President’s 1</w:t>
      </w:r>
      <w:r w:rsidR="006E7ED3">
        <w:rPr>
          <w:lang w:eastAsia="en-US"/>
        </w:rPr>
        <w:t>00 Circle</w:t>
      </w:r>
      <w:proofErr w:type="gramEnd"/>
      <w:r w:rsidR="006E7ED3">
        <w:rPr>
          <w:lang w:eastAsia="en-US"/>
        </w:rPr>
        <w:t xml:space="preserve"> currently stands at 53</w:t>
      </w:r>
      <w:r w:rsidRPr="00DE475B">
        <w:rPr>
          <w:lang w:eastAsia="en-US"/>
        </w:rPr>
        <w:t>, with each donor committing to a</w:t>
      </w:r>
      <w:r w:rsidR="004D58AF">
        <w:rPr>
          <w:lang w:eastAsia="en-US"/>
        </w:rPr>
        <w:t>nnual $1</w:t>
      </w:r>
      <w:r w:rsidR="00784670">
        <w:rPr>
          <w:lang w:eastAsia="en-US"/>
        </w:rPr>
        <w:t>,</w:t>
      </w:r>
      <w:r w:rsidR="004D58AF">
        <w:rPr>
          <w:lang w:eastAsia="en-US"/>
        </w:rPr>
        <w:t>000 donations</w:t>
      </w:r>
      <w:r w:rsidR="003A76BA">
        <w:rPr>
          <w:lang w:eastAsia="en-US"/>
        </w:rPr>
        <w:t xml:space="preserve"> over three years</w:t>
      </w:r>
      <w:r w:rsidR="004D58AF">
        <w:rPr>
          <w:lang w:eastAsia="en-US"/>
        </w:rPr>
        <w:t>. The 2017–</w:t>
      </w:r>
      <w:r w:rsidRPr="00DE475B">
        <w:rPr>
          <w:lang w:eastAsia="en-US"/>
        </w:rPr>
        <w:t xml:space="preserve">18 </w:t>
      </w:r>
      <w:proofErr w:type="gramStart"/>
      <w:r w:rsidRPr="00DE475B">
        <w:rPr>
          <w:lang w:eastAsia="en-US"/>
        </w:rPr>
        <w:t>goal</w:t>
      </w:r>
      <w:proofErr w:type="gramEnd"/>
      <w:r w:rsidRPr="00DE475B">
        <w:rPr>
          <w:lang w:eastAsia="en-US"/>
        </w:rPr>
        <w:t xml:space="preserve"> is to raise this membership to 85 donors.</w:t>
      </w:r>
    </w:p>
    <w:p w:rsidR="00D82B10" w:rsidRPr="00DE475B" w:rsidRDefault="00D82B10" w:rsidP="00D82B10">
      <w:pPr>
        <w:pStyle w:val="ARText"/>
        <w:spacing w:before="0" w:after="120"/>
        <w:rPr>
          <w:lang w:eastAsia="en-US"/>
        </w:rPr>
      </w:pPr>
      <w:r w:rsidRPr="00DE475B">
        <w:rPr>
          <w:lang w:eastAsia="en-US"/>
        </w:rPr>
        <w:t xml:space="preserve">To </w:t>
      </w:r>
      <w:r w:rsidR="004D58AF">
        <w:rPr>
          <w:lang w:eastAsia="en-US"/>
        </w:rPr>
        <w:t>demonstrate</w:t>
      </w:r>
      <w:r w:rsidRPr="00DE475B">
        <w:rPr>
          <w:lang w:eastAsia="en-US"/>
        </w:rPr>
        <w:t xml:space="preserve"> how donatio</w:t>
      </w:r>
      <w:r w:rsidR="004F7743">
        <w:rPr>
          <w:lang w:eastAsia="en-US"/>
        </w:rPr>
        <w:t>ns are used and the need for on</w:t>
      </w:r>
      <w:r w:rsidRPr="00DE475B">
        <w:rPr>
          <w:lang w:eastAsia="en-US"/>
        </w:rPr>
        <w:t xml:space="preserve">going support, donors are invited to </w:t>
      </w:r>
      <w:r w:rsidR="001C1D69">
        <w:rPr>
          <w:lang w:eastAsia="en-US"/>
        </w:rPr>
        <w:t>special events on topics of interest.</w:t>
      </w:r>
      <w:r w:rsidRPr="00DE475B">
        <w:rPr>
          <w:lang w:eastAsia="en-US"/>
        </w:rPr>
        <w:t xml:space="preserve"> In 2016</w:t>
      </w:r>
      <w:r w:rsidR="004D58AF">
        <w:rPr>
          <w:lang w:eastAsia="en-US"/>
        </w:rPr>
        <w:t>–</w:t>
      </w:r>
      <w:r w:rsidRPr="00DE475B">
        <w:rPr>
          <w:lang w:eastAsia="en-US"/>
        </w:rPr>
        <w:t>17 Dr Madonna Grehan captivated donors with her John Oxley Fellowship research into the C</w:t>
      </w:r>
      <w:r w:rsidR="004F7743">
        <w:rPr>
          <w:lang w:eastAsia="en-US"/>
        </w:rPr>
        <w:t>entaur Memorial Fund for Nurses,</w:t>
      </w:r>
      <w:r w:rsidRPr="00DE475B">
        <w:rPr>
          <w:lang w:eastAsia="en-US"/>
        </w:rPr>
        <w:t xml:space="preserve"> historian Bill </w:t>
      </w:r>
      <w:proofErr w:type="spellStart"/>
      <w:r w:rsidRPr="00DE475B">
        <w:rPr>
          <w:lang w:eastAsia="en-US"/>
        </w:rPr>
        <w:t>Kitson</w:t>
      </w:r>
      <w:proofErr w:type="spellEnd"/>
      <w:r w:rsidRPr="00DE475B">
        <w:rPr>
          <w:lang w:eastAsia="en-US"/>
        </w:rPr>
        <w:t xml:space="preserve"> presented an insight into the challenges faced by 19</w:t>
      </w:r>
      <w:r w:rsidRPr="00DE475B">
        <w:rPr>
          <w:vertAlign w:val="superscript"/>
          <w:lang w:eastAsia="en-US"/>
        </w:rPr>
        <w:t>th</w:t>
      </w:r>
      <w:r w:rsidRPr="00DE475B">
        <w:rPr>
          <w:lang w:eastAsia="en-US"/>
        </w:rPr>
        <w:t xml:space="preserve"> century marine surveyors along the Queensland Coast, and author Steve </w:t>
      </w:r>
      <w:proofErr w:type="spellStart"/>
      <w:r w:rsidR="00BE34AA">
        <w:rPr>
          <w:lang w:eastAsia="en-US"/>
        </w:rPr>
        <w:t>Haddan</w:t>
      </w:r>
      <w:proofErr w:type="spellEnd"/>
      <w:r w:rsidR="00BE34AA">
        <w:rPr>
          <w:lang w:eastAsia="en-US"/>
        </w:rPr>
        <w:t xml:space="preserve"> detailed the history of rugby l</w:t>
      </w:r>
      <w:r w:rsidRPr="00DE475B">
        <w:rPr>
          <w:lang w:eastAsia="en-US"/>
        </w:rPr>
        <w:t>eague in Brisbane</w:t>
      </w:r>
      <w:r w:rsidR="001C1D69">
        <w:rPr>
          <w:lang w:eastAsia="en-US"/>
        </w:rPr>
        <w:t>,</w:t>
      </w:r>
      <w:r w:rsidRPr="00DE475B">
        <w:rPr>
          <w:lang w:eastAsia="en-US"/>
        </w:rPr>
        <w:t xml:space="preserve"> with special guest Wally Lewis. </w:t>
      </w:r>
    </w:p>
    <w:p w:rsidR="00D82B10" w:rsidRPr="00DE475B" w:rsidRDefault="00EA44E7" w:rsidP="00EA44E7">
      <w:pPr>
        <w:spacing w:after="120"/>
        <w:rPr>
          <w:lang w:eastAsia="en-US"/>
        </w:rPr>
      </w:pPr>
      <w:r>
        <w:rPr>
          <w:rFonts w:ascii="Arial" w:hAnsi="Arial" w:cs="Arial"/>
          <w:sz w:val="20"/>
          <w:szCs w:val="20"/>
        </w:rPr>
        <w:t>The</w:t>
      </w:r>
      <w:r w:rsidR="00D82B10" w:rsidRPr="00DE475B">
        <w:rPr>
          <w:rFonts w:ascii="Arial" w:hAnsi="Arial" w:cs="Arial"/>
          <w:sz w:val="20"/>
          <w:szCs w:val="20"/>
        </w:rPr>
        <w:t xml:space="preserve"> Foundation </w:t>
      </w:r>
      <w:r>
        <w:rPr>
          <w:rFonts w:ascii="Arial" w:hAnsi="Arial" w:cs="Arial"/>
          <w:sz w:val="20"/>
          <w:szCs w:val="20"/>
        </w:rPr>
        <w:t xml:space="preserve">also </w:t>
      </w:r>
      <w:r w:rsidRPr="00DE475B">
        <w:rPr>
          <w:rFonts w:ascii="Arial" w:hAnsi="Arial" w:cs="Arial"/>
          <w:sz w:val="20"/>
          <w:szCs w:val="20"/>
        </w:rPr>
        <w:t>identif</w:t>
      </w:r>
      <w:r w:rsidR="006E7ED3">
        <w:rPr>
          <w:rFonts w:ascii="Arial" w:hAnsi="Arial" w:cs="Arial"/>
          <w:sz w:val="20"/>
          <w:szCs w:val="20"/>
        </w:rPr>
        <w:t>ied</w:t>
      </w:r>
      <w:r w:rsidR="00D82B10" w:rsidRPr="00DE475B">
        <w:rPr>
          <w:rFonts w:ascii="Arial" w:hAnsi="Arial" w:cs="Arial"/>
          <w:sz w:val="20"/>
          <w:szCs w:val="20"/>
        </w:rPr>
        <w:t xml:space="preserve"> funding partners for multi-year projects</w:t>
      </w:r>
      <w:r>
        <w:rPr>
          <w:rFonts w:ascii="Arial" w:hAnsi="Arial" w:cs="Arial"/>
          <w:sz w:val="20"/>
          <w:szCs w:val="20"/>
        </w:rPr>
        <w:t>,</w:t>
      </w:r>
      <w:r w:rsidR="00D82B10" w:rsidRPr="00DE475B">
        <w:rPr>
          <w:rFonts w:ascii="Arial" w:hAnsi="Arial" w:cs="Arial"/>
          <w:sz w:val="20"/>
          <w:szCs w:val="20"/>
        </w:rPr>
        <w:t xml:space="preserve"> to build sustainability and enable the community to benefit over a longer period of time.</w:t>
      </w:r>
      <w:r>
        <w:rPr>
          <w:rFonts w:ascii="Arial" w:hAnsi="Arial" w:cs="Arial"/>
          <w:sz w:val="20"/>
          <w:szCs w:val="20"/>
        </w:rPr>
        <w:t xml:space="preserve"> For instance, p</w:t>
      </w:r>
      <w:r w:rsidR="00D82B10" w:rsidRPr="00EA44E7">
        <w:rPr>
          <w:rFonts w:ascii="Arial" w:hAnsi="Arial" w:cs="Arial"/>
          <w:sz w:val="20"/>
          <w:szCs w:val="20"/>
        </w:rPr>
        <w:t xml:space="preserve">roject funding was secured for </w:t>
      </w:r>
      <w:r w:rsidR="00A91472">
        <w:rPr>
          <w:rFonts w:ascii="Arial" w:hAnsi="Arial" w:cs="Arial"/>
          <w:sz w:val="20"/>
          <w:szCs w:val="20"/>
        </w:rPr>
        <w:t xml:space="preserve">the </w:t>
      </w:r>
      <w:r w:rsidR="00D82B10" w:rsidRPr="00EA44E7">
        <w:rPr>
          <w:rFonts w:ascii="Arial" w:hAnsi="Arial" w:cs="Arial"/>
          <w:sz w:val="20"/>
          <w:szCs w:val="20"/>
        </w:rPr>
        <w:t>Fabrication Laboratory</w:t>
      </w:r>
      <w:r w:rsidR="00A91472">
        <w:rPr>
          <w:rFonts w:ascii="Arial" w:hAnsi="Arial" w:cs="Arial"/>
          <w:sz w:val="20"/>
          <w:szCs w:val="20"/>
        </w:rPr>
        <w:t xml:space="preserve"> at The Edge</w:t>
      </w:r>
      <w:r w:rsidR="00D82B10" w:rsidRPr="00EA44E7">
        <w:rPr>
          <w:rFonts w:ascii="Arial" w:hAnsi="Arial" w:cs="Arial"/>
          <w:sz w:val="20"/>
          <w:szCs w:val="20"/>
        </w:rPr>
        <w:t xml:space="preserve">, digital literacy programs for marginalised communities, </w:t>
      </w:r>
      <w:proofErr w:type="spellStart"/>
      <w:r w:rsidR="00D82B10" w:rsidRPr="00EA44E7">
        <w:rPr>
          <w:rFonts w:ascii="Arial" w:hAnsi="Arial" w:cs="Arial"/>
          <w:sz w:val="20"/>
          <w:szCs w:val="20"/>
        </w:rPr>
        <w:t>SLQ’s</w:t>
      </w:r>
      <w:proofErr w:type="spellEnd"/>
      <w:r w:rsidR="00D82B10" w:rsidRPr="00EA44E7">
        <w:rPr>
          <w:rFonts w:ascii="Arial" w:hAnsi="Arial" w:cs="Arial"/>
          <w:sz w:val="20"/>
          <w:szCs w:val="20"/>
        </w:rPr>
        <w:t xml:space="preserve"> Fun Palace which engages children with science, technology, engineering, art and math, and the enhancement and conservation of </w:t>
      </w:r>
      <w:proofErr w:type="spellStart"/>
      <w:r w:rsidR="00D82B10" w:rsidRPr="00EA44E7">
        <w:rPr>
          <w:rFonts w:ascii="Arial" w:hAnsi="Arial" w:cs="Arial"/>
          <w:sz w:val="20"/>
          <w:szCs w:val="20"/>
        </w:rPr>
        <w:t>SLQ’s</w:t>
      </w:r>
      <w:proofErr w:type="spellEnd"/>
      <w:r w:rsidR="00D82B10" w:rsidRPr="00EA44E7">
        <w:rPr>
          <w:rFonts w:ascii="Arial" w:hAnsi="Arial" w:cs="Arial"/>
          <w:sz w:val="20"/>
          <w:szCs w:val="20"/>
        </w:rPr>
        <w:t xml:space="preserve"> contemporary music collection. </w:t>
      </w:r>
      <w:r w:rsidR="0064650E" w:rsidRPr="00EA44E7">
        <w:rPr>
          <w:rFonts w:ascii="Arial" w:hAnsi="Arial" w:cs="Arial"/>
          <w:sz w:val="20"/>
          <w:szCs w:val="20"/>
        </w:rPr>
        <w:t>S</w:t>
      </w:r>
      <w:r w:rsidR="00D82B10" w:rsidRPr="00EA44E7">
        <w:rPr>
          <w:rFonts w:ascii="Arial" w:hAnsi="Arial" w:cs="Arial"/>
          <w:sz w:val="20"/>
          <w:szCs w:val="20"/>
        </w:rPr>
        <w:t xml:space="preserve">upport was also provided for the Queensland Literary Awards and </w:t>
      </w:r>
      <w:proofErr w:type="spellStart"/>
      <w:r w:rsidR="00D82B10" w:rsidRPr="00EA44E7">
        <w:rPr>
          <w:rFonts w:ascii="Arial" w:hAnsi="Arial" w:cs="Arial"/>
          <w:i/>
          <w:sz w:val="20"/>
          <w:szCs w:val="20"/>
        </w:rPr>
        <w:t>black&amp;write</w:t>
      </w:r>
      <w:proofErr w:type="spellEnd"/>
      <w:r w:rsidR="00D82B10" w:rsidRPr="00EA44E7">
        <w:rPr>
          <w:rFonts w:ascii="Arial" w:hAnsi="Arial" w:cs="Arial"/>
          <w:i/>
          <w:sz w:val="20"/>
          <w:szCs w:val="20"/>
        </w:rPr>
        <w:t>!</w:t>
      </w:r>
      <w:r w:rsidR="00D82B10" w:rsidRPr="00EA44E7">
        <w:rPr>
          <w:rFonts w:ascii="Arial" w:hAnsi="Arial" w:cs="Arial"/>
          <w:sz w:val="20"/>
          <w:szCs w:val="20"/>
        </w:rPr>
        <w:t xml:space="preserve"> </w:t>
      </w:r>
      <w:proofErr w:type="gramStart"/>
      <w:r w:rsidR="00D82B10" w:rsidRPr="00EA44E7">
        <w:rPr>
          <w:rFonts w:ascii="Arial" w:hAnsi="Arial" w:cs="Arial"/>
          <w:sz w:val="20"/>
          <w:szCs w:val="20"/>
        </w:rPr>
        <w:t>Indigenous writing and editing program.</w:t>
      </w:r>
      <w:proofErr w:type="gramEnd"/>
    </w:p>
    <w:p w:rsidR="00973A71" w:rsidRPr="00973A71" w:rsidRDefault="00973A71" w:rsidP="00973A71">
      <w:pPr>
        <w:pStyle w:val="ARText"/>
        <w:tabs>
          <w:tab w:val="left" w:pos="2008"/>
          <w:tab w:val="left" w:pos="2084"/>
        </w:tabs>
        <w:spacing w:before="0"/>
        <w:rPr>
          <w:rFonts w:eastAsia="Times New Roman"/>
          <w:b/>
          <w:bCs w:val="0"/>
          <w:color w:val="000000"/>
          <w:szCs w:val="20"/>
        </w:rPr>
      </w:pPr>
      <w:r w:rsidRPr="00973A71">
        <w:rPr>
          <w:rFonts w:eastAsia="Times New Roman"/>
          <w:b/>
          <w:bCs w:val="0"/>
          <w:color w:val="000000"/>
          <w:szCs w:val="20"/>
        </w:rPr>
        <w:t>Alternat</w:t>
      </w:r>
      <w:r w:rsidR="00D33585">
        <w:rPr>
          <w:rFonts w:eastAsia="Times New Roman"/>
          <w:b/>
          <w:bCs w:val="0"/>
          <w:color w:val="000000"/>
          <w:szCs w:val="20"/>
        </w:rPr>
        <w:t>iv</w:t>
      </w:r>
      <w:r w:rsidRPr="00973A71">
        <w:rPr>
          <w:rFonts w:eastAsia="Times New Roman"/>
          <w:b/>
          <w:bCs w:val="0"/>
          <w:color w:val="000000"/>
          <w:szCs w:val="20"/>
        </w:rPr>
        <w:t>e funding options</w:t>
      </w:r>
    </w:p>
    <w:p w:rsidR="00EA44E7" w:rsidRDefault="00EA44E7" w:rsidP="00EA44E7">
      <w:pPr>
        <w:pStyle w:val="ARText"/>
        <w:tabs>
          <w:tab w:val="left" w:pos="317"/>
        </w:tabs>
        <w:spacing w:before="0" w:after="120"/>
        <w:rPr>
          <w:color w:val="1F497D"/>
        </w:rPr>
      </w:pPr>
      <w:r w:rsidRPr="00DE475B">
        <w:rPr>
          <w:szCs w:val="20"/>
        </w:rPr>
        <w:t xml:space="preserve">SLQ works with an array of organisations to ensure it can deliver effectively to diverse audiences across Queensland. Partners offer funding or in-kind support to deliver events and activities. </w:t>
      </w:r>
      <w:r w:rsidRPr="00DE475B">
        <w:t xml:space="preserve">Partnerships at SLQ represent </w:t>
      </w:r>
      <w:r w:rsidR="00491FB8">
        <w:t>an increase of an estimated $1 m</w:t>
      </w:r>
      <w:r w:rsidRPr="00DE475B">
        <w:t xml:space="preserve">illion in-kind value to projects and initiatives delivered with partners. In 2016–17 SLQ worked on more than 70 partnerships, continuing to work closely with existing partners including </w:t>
      </w:r>
      <w:r>
        <w:t xml:space="preserve">the </w:t>
      </w:r>
      <w:r w:rsidRPr="00DE475B">
        <w:t>ABC</w:t>
      </w:r>
      <w:r>
        <w:t>,</w:t>
      </w:r>
      <w:r w:rsidRPr="00DE475B">
        <w:t xml:space="preserve"> Queensland Writers Centre, Brisbane Writers Festival, </w:t>
      </w:r>
      <w:proofErr w:type="spellStart"/>
      <w:r w:rsidRPr="00DE475B">
        <w:t>QUT</w:t>
      </w:r>
      <w:proofErr w:type="spellEnd"/>
      <w:r w:rsidRPr="00DE475B">
        <w:t xml:space="preserve"> Business School, </w:t>
      </w:r>
      <w:proofErr w:type="gramStart"/>
      <w:r w:rsidRPr="00DE475B">
        <w:t>School</w:t>
      </w:r>
      <w:proofErr w:type="gramEnd"/>
      <w:r w:rsidRPr="00DE475B">
        <w:t xml:space="preserve"> of Hard Knocks, Access Arts, Autism Queensland and Little Tokyo Two. New partners in 2016–17 included IT</w:t>
      </w:r>
      <w:r w:rsidR="00C7045D">
        <w:t xml:space="preserve"> </w:t>
      </w:r>
      <w:r w:rsidR="00C7045D" w:rsidRPr="00DE475B">
        <w:t>etc</w:t>
      </w:r>
      <w:r w:rsidR="00C7045D">
        <w:t>.</w:t>
      </w:r>
      <w:r w:rsidRPr="00DE475B">
        <w:t>, Open Data Institute of Queensland, MDA</w:t>
      </w:r>
      <w:r w:rsidR="00495601">
        <w:t xml:space="preserve"> Ltd</w:t>
      </w:r>
      <w:r w:rsidRPr="00DE475B">
        <w:t>, Children and Families Commission, Google and Museums Galleries Australia</w:t>
      </w:r>
      <w:r w:rsidRPr="00DE475B">
        <w:rPr>
          <w:color w:val="1F497D"/>
        </w:rPr>
        <w:t>.</w:t>
      </w:r>
    </w:p>
    <w:p w:rsidR="005F5CB9" w:rsidRDefault="005F5CB9" w:rsidP="005F5CB9">
      <w:pPr>
        <w:widowControl w:val="0"/>
        <w:spacing w:after="120"/>
        <w:rPr>
          <w:rFonts w:ascii="Arial" w:hAnsi="Arial" w:cs="Arial"/>
          <w:color w:val="auto"/>
          <w:sz w:val="20"/>
          <w:szCs w:val="20"/>
          <w:lang w:eastAsia="en-AU"/>
        </w:rPr>
      </w:pPr>
      <w:r w:rsidRPr="00DE475B">
        <w:rPr>
          <w:rFonts w:ascii="Arial" w:hAnsi="Arial" w:cs="Arial"/>
          <w:sz w:val="20"/>
          <w:szCs w:val="20"/>
        </w:rPr>
        <w:t>SLQ</w:t>
      </w:r>
      <w:r w:rsidRPr="00DE475B">
        <w:rPr>
          <w:rFonts w:ascii="Arial" w:hAnsi="Arial" w:cs="Arial"/>
          <w:color w:val="auto"/>
          <w:sz w:val="20"/>
          <w:szCs w:val="20"/>
          <w:lang w:eastAsia="en-AU"/>
        </w:rPr>
        <w:t xml:space="preserve"> welcomes alternat</w:t>
      </w:r>
      <w:r w:rsidR="007E3631">
        <w:rPr>
          <w:rFonts w:ascii="Arial" w:hAnsi="Arial" w:cs="Arial"/>
          <w:color w:val="auto"/>
          <w:sz w:val="20"/>
          <w:szCs w:val="20"/>
          <w:lang w:eastAsia="en-AU"/>
        </w:rPr>
        <w:t>iv</w:t>
      </w:r>
      <w:r w:rsidRPr="00DE475B">
        <w:rPr>
          <w:rFonts w:ascii="Arial" w:hAnsi="Arial" w:cs="Arial"/>
          <w:color w:val="auto"/>
          <w:sz w:val="20"/>
          <w:szCs w:val="20"/>
          <w:lang w:eastAsia="en-AU"/>
        </w:rPr>
        <w:t>e funding options</w:t>
      </w:r>
      <w:r w:rsidRPr="00DE475B">
        <w:rPr>
          <w:rFonts w:ascii="Arial" w:hAnsi="Arial" w:cs="Arial"/>
          <w:sz w:val="20"/>
          <w:szCs w:val="20"/>
          <w:lang w:eastAsia="en-AU"/>
        </w:rPr>
        <w:t>,</w:t>
      </w:r>
      <w:r w:rsidRPr="00DE475B">
        <w:rPr>
          <w:rFonts w:ascii="Arial" w:hAnsi="Arial" w:cs="Arial"/>
          <w:color w:val="auto"/>
          <w:sz w:val="20"/>
          <w:szCs w:val="20"/>
          <w:lang w:eastAsia="en-AU"/>
        </w:rPr>
        <w:t xml:space="preserve"> and was delighted to be approached by CSIRO in late 2016 with the offer</w:t>
      </w:r>
      <w:r w:rsidR="001C159D">
        <w:rPr>
          <w:rFonts w:ascii="Arial" w:hAnsi="Arial" w:cs="Arial"/>
          <w:color w:val="auto"/>
          <w:sz w:val="20"/>
          <w:szCs w:val="20"/>
          <w:lang w:eastAsia="en-AU"/>
        </w:rPr>
        <w:t xml:space="preserve"> of 150 Samsung Galaxy Tab Pro </w:t>
      </w:r>
      <w:proofErr w:type="spellStart"/>
      <w:r w:rsidR="001C159D">
        <w:rPr>
          <w:rFonts w:ascii="Arial" w:hAnsi="Arial" w:cs="Arial"/>
          <w:color w:val="auto"/>
          <w:sz w:val="20"/>
          <w:szCs w:val="20"/>
          <w:lang w:eastAsia="en-AU"/>
        </w:rPr>
        <w:t>w</w:t>
      </w:r>
      <w:r w:rsidRPr="00DE475B">
        <w:rPr>
          <w:rFonts w:ascii="Arial" w:hAnsi="Arial" w:cs="Arial"/>
          <w:color w:val="auto"/>
          <w:sz w:val="20"/>
          <w:szCs w:val="20"/>
          <w:lang w:eastAsia="en-AU"/>
        </w:rPr>
        <w:t>i</w:t>
      </w:r>
      <w:r w:rsidRPr="00DE475B">
        <w:rPr>
          <w:rFonts w:ascii="Arial" w:hAnsi="Arial" w:cs="Arial"/>
          <w:sz w:val="20"/>
          <w:szCs w:val="20"/>
          <w:lang w:eastAsia="en-AU"/>
        </w:rPr>
        <w:t>-</w:t>
      </w:r>
      <w:r w:rsidR="001C159D">
        <w:rPr>
          <w:rFonts w:ascii="Arial" w:hAnsi="Arial" w:cs="Arial"/>
          <w:color w:val="auto"/>
          <w:sz w:val="20"/>
          <w:szCs w:val="20"/>
          <w:lang w:eastAsia="en-AU"/>
        </w:rPr>
        <w:t>f</w:t>
      </w:r>
      <w:r w:rsidRPr="00DE475B">
        <w:rPr>
          <w:rFonts w:ascii="Arial" w:hAnsi="Arial" w:cs="Arial"/>
          <w:color w:val="auto"/>
          <w:sz w:val="20"/>
          <w:szCs w:val="20"/>
          <w:lang w:eastAsia="en-AU"/>
        </w:rPr>
        <w:t>i</w:t>
      </w:r>
      <w:proofErr w:type="spellEnd"/>
      <w:r w:rsidRPr="00DE475B">
        <w:rPr>
          <w:rFonts w:ascii="Arial" w:hAnsi="Arial" w:cs="Arial"/>
          <w:color w:val="auto"/>
          <w:sz w:val="20"/>
          <w:szCs w:val="20"/>
          <w:lang w:eastAsia="en-AU"/>
        </w:rPr>
        <w:t xml:space="preserve"> enabled tablets. The mobile devices are to be provided to public libraries and </w:t>
      </w:r>
      <w:proofErr w:type="spellStart"/>
      <w:r w:rsidRPr="00DE475B">
        <w:rPr>
          <w:rFonts w:ascii="Arial" w:hAnsi="Arial" w:cs="Arial"/>
          <w:color w:val="auto"/>
          <w:sz w:val="20"/>
          <w:szCs w:val="20"/>
          <w:lang w:eastAsia="en-AU"/>
        </w:rPr>
        <w:t>IKCs</w:t>
      </w:r>
      <w:proofErr w:type="spellEnd"/>
      <w:r w:rsidRPr="00DE475B">
        <w:rPr>
          <w:rFonts w:ascii="Arial" w:hAnsi="Arial" w:cs="Arial"/>
          <w:color w:val="auto"/>
          <w:sz w:val="20"/>
          <w:szCs w:val="20"/>
          <w:lang w:eastAsia="en-AU"/>
        </w:rPr>
        <w:t xml:space="preserve"> through </w:t>
      </w:r>
      <w:r w:rsidRPr="00DE475B">
        <w:rPr>
          <w:rFonts w:ascii="Arial" w:hAnsi="Arial" w:cs="Arial"/>
          <w:color w:val="auto"/>
          <w:sz w:val="20"/>
          <w:szCs w:val="20"/>
          <w:lang w:eastAsia="en-AU"/>
        </w:rPr>
        <w:lastRenderedPageBreak/>
        <w:t xml:space="preserve">an </w:t>
      </w:r>
      <w:r w:rsidR="00D84876">
        <w:rPr>
          <w:rFonts w:ascii="Arial" w:hAnsi="Arial" w:cs="Arial"/>
          <w:color w:val="auto"/>
          <w:sz w:val="20"/>
          <w:szCs w:val="20"/>
          <w:lang w:eastAsia="en-AU"/>
        </w:rPr>
        <w:t>expression of interest (</w:t>
      </w:r>
      <w:proofErr w:type="spellStart"/>
      <w:r w:rsidRPr="00DE475B">
        <w:rPr>
          <w:rFonts w:ascii="Arial" w:hAnsi="Arial" w:cs="Arial"/>
          <w:color w:val="auto"/>
          <w:sz w:val="20"/>
          <w:szCs w:val="20"/>
          <w:lang w:eastAsia="en-AU"/>
        </w:rPr>
        <w:t>EOI</w:t>
      </w:r>
      <w:proofErr w:type="spellEnd"/>
      <w:r w:rsidR="00D84876">
        <w:rPr>
          <w:rFonts w:ascii="Arial" w:hAnsi="Arial" w:cs="Arial"/>
          <w:color w:val="auto"/>
          <w:sz w:val="20"/>
          <w:szCs w:val="20"/>
          <w:lang w:eastAsia="en-AU"/>
        </w:rPr>
        <w:t>)</w:t>
      </w:r>
      <w:r w:rsidRPr="00DE475B">
        <w:rPr>
          <w:rFonts w:ascii="Arial" w:hAnsi="Arial" w:cs="Arial"/>
          <w:color w:val="auto"/>
          <w:sz w:val="20"/>
          <w:szCs w:val="20"/>
          <w:lang w:eastAsia="en-AU"/>
        </w:rPr>
        <w:t xml:space="preserve"> process. The tablets were provided to CSIRO through a Sponsorship Agreement with Samsung. </w:t>
      </w:r>
      <w:r>
        <w:rPr>
          <w:rFonts w:ascii="Arial" w:hAnsi="Arial" w:cs="Arial"/>
          <w:color w:val="auto"/>
          <w:sz w:val="20"/>
          <w:szCs w:val="20"/>
          <w:lang w:eastAsia="en-AU"/>
        </w:rPr>
        <w:t xml:space="preserve">Fifty of the </w:t>
      </w:r>
      <w:r w:rsidRPr="00DE475B">
        <w:rPr>
          <w:rFonts w:ascii="Arial" w:hAnsi="Arial" w:cs="Arial"/>
          <w:color w:val="auto"/>
          <w:sz w:val="20"/>
          <w:szCs w:val="20"/>
          <w:lang w:eastAsia="en-AU"/>
        </w:rPr>
        <w:t xml:space="preserve">tablets </w:t>
      </w:r>
      <w:r>
        <w:rPr>
          <w:rFonts w:ascii="Arial" w:hAnsi="Arial" w:cs="Arial"/>
          <w:color w:val="auto"/>
          <w:sz w:val="20"/>
          <w:szCs w:val="20"/>
          <w:lang w:eastAsia="en-AU"/>
        </w:rPr>
        <w:t xml:space="preserve">are to be used for </w:t>
      </w:r>
      <w:r w:rsidRPr="00DE475B">
        <w:rPr>
          <w:rFonts w:ascii="Arial" w:hAnsi="Arial" w:cs="Arial"/>
          <w:color w:val="auto"/>
          <w:sz w:val="20"/>
          <w:szCs w:val="20"/>
          <w:lang w:eastAsia="en-AU"/>
        </w:rPr>
        <w:t>programs</w:t>
      </w:r>
      <w:r>
        <w:rPr>
          <w:rFonts w:ascii="Arial" w:hAnsi="Arial" w:cs="Arial"/>
          <w:color w:val="auto"/>
          <w:sz w:val="20"/>
          <w:szCs w:val="20"/>
          <w:lang w:eastAsia="en-AU"/>
        </w:rPr>
        <w:t xml:space="preserve"> targeting Aboriginal and Torres Strait Islander communities</w:t>
      </w:r>
      <w:r w:rsidRPr="00DE475B">
        <w:rPr>
          <w:rFonts w:ascii="Arial" w:hAnsi="Arial" w:cs="Arial"/>
          <w:color w:val="auto"/>
          <w:sz w:val="20"/>
          <w:szCs w:val="20"/>
          <w:lang w:eastAsia="en-AU"/>
        </w:rPr>
        <w:t xml:space="preserve">, and the remaining 100 tablets </w:t>
      </w:r>
      <w:r>
        <w:rPr>
          <w:rFonts w:ascii="Arial" w:hAnsi="Arial" w:cs="Arial"/>
          <w:color w:val="auto"/>
          <w:sz w:val="20"/>
          <w:szCs w:val="20"/>
          <w:lang w:eastAsia="en-AU"/>
        </w:rPr>
        <w:t>will be used in</w:t>
      </w:r>
      <w:r w:rsidRPr="00DE475B">
        <w:rPr>
          <w:rFonts w:ascii="Arial" w:hAnsi="Arial" w:cs="Arial"/>
          <w:color w:val="auto"/>
          <w:sz w:val="20"/>
          <w:szCs w:val="20"/>
          <w:lang w:eastAsia="en-AU"/>
        </w:rPr>
        <w:t xml:space="preserve"> programs </w:t>
      </w:r>
      <w:r>
        <w:rPr>
          <w:rFonts w:ascii="Arial" w:hAnsi="Arial" w:cs="Arial"/>
          <w:color w:val="auto"/>
          <w:sz w:val="20"/>
          <w:szCs w:val="20"/>
          <w:lang w:eastAsia="en-AU"/>
        </w:rPr>
        <w:t>for</w:t>
      </w:r>
      <w:r w:rsidRPr="00DE475B">
        <w:rPr>
          <w:rFonts w:ascii="Arial" w:hAnsi="Arial" w:cs="Arial"/>
          <w:color w:val="auto"/>
          <w:sz w:val="20"/>
          <w:szCs w:val="20"/>
          <w:lang w:eastAsia="en-AU"/>
        </w:rPr>
        <w:t xml:space="preserve"> marginalised young people through skills development in a STEM field. </w:t>
      </w:r>
      <w:proofErr w:type="spellStart"/>
      <w:r w:rsidRPr="00DE475B">
        <w:rPr>
          <w:rFonts w:ascii="Arial" w:hAnsi="Arial" w:cs="Arial"/>
          <w:color w:val="auto"/>
          <w:sz w:val="20"/>
          <w:szCs w:val="20"/>
          <w:lang w:eastAsia="en-AU"/>
        </w:rPr>
        <w:t>EOIs</w:t>
      </w:r>
      <w:proofErr w:type="spellEnd"/>
      <w:r w:rsidRPr="00DE475B">
        <w:rPr>
          <w:rFonts w:ascii="Arial" w:hAnsi="Arial" w:cs="Arial"/>
          <w:color w:val="auto"/>
          <w:sz w:val="20"/>
          <w:szCs w:val="20"/>
          <w:lang w:eastAsia="en-AU"/>
        </w:rPr>
        <w:t xml:space="preserve"> and agreements </w:t>
      </w:r>
      <w:r w:rsidR="00065733">
        <w:rPr>
          <w:rFonts w:ascii="Arial" w:hAnsi="Arial" w:cs="Arial"/>
          <w:sz w:val="20"/>
          <w:szCs w:val="20"/>
          <w:lang w:eastAsia="en-AU"/>
        </w:rPr>
        <w:t xml:space="preserve">will be finalised in the second </w:t>
      </w:r>
      <w:r w:rsidRPr="00DE475B">
        <w:rPr>
          <w:rFonts w:ascii="Arial" w:hAnsi="Arial" w:cs="Arial"/>
          <w:sz w:val="20"/>
          <w:szCs w:val="20"/>
          <w:lang w:eastAsia="en-AU"/>
        </w:rPr>
        <w:t>half of 2017</w:t>
      </w:r>
      <w:r w:rsidRPr="00DE475B">
        <w:rPr>
          <w:rFonts w:ascii="Arial" w:hAnsi="Arial" w:cs="Arial"/>
          <w:color w:val="auto"/>
          <w:sz w:val="20"/>
          <w:szCs w:val="20"/>
          <w:lang w:eastAsia="en-AU"/>
        </w:rPr>
        <w:t>.</w:t>
      </w:r>
    </w:p>
    <w:p w:rsidR="00EA44E7" w:rsidRPr="00DE475B" w:rsidRDefault="00EA44E7" w:rsidP="00EA44E7">
      <w:pPr>
        <w:pStyle w:val="ARText"/>
        <w:tabs>
          <w:tab w:val="left" w:pos="317"/>
        </w:tabs>
        <w:spacing w:before="0" w:after="120"/>
        <w:rPr>
          <w:szCs w:val="20"/>
        </w:rPr>
      </w:pPr>
      <w:r w:rsidRPr="003618E5">
        <w:rPr>
          <w:color w:val="1F497D"/>
        </w:rPr>
        <w:t>H</w:t>
      </w:r>
      <w:r w:rsidRPr="003618E5">
        <w:rPr>
          <w:szCs w:val="20"/>
        </w:rPr>
        <w:t>ire of SLQ spaces is another important revenue raiser, and demand continues to grow as SLQ develops a reputation of having quality venues and support. In 2016–17, venue services earned $</w:t>
      </w:r>
      <w:r w:rsidR="003618E5" w:rsidRPr="003618E5">
        <w:rPr>
          <w:szCs w:val="20"/>
        </w:rPr>
        <w:t>868,079</w:t>
      </w:r>
      <w:r w:rsidRPr="003618E5">
        <w:rPr>
          <w:szCs w:val="20"/>
        </w:rPr>
        <w:t xml:space="preserve">, </w:t>
      </w:r>
      <w:r w:rsidRPr="006330C2">
        <w:rPr>
          <w:szCs w:val="20"/>
        </w:rPr>
        <w:t xml:space="preserve">continuing an upward trend with a </w:t>
      </w:r>
      <w:r w:rsidR="006330C2" w:rsidRPr="006330C2">
        <w:rPr>
          <w:szCs w:val="20"/>
        </w:rPr>
        <w:t>21</w:t>
      </w:r>
      <w:r w:rsidRPr="006330C2">
        <w:rPr>
          <w:szCs w:val="20"/>
        </w:rPr>
        <w:t xml:space="preserve">% increase on the previous year’s revenue. </w:t>
      </w:r>
      <w:r w:rsidRPr="00BE7E97">
        <w:rPr>
          <w:szCs w:val="20"/>
        </w:rPr>
        <w:t xml:space="preserve">There were </w:t>
      </w:r>
      <w:r w:rsidR="00BE7E97" w:rsidRPr="00BE7E97">
        <w:rPr>
          <w:szCs w:val="20"/>
        </w:rPr>
        <w:t>2</w:t>
      </w:r>
      <w:r w:rsidR="00BE7E97">
        <w:rPr>
          <w:szCs w:val="20"/>
        </w:rPr>
        <w:t>,</w:t>
      </w:r>
      <w:r w:rsidR="00BE7E97" w:rsidRPr="00BE7E97">
        <w:rPr>
          <w:szCs w:val="20"/>
        </w:rPr>
        <w:t xml:space="preserve">731 </w:t>
      </w:r>
      <w:r w:rsidRPr="003618E5">
        <w:rPr>
          <w:szCs w:val="20"/>
        </w:rPr>
        <w:t>total bookings across SLQ venues, excluding festivals, school holiday programs and community family days.</w:t>
      </w:r>
    </w:p>
    <w:p w:rsidR="00EA44E7" w:rsidRPr="00EA44E7" w:rsidRDefault="00EA44E7" w:rsidP="00EA44E7">
      <w:pPr>
        <w:pStyle w:val="ARText"/>
        <w:spacing w:before="0" w:after="120"/>
        <w:rPr>
          <w:szCs w:val="20"/>
          <w:lang w:eastAsia="en-US"/>
        </w:rPr>
      </w:pPr>
      <w:r w:rsidRPr="00DE475B">
        <w:rPr>
          <w:szCs w:val="20"/>
        </w:rPr>
        <w:t xml:space="preserve">Focusing on improved stock lines, shop layout and social media marketing has resulted in steady sales growth in the SLQ Shop. </w:t>
      </w:r>
      <w:r>
        <w:rPr>
          <w:szCs w:val="20"/>
        </w:rPr>
        <w:t>Figures</w:t>
      </w:r>
      <w:r w:rsidRPr="00DE475B">
        <w:rPr>
          <w:szCs w:val="20"/>
        </w:rPr>
        <w:t xml:space="preserve"> for the period 1 November 2016 to 12 January 2017 saw an increase in revenue of 13% over 2015. Online sales grew by 95% over the same period. </w:t>
      </w:r>
      <w:r w:rsidRPr="00DE475B">
        <w:rPr>
          <w:szCs w:val="20"/>
          <w:lang w:eastAsia="en-US"/>
        </w:rPr>
        <w:t xml:space="preserve">SLQ also </w:t>
      </w:r>
      <w:r>
        <w:rPr>
          <w:szCs w:val="20"/>
          <w:lang w:eastAsia="en-US"/>
        </w:rPr>
        <w:t>sold</w:t>
      </w:r>
      <w:r w:rsidRPr="00DE475B">
        <w:rPr>
          <w:szCs w:val="20"/>
          <w:lang w:eastAsia="en-US"/>
        </w:rPr>
        <w:t xml:space="preserve"> space to </w:t>
      </w:r>
      <w:r w:rsidRPr="00DE475B">
        <w:rPr>
          <w:lang w:eastAsia="en-US"/>
        </w:rPr>
        <w:t>publishers</w:t>
      </w:r>
      <w:r w:rsidRPr="00DE475B">
        <w:rPr>
          <w:szCs w:val="20"/>
          <w:lang w:eastAsia="en-US"/>
        </w:rPr>
        <w:t xml:space="preserve"> on the </w:t>
      </w:r>
      <w:r w:rsidRPr="006E031A">
        <w:rPr>
          <w:i/>
          <w:szCs w:val="20"/>
          <w:lang w:eastAsia="en-US"/>
        </w:rPr>
        <w:t>Q ANZAC 100</w:t>
      </w:r>
      <w:r w:rsidRPr="00DE475B">
        <w:rPr>
          <w:szCs w:val="20"/>
          <w:lang w:eastAsia="en-US"/>
        </w:rPr>
        <w:t xml:space="preserve"> video wall during the Brisbane Writers Festival in September 2016.</w:t>
      </w:r>
    </w:p>
    <w:p w:rsidR="00E4365F" w:rsidRPr="00F451B2" w:rsidRDefault="003E2C5C" w:rsidP="00F451B2">
      <w:pPr>
        <w:pStyle w:val="ARheading3"/>
        <w:tabs>
          <w:tab w:val="left" w:pos="851"/>
        </w:tabs>
        <w:spacing w:after="120"/>
        <w:rPr>
          <w:color w:val="808080"/>
        </w:rPr>
      </w:pPr>
      <w:r w:rsidRPr="00F451B2">
        <w:rPr>
          <w:color w:val="808080"/>
        </w:rPr>
        <w:t>Position our workforce for the future</w:t>
      </w:r>
    </w:p>
    <w:p w:rsidR="00F451B2" w:rsidRPr="00F451B2" w:rsidRDefault="00F451B2" w:rsidP="00F451B2">
      <w:pPr>
        <w:pStyle w:val="ARText"/>
        <w:tabs>
          <w:tab w:val="left" w:pos="2008"/>
          <w:tab w:val="left" w:pos="2084"/>
        </w:tabs>
        <w:spacing w:before="0"/>
        <w:rPr>
          <w:rFonts w:eastAsia="Times New Roman"/>
          <w:b/>
          <w:bCs w:val="0"/>
          <w:color w:val="000000"/>
          <w:szCs w:val="20"/>
        </w:rPr>
      </w:pPr>
      <w:r w:rsidRPr="00F451B2">
        <w:rPr>
          <w:rFonts w:eastAsia="Times New Roman"/>
          <w:b/>
          <w:bCs w:val="0"/>
          <w:color w:val="000000"/>
          <w:szCs w:val="20"/>
        </w:rPr>
        <w:t>Hunter Review</w:t>
      </w:r>
    </w:p>
    <w:p w:rsidR="00D82B10" w:rsidRPr="00DE475B" w:rsidRDefault="00D82B10" w:rsidP="00D82B10">
      <w:pPr>
        <w:pStyle w:val="ARText"/>
        <w:tabs>
          <w:tab w:val="left" w:pos="317"/>
        </w:tabs>
        <w:spacing w:before="0" w:after="120"/>
        <w:rPr>
          <w:szCs w:val="20"/>
        </w:rPr>
      </w:pPr>
      <w:r w:rsidRPr="00DE475B">
        <w:rPr>
          <w:szCs w:val="20"/>
        </w:rPr>
        <w:t xml:space="preserve">In the latter part of 2015 an independent review </w:t>
      </w:r>
      <w:r w:rsidR="004814C4">
        <w:rPr>
          <w:szCs w:val="20"/>
        </w:rPr>
        <w:t xml:space="preserve">was undertaken </w:t>
      </w:r>
      <w:r w:rsidRPr="00DE475B">
        <w:rPr>
          <w:szCs w:val="20"/>
        </w:rPr>
        <w:t xml:space="preserve">into the management of a serious workplace matter identified in late 2012. The Library Board endorsed an action plan to implement the subsequent recommendations in full, which was supported and </w:t>
      </w:r>
      <w:r w:rsidR="00B04728" w:rsidRPr="00DE475B">
        <w:rPr>
          <w:szCs w:val="20"/>
        </w:rPr>
        <w:t>tabl</w:t>
      </w:r>
      <w:r w:rsidRPr="00DE475B">
        <w:rPr>
          <w:szCs w:val="20"/>
        </w:rPr>
        <w:t xml:space="preserve">ed by the Minister in December 2015. This comprehensive action plan focused on staff training, integrity, organisational accountabilities, governance structures and procedures and protocols. </w:t>
      </w:r>
      <w:r w:rsidR="004814C4">
        <w:rPr>
          <w:szCs w:val="20"/>
        </w:rPr>
        <w:t>B</w:t>
      </w:r>
      <w:r w:rsidR="004814C4" w:rsidRPr="00DE475B">
        <w:rPr>
          <w:szCs w:val="20"/>
        </w:rPr>
        <w:t>y 30 June 2016</w:t>
      </w:r>
      <w:r w:rsidRPr="00DE475B">
        <w:rPr>
          <w:szCs w:val="20"/>
        </w:rPr>
        <w:t>, 21 of the 23 recommendations were closed</w:t>
      </w:r>
      <w:r w:rsidR="004814C4">
        <w:rPr>
          <w:szCs w:val="20"/>
        </w:rPr>
        <w:t>, with t</w:t>
      </w:r>
      <w:r w:rsidRPr="00DE475B">
        <w:rPr>
          <w:szCs w:val="20"/>
        </w:rPr>
        <w:t>he remaining two completed in this reporting period.</w:t>
      </w:r>
    </w:p>
    <w:p w:rsidR="00D82B10" w:rsidRPr="00DE475B" w:rsidRDefault="00D82B10" w:rsidP="00D82B10">
      <w:pPr>
        <w:pStyle w:val="Default"/>
        <w:spacing w:after="120"/>
        <w:rPr>
          <w:sz w:val="20"/>
          <w:szCs w:val="20"/>
        </w:rPr>
      </w:pPr>
      <w:r w:rsidRPr="00DE475B">
        <w:rPr>
          <w:sz w:val="20"/>
          <w:szCs w:val="20"/>
        </w:rPr>
        <w:t xml:space="preserve">Recommendations 11 and 12 led to the development of a Library Board Charter and updated Governance Manual. These </w:t>
      </w:r>
      <w:r w:rsidR="00B04728" w:rsidRPr="00DE475B">
        <w:rPr>
          <w:sz w:val="20"/>
          <w:szCs w:val="20"/>
        </w:rPr>
        <w:t xml:space="preserve">documents </w:t>
      </w:r>
      <w:r w:rsidRPr="00DE475B">
        <w:rPr>
          <w:sz w:val="20"/>
          <w:szCs w:val="20"/>
        </w:rPr>
        <w:t xml:space="preserve">provide </w:t>
      </w:r>
      <w:proofErr w:type="gramStart"/>
      <w:r w:rsidRPr="00DE475B">
        <w:rPr>
          <w:sz w:val="20"/>
          <w:szCs w:val="20"/>
        </w:rPr>
        <w:t>a governance</w:t>
      </w:r>
      <w:proofErr w:type="gramEnd"/>
      <w:r w:rsidRPr="00DE475B">
        <w:rPr>
          <w:sz w:val="20"/>
          <w:szCs w:val="20"/>
        </w:rPr>
        <w:t xml:space="preserve">, accountability and business operations framework to inform and improve the decision, reporting and communication operating model between the SLQ, </w:t>
      </w:r>
      <w:proofErr w:type="spellStart"/>
      <w:r w:rsidRPr="00DE475B">
        <w:rPr>
          <w:sz w:val="20"/>
          <w:szCs w:val="20"/>
        </w:rPr>
        <w:t>DSITI</w:t>
      </w:r>
      <w:proofErr w:type="spellEnd"/>
      <w:r w:rsidRPr="00DE475B">
        <w:rPr>
          <w:sz w:val="20"/>
          <w:szCs w:val="20"/>
        </w:rPr>
        <w:t xml:space="preserve"> and the Minister’s Office. Recommendation 12 was closed in December 2016 with the Library Board’s approval of the Library Board </w:t>
      </w:r>
      <w:r w:rsidRPr="00DE475B">
        <w:rPr>
          <w:sz w:val="20"/>
          <w:szCs w:val="20"/>
        </w:rPr>
        <w:lastRenderedPageBreak/>
        <w:t>Charter and updated Governance Manual, completing the action plan.</w:t>
      </w:r>
    </w:p>
    <w:p w:rsidR="00D82B10" w:rsidRPr="00D84876" w:rsidRDefault="00D82B10" w:rsidP="00D82B10">
      <w:pPr>
        <w:pStyle w:val="Default"/>
        <w:spacing w:after="120"/>
        <w:rPr>
          <w:rFonts w:eastAsiaTheme="minorHAnsi"/>
          <w:spacing w:val="-2"/>
          <w:sz w:val="20"/>
          <w:szCs w:val="20"/>
          <w:lang w:eastAsia="en-US"/>
        </w:rPr>
      </w:pPr>
      <w:r w:rsidRPr="00D84876">
        <w:rPr>
          <w:spacing w:val="-2"/>
          <w:sz w:val="20"/>
          <w:szCs w:val="20"/>
        </w:rPr>
        <w:t xml:space="preserve">The </w:t>
      </w:r>
      <w:r w:rsidRPr="00D84876">
        <w:rPr>
          <w:i/>
          <w:spacing w:val="-2"/>
          <w:sz w:val="20"/>
          <w:szCs w:val="20"/>
        </w:rPr>
        <w:t>Libraries Act 1988</w:t>
      </w:r>
      <w:r w:rsidRPr="00D84876">
        <w:rPr>
          <w:spacing w:val="-2"/>
          <w:sz w:val="20"/>
          <w:szCs w:val="20"/>
        </w:rPr>
        <w:t xml:space="preserve"> will be reviewed in the coming year, in consultation with stakeholders. This review, recommended by </w:t>
      </w:r>
      <w:r w:rsidR="00D84876" w:rsidRPr="00D84876">
        <w:rPr>
          <w:spacing w:val="-2"/>
          <w:sz w:val="20"/>
          <w:szCs w:val="20"/>
        </w:rPr>
        <w:t>the Library Board</w:t>
      </w:r>
      <w:r w:rsidRPr="00D84876">
        <w:rPr>
          <w:spacing w:val="-2"/>
          <w:sz w:val="20"/>
          <w:szCs w:val="20"/>
        </w:rPr>
        <w:t xml:space="preserve"> as part of the actions arising from the Hunter Review, will be conducted by </w:t>
      </w:r>
      <w:proofErr w:type="spellStart"/>
      <w:r w:rsidR="00B04728" w:rsidRPr="00D84876">
        <w:rPr>
          <w:spacing w:val="-2"/>
          <w:sz w:val="20"/>
          <w:szCs w:val="20"/>
        </w:rPr>
        <w:t>DSITI</w:t>
      </w:r>
      <w:proofErr w:type="spellEnd"/>
      <w:r w:rsidRPr="00D84876">
        <w:rPr>
          <w:spacing w:val="-2"/>
          <w:sz w:val="20"/>
          <w:szCs w:val="20"/>
        </w:rPr>
        <w:t>. SLQ provided the new Library Board Charter and updated Governance Manual as references for the review.</w:t>
      </w:r>
    </w:p>
    <w:p w:rsidR="00F451B2" w:rsidRPr="00F451B2" w:rsidRDefault="00F451B2" w:rsidP="00F451B2">
      <w:pPr>
        <w:pStyle w:val="ARText"/>
        <w:tabs>
          <w:tab w:val="left" w:pos="2008"/>
          <w:tab w:val="left" w:pos="2084"/>
        </w:tabs>
        <w:spacing w:before="0"/>
        <w:rPr>
          <w:rFonts w:eastAsia="Times New Roman"/>
          <w:b/>
          <w:bCs w:val="0"/>
          <w:color w:val="000000"/>
          <w:szCs w:val="20"/>
        </w:rPr>
      </w:pPr>
      <w:r w:rsidRPr="00F451B2">
        <w:rPr>
          <w:rFonts w:eastAsia="Times New Roman"/>
          <w:b/>
          <w:bCs w:val="0"/>
          <w:color w:val="000000"/>
          <w:szCs w:val="20"/>
        </w:rPr>
        <w:t>Towards 2020 Strategic Workforce Plan</w:t>
      </w:r>
    </w:p>
    <w:p w:rsidR="00D82B10" w:rsidRPr="00DE475B" w:rsidRDefault="00D82B10" w:rsidP="00D82B10">
      <w:pPr>
        <w:pStyle w:val="ARText"/>
        <w:tabs>
          <w:tab w:val="left" w:pos="317"/>
        </w:tabs>
        <w:spacing w:before="0" w:after="120"/>
        <w:rPr>
          <w:szCs w:val="20"/>
        </w:rPr>
      </w:pPr>
      <w:r w:rsidRPr="00DE475B">
        <w:rPr>
          <w:szCs w:val="20"/>
        </w:rPr>
        <w:t xml:space="preserve">Implementation of the </w:t>
      </w:r>
      <w:r w:rsidRPr="00491FB8">
        <w:rPr>
          <w:i/>
          <w:szCs w:val="20"/>
        </w:rPr>
        <w:t>Towards 2020 Strategic Workforce Plan</w:t>
      </w:r>
      <w:r w:rsidR="00491FB8">
        <w:rPr>
          <w:i/>
          <w:szCs w:val="20"/>
        </w:rPr>
        <w:t xml:space="preserve"> 2016–20</w:t>
      </w:r>
      <w:r w:rsidRPr="00DE475B">
        <w:rPr>
          <w:szCs w:val="20"/>
        </w:rPr>
        <w:t xml:space="preserve"> began in 2016–17, with a focus on training and skills development. This four-year plan sets out a strategy to deliver the right people in the right numbers in th</w:t>
      </w:r>
      <w:r w:rsidR="0072445E">
        <w:rPr>
          <w:szCs w:val="20"/>
        </w:rPr>
        <w:t>e right place at the right time</w:t>
      </w:r>
      <w:r w:rsidRPr="00DE475B">
        <w:rPr>
          <w:szCs w:val="20"/>
        </w:rPr>
        <w:t>.</w:t>
      </w:r>
    </w:p>
    <w:p w:rsidR="00D82B10" w:rsidRPr="00DE475B" w:rsidRDefault="00D82B10" w:rsidP="00D82B10">
      <w:pPr>
        <w:spacing w:after="120"/>
        <w:rPr>
          <w:rFonts w:ascii="Arial" w:hAnsi="Arial" w:cs="Arial"/>
          <w:sz w:val="20"/>
          <w:szCs w:val="20"/>
        </w:rPr>
      </w:pPr>
      <w:r w:rsidRPr="00DE475B">
        <w:rPr>
          <w:rFonts w:ascii="Arial" w:hAnsi="Arial" w:cs="Arial"/>
          <w:sz w:val="20"/>
          <w:szCs w:val="20"/>
        </w:rPr>
        <w:t>Executive Management Team (</w:t>
      </w:r>
      <w:proofErr w:type="spellStart"/>
      <w:r w:rsidRPr="00DE475B">
        <w:rPr>
          <w:rFonts w:ascii="Arial" w:hAnsi="Arial" w:cs="Arial"/>
          <w:sz w:val="20"/>
          <w:szCs w:val="20"/>
        </w:rPr>
        <w:t>EMT</w:t>
      </w:r>
      <w:proofErr w:type="spellEnd"/>
      <w:r w:rsidRPr="00DE475B">
        <w:rPr>
          <w:rFonts w:ascii="Arial" w:hAnsi="Arial" w:cs="Arial"/>
          <w:sz w:val="20"/>
          <w:szCs w:val="20"/>
        </w:rPr>
        <w:t xml:space="preserve">) members devised Individual Leadership Plans, reviewing them regularly with staff representatives to receive feedback on their progress. They have also received training in </w:t>
      </w:r>
      <w:r w:rsidRPr="00DE475B">
        <w:rPr>
          <w:rFonts w:ascii="Arial" w:hAnsi="Arial" w:cs="Arial"/>
          <w:i/>
          <w:sz w:val="20"/>
          <w:szCs w:val="20"/>
        </w:rPr>
        <w:t>Courageous Conversations</w:t>
      </w:r>
      <w:r w:rsidRPr="00DE475B">
        <w:rPr>
          <w:rFonts w:ascii="Arial" w:hAnsi="Arial" w:cs="Arial"/>
          <w:sz w:val="20"/>
          <w:szCs w:val="20"/>
        </w:rPr>
        <w:t xml:space="preserve">, designed to equip SLQ staff with the knowledge and skills to address challenging issues and initiate healthy conversations to achieve positive outcomes. The training is being rolled out to all staff </w:t>
      </w:r>
      <w:r w:rsidR="00025671">
        <w:rPr>
          <w:rFonts w:ascii="Arial" w:hAnsi="Arial" w:cs="Arial"/>
          <w:sz w:val="20"/>
          <w:szCs w:val="20"/>
        </w:rPr>
        <w:t xml:space="preserve">in </w:t>
      </w:r>
      <w:r w:rsidRPr="00DE475B">
        <w:rPr>
          <w:rFonts w:ascii="Arial" w:hAnsi="Arial" w:cs="Arial"/>
          <w:sz w:val="20"/>
          <w:szCs w:val="20"/>
        </w:rPr>
        <w:t>2017. Additionally, 22 staff comme</w:t>
      </w:r>
      <w:r w:rsidR="00065733">
        <w:rPr>
          <w:rFonts w:ascii="Arial" w:hAnsi="Arial" w:cs="Arial"/>
          <w:sz w:val="20"/>
          <w:szCs w:val="20"/>
        </w:rPr>
        <w:t>nced the six-</w:t>
      </w:r>
      <w:r w:rsidR="00892591">
        <w:rPr>
          <w:rFonts w:ascii="Arial" w:hAnsi="Arial" w:cs="Arial"/>
          <w:sz w:val="20"/>
          <w:szCs w:val="20"/>
        </w:rPr>
        <w:t>month Supervising and</w:t>
      </w:r>
      <w:r w:rsidRPr="00DE475B">
        <w:rPr>
          <w:rFonts w:ascii="Arial" w:hAnsi="Arial" w:cs="Arial"/>
          <w:sz w:val="20"/>
          <w:szCs w:val="20"/>
        </w:rPr>
        <w:t xml:space="preserve"> Emerging Leader Program, engaging in leadership challenges, peer coaching and action learning projects. It is anticipated this program will become a regular feature of </w:t>
      </w:r>
      <w:proofErr w:type="spellStart"/>
      <w:r w:rsidRPr="00DE475B">
        <w:rPr>
          <w:rFonts w:ascii="Arial" w:hAnsi="Arial" w:cs="Arial"/>
          <w:sz w:val="20"/>
          <w:szCs w:val="20"/>
        </w:rPr>
        <w:t>SLQ’s</w:t>
      </w:r>
      <w:proofErr w:type="spellEnd"/>
      <w:r w:rsidRPr="00DE475B">
        <w:rPr>
          <w:rFonts w:ascii="Arial" w:hAnsi="Arial" w:cs="Arial"/>
          <w:sz w:val="20"/>
          <w:szCs w:val="20"/>
        </w:rPr>
        <w:t xml:space="preserve"> ongoing leadership program, to upskill supervisors and aspiring leaders.</w:t>
      </w:r>
      <w:r w:rsidR="00892591" w:rsidRPr="00892591">
        <w:rPr>
          <w:rFonts w:ascii="Arial" w:hAnsi="Arial" w:cs="Arial"/>
          <w:sz w:val="20"/>
          <w:szCs w:val="20"/>
        </w:rPr>
        <w:t xml:space="preserve"> </w:t>
      </w:r>
      <w:r w:rsidR="00892591" w:rsidRPr="00DE475B">
        <w:rPr>
          <w:rFonts w:ascii="Arial" w:hAnsi="Arial" w:cs="Arial"/>
          <w:sz w:val="20"/>
          <w:szCs w:val="20"/>
        </w:rPr>
        <w:t>Succession planning has also been undertaken.</w:t>
      </w:r>
    </w:p>
    <w:p w:rsidR="00D82B10" w:rsidRPr="00DE475B" w:rsidRDefault="00D82B10" w:rsidP="00D82B10">
      <w:pPr>
        <w:spacing w:after="120"/>
        <w:rPr>
          <w:rFonts w:ascii="Arial" w:hAnsi="Arial" w:cs="Arial"/>
          <w:sz w:val="20"/>
          <w:szCs w:val="20"/>
        </w:rPr>
      </w:pPr>
      <w:r w:rsidRPr="00DE475B">
        <w:rPr>
          <w:rFonts w:ascii="Arial" w:hAnsi="Arial" w:cs="Arial"/>
          <w:sz w:val="20"/>
          <w:szCs w:val="20"/>
        </w:rPr>
        <w:t xml:space="preserve">To improve understanding and connections between staff at all levels, senior managers participated in an </w:t>
      </w:r>
      <w:r w:rsidRPr="00D13642">
        <w:rPr>
          <w:rFonts w:ascii="Arial" w:hAnsi="Arial" w:cs="Arial"/>
          <w:i/>
          <w:sz w:val="20"/>
          <w:szCs w:val="20"/>
        </w:rPr>
        <w:t xml:space="preserve">Executive Day at the Desk </w:t>
      </w:r>
      <w:r w:rsidRPr="00DE475B">
        <w:rPr>
          <w:rFonts w:ascii="Arial" w:hAnsi="Arial" w:cs="Arial"/>
          <w:sz w:val="20"/>
          <w:szCs w:val="20"/>
        </w:rPr>
        <w:t xml:space="preserve">in May 2017. </w:t>
      </w:r>
      <w:r w:rsidR="00D13642">
        <w:rPr>
          <w:rFonts w:ascii="Arial" w:hAnsi="Arial" w:cs="Arial"/>
          <w:sz w:val="20"/>
          <w:szCs w:val="20"/>
        </w:rPr>
        <w:t>S</w:t>
      </w:r>
      <w:r w:rsidRPr="00DE475B">
        <w:rPr>
          <w:rFonts w:ascii="Arial" w:hAnsi="Arial" w:cs="Arial"/>
          <w:sz w:val="20"/>
          <w:szCs w:val="20"/>
        </w:rPr>
        <w:t xml:space="preserve">enior managers </w:t>
      </w:r>
      <w:r w:rsidR="00D13642">
        <w:rPr>
          <w:rFonts w:ascii="Arial" w:hAnsi="Arial" w:cs="Arial"/>
          <w:sz w:val="20"/>
          <w:szCs w:val="20"/>
        </w:rPr>
        <w:t>were rostered</w:t>
      </w:r>
      <w:r w:rsidRPr="00DE475B">
        <w:rPr>
          <w:rFonts w:ascii="Arial" w:hAnsi="Arial" w:cs="Arial"/>
          <w:sz w:val="20"/>
          <w:szCs w:val="20"/>
        </w:rPr>
        <w:t xml:space="preserve"> </w:t>
      </w:r>
      <w:r w:rsidR="00D13642">
        <w:rPr>
          <w:rFonts w:ascii="Arial" w:hAnsi="Arial" w:cs="Arial"/>
          <w:sz w:val="20"/>
          <w:szCs w:val="20"/>
        </w:rPr>
        <w:t xml:space="preserve">at </w:t>
      </w:r>
      <w:r w:rsidRPr="00DE475B">
        <w:rPr>
          <w:rFonts w:ascii="Arial" w:hAnsi="Arial" w:cs="Arial"/>
          <w:sz w:val="20"/>
          <w:szCs w:val="20"/>
        </w:rPr>
        <w:t xml:space="preserve">up to three frontline service </w:t>
      </w:r>
      <w:r w:rsidR="00025671">
        <w:rPr>
          <w:rFonts w:ascii="Arial" w:hAnsi="Arial" w:cs="Arial"/>
          <w:sz w:val="20"/>
          <w:szCs w:val="20"/>
        </w:rPr>
        <w:t>desk</w:t>
      </w:r>
      <w:r w:rsidRPr="00DE475B">
        <w:rPr>
          <w:rFonts w:ascii="Arial" w:hAnsi="Arial" w:cs="Arial"/>
          <w:sz w:val="20"/>
          <w:szCs w:val="20"/>
        </w:rPr>
        <w:t xml:space="preserve">s across SLQ, getting to know the staff and some of the service challenges they face. This </w:t>
      </w:r>
      <w:r w:rsidR="00D13642">
        <w:rPr>
          <w:rFonts w:ascii="Arial" w:hAnsi="Arial" w:cs="Arial"/>
          <w:sz w:val="20"/>
          <w:szCs w:val="20"/>
        </w:rPr>
        <w:t xml:space="preserve">activity </w:t>
      </w:r>
      <w:r w:rsidRPr="00DE475B">
        <w:rPr>
          <w:rFonts w:ascii="Arial" w:hAnsi="Arial" w:cs="Arial"/>
          <w:sz w:val="20"/>
          <w:szCs w:val="20"/>
        </w:rPr>
        <w:t xml:space="preserve">was well received and led to a reciprocal </w:t>
      </w:r>
      <w:r w:rsidRPr="00D13642">
        <w:rPr>
          <w:rFonts w:ascii="Arial" w:hAnsi="Arial" w:cs="Arial"/>
          <w:i/>
          <w:sz w:val="20"/>
          <w:szCs w:val="20"/>
        </w:rPr>
        <w:t>Day at an Executive’s Desk</w:t>
      </w:r>
      <w:r w:rsidRPr="00DE475B">
        <w:rPr>
          <w:rFonts w:ascii="Arial" w:hAnsi="Arial" w:cs="Arial"/>
          <w:sz w:val="20"/>
          <w:szCs w:val="20"/>
        </w:rPr>
        <w:t xml:space="preserve"> where staff could apply to shadow an </w:t>
      </w:r>
      <w:proofErr w:type="spellStart"/>
      <w:r w:rsidRPr="00DE475B">
        <w:rPr>
          <w:rFonts w:ascii="Arial" w:hAnsi="Arial" w:cs="Arial"/>
          <w:sz w:val="20"/>
          <w:szCs w:val="20"/>
        </w:rPr>
        <w:t>EMT</w:t>
      </w:r>
      <w:proofErr w:type="spellEnd"/>
      <w:r w:rsidRPr="00DE475B">
        <w:rPr>
          <w:rFonts w:ascii="Arial" w:hAnsi="Arial" w:cs="Arial"/>
          <w:sz w:val="20"/>
          <w:szCs w:val="20"/>
        </w:rPr>
        <w:t xml:space="preserve"> member.</w:t>
      </w:r>
    </w:p>
    <w:p w:rsidR="003C6A85" w:rsidRDefault="00D82B10" w:rsidP="00D82B10">
      <w:pPr>
        <w:spacing w:after="120"/>
        <w:rPr>
          <w:rFonts w:ascii="Arial" w:hAnsi="Arial" w:cs="Arial"/>
          <w:sz w:val="20"/>
          <w:szCs w:val="20"/>
        </w:rPr>
      </w:pPr>
      <w:r w:rsidRPr="00DE475B">
        <w:rPr>
          <w:rFonts w:ascii="Arial" w:hAnsi="Arial" w:cs="Arial"/>
          <w:sz w:val="20"/>
          <w:szCs w:val="20"/>
        </w:rPr>
        <w:t xml:space="preserve">As part of the Strategic Workforce Plan, </w:t>
      </w:r>
      <w:r w:rsidR="00892591">
        <w:rPr>
          <w:rFonts w:ascii="Arial" w:hAnsi="Arial" w:cs="Arial"/>
          <w:sz w:val="20"/>
          <w:szCs w:val="20"/>
        </w:rPr>
        <w:t xml:space="preserve">SLQ developed </w:t>
      </w:r>
      <w:r w:rsidR="00491FB8">
        <w:rPr>
          <w:rFonts w:ascii="Arial" w:hAnsi="Arial" w:cs="Arial"/>
          <w:sz w:val="20"/>
          <w:szCs w:val="20"/>
        </w:rPr>
        <w:t xml:space="preserve">the </w:t>
      </w:r>
      <w:r w:rsidR="00491FB8" w:rsidRPr="00491FB8">
        <w:rPr>
          <w:rFonts w:ascii="Arial" w:hAnsi="Arial" w:cs="Arial"/>
          <w:i/>
          <w:sz w:val="20"/>
          <w:szCs w:val="20"/>
        </w:rPr>
        <w:t xml:space="preserve">SLQ </w:t>
      </w:r>
      <w:r w:rsidRPr="00491FB8">
        <w:rPr>
          <w:rFonts w:ascii="Arial" w:hAnsi="Arial" w:cs="Arial"/>
          <w:i/>
          <w:sz w:val="20"/>
          <w:szCs w:val="20"/>
        </w:rPr>
        <w:t>Workplace Diversity and Inclusion Strategy</w:t>
      </w:r>
      <w:r w:rsidR="00491FB8" w:rsidRPr="00491FB8">
        <w:rPr>
          <w:rFonts w:ascii="Arial" w:hAnsi="Arial" w:cs="Arial"/>
          <w:i/>
          <w:sz w:val="20"/>
          <w:szCs w:val="20"/>
        </w:rPr>
        <w:t xml:space="preserve"> 2017–21</w:t>
      </w:r>
      <w:r w:rsidRPr="00DE475B">
        <w:rPr>
          <w:rFonts w:ascii="Arial" w:hAnsi="Arial" w:cs="Arial"/>
          <w:sz w:val="20"/>
          <w:szCs w:val="20"/>
        </w:rPr>
        <w:t xml:space="preserve">, bringing together </w:t>
      </w:r>
      <w:proofErr w:type="spellStart"/>
      <w:r w:rsidRPr="00DE475B">
        <w:rPr>
          <w:rFonts w:ascii="Arial" w:hAnsi="Arial" w:cs="Arial"/>
          <w:sz w:val="20"/>
          <w:szCs w:val="20"/>
        </w:rPr>
        <w:t>SLQ’s</w:t>
      </w:r>
      <w:proofErr w:type="spellEnd"/>
      <w:r w:rsidRPr="00DE475B">
        <w:rPr>
          <w:rFonts w:ascii="Arial" w:hAnsi="Arial" w:cs="Arial"/>
          <w:sz w:val="20"/>
          <w:szCs w:val="20"/>
        </w:rPr>
        <w:t xml:space="preserve"> Aboriginal and Torres Strait Islander, Disability and Multicultural workforce strategies with reference to the Public Service Commission Inclusion and Diversity Strategy. It </w:t>
      </w:r>
      <w:r w:rsidR="00892591">
        <w:rPr>
          <w:rFonts w:ascii="Arial" w:hAnsi="Arial" w:cs="Arial"/>
          <w:sz w:val="20"/>
          <w:szCs w:val="20"/>
        </w:rPr>
        <w:t>incorporates</w:t>
      </w:r>
      <w:r w:rsidRPr="00DE475B">
        <w:rPr>
          <w:rFonts w:ascii="Arial" w:hAnsi="Arial" w:cs="Arial"/>
          <w:sz w:val="20"/>
          <w:szCs w:val="20"/>
        </w:rPr>
        <w:t xml:space="preserve"> strategies for inclusion of </w:t>
      </w:r>
      <w:proofErr w:type="spellStart"/>
      <w:r w:rsidRPr="00DE475B">
        <w:rPr>
          <w:rFonts w:ascii="Arial" w:hAnsi="Arial" w:cs="Arial"/>
          <w:sz w:val="20"/>
          <w:szCs w:val="20"/>
        </w:rPr>
        <w:t>LGBTIQ</w:t>
      </w:r>
      <w:proofErr w:type="spellEnd"/>
      <w:r w:rsidRPr="00DE475B">
        <w:rPr>
          <w:rFonts w:ascii="Arial" w:hAnsi="Arial" w:cs="Arial"/>
          <w:sz w:val="20"/>
          <w:szCs w:val="20"/>
        </w:rPr>
        <w:t>+ workers, identified as a focus area through a</w:t>
      </w:r>
      <w:r w:rsidR="00D13642">
        <w:rPr>
          <w:rFonts w:ascii="Arial" w:hAnsi="Arial" w:cs="Arial"/>
          <w:sz w:val="20"/>
          <w:szCs w:val="20"/>
        </w:rPr>
        <w:t xml:space="preserve"> </w:t>
      </w:r>
      <w:r w:rsidRPr="00DE475B">
        <w:rPr>
          <w:rFonts w:ascii="Arial" w:hAnsi="Arial" w:cs="Arial"/>
          <w:sz w:val="20"/>
          <w:szCs w:val="20"/>
        </w:rPr>
        <w:t>s</w:t>
      </w:r>
      <w:r w:rsidR="00D13642">
        <w:rPr>
          <w:rFonts w:ascii="Arial" w:hAnsi="Arial" w:cs="Arial"/>
          <w:sz w:val="20"/>
          <w:szCs w:val="20"/>
        </w:rPr>
        <w:t>hort staff</w:t>
      </w:r>
      <w:r w:rsidRPr="00DE475B">
        <w:rPr>
          <w:rFonts w:ascii="Arial" w:hAnsi="Arial" w:cs="Arial"/>
          <w:sz w:val="20"/>
          <w:szCs w:val="20"/>
        </w:rPr>
        <w:t xml:space="preserve"> survey. </w:t>
      </w:r>
      <w:r w:rsidR="00446175">
        <w:rPr>
          <w:rFonts w:ascii="Arial" w:hAnsi="Arial" w:cs="Arial"/>
          <w:sz w:val="20"/>
          <w:szCs w:val="20"/>
        </w:rPr>
        <w:t xml:space="preserve">The </w:t>
      </w:r>
      <w:r w:rsidR="00D13642">
        <w:rPr>
          <w:rFonts w:ascii="Arial" w:hAnsi="Arial" w:cs="Arial"/>
          <w:sz w:val="20"/>
          <w:szCs w:val="20"/>
        </w:rPr>
        <w:t>strategy</w:t>
      </w:r>
      <w:r w:rsidR="00446175">
        <w:rPr>
          <w:rFonts w:ascii="Arial" w:hAnsi="Arial" w:cs="Arial"/>
          <w:sz w:val="20"/>
          <w:szCs w:val="20"/>
        </w:rPr>
        <w:t xml:space="preserve"> was approved in June 2017, </w:t>
      </w:r>
      <w:r w:rsidR="00446175">
        <w:rPr>
          <w:rFonts w:ascii="Arial" w:hAnsi="Arial" w:cs="Arial"/>
          <w:sz w:val="20"/>
          <w:szCs w:val="20"/>
        </w:rPr>
        <w:lastRenderedPageBreak/>
        <w:t>accompanied by a 12-month action plan for implementation in 2017–18.</w:t>
      </w:r>
    </w:p>
    <w:p w:rsidR="00446175" w:rsidRPr="00DE475B" w:rsidRDefault="00446175" w:rsidP="00D82B10">
      <w:pPr>
        <w:spacing w:after="120"/>
        <w:rPr>
          <w:rFonts w:ascii="Arial" w:hAnsi="Arial" w:cs="Arial"/>
          <w:sz w:val="20"/>
          <w:szCs w:val="20"/>
        </w:rPr>
        <w:sectPr w:rsidR="00446175" w:rsidRPr="00DE475B" w:rsidSect="00B53922">
          <w:type w:val="continuous"/>
          <w:pgSz w:w="11906" w:h="16838"/>
          <w:pgMar w:top="1440" w:right="1701" w:bottom="1440" w:left="1701" w:header="709" w:footer="709" w:gutter="0"/>
          <w:cols w:num="2" w:space="397"/>
          <w:docGrid w:linePitch="360"/>
        </w:sectPr>
      </w:pPr>
      <w:r>
        <w:rPr>
          <w:rFonts w:ascii="Arial" w:hAnsi="Arial" w:cs="Arial"/>
          <w:sz w:val="20"/>
          <w:szCs w:val="20"/>
        </w:rPr>
        <w:t xml:space="preserve">In June 2016, SLQ announced an organisational realignment which aimed to </w:t>
      </w:r>
      <w:r w:rsidRPr="00446175">
        <w:rPr>
          <w:rFonts w:ascii="Arial" w:hAnsi="Arial" w:cs="Arial"/>
          <w:sz w:val="20"/>
          <w:szCs w:val="20"/>
        </w:rPr>
        <w:lastRenderedPageBreak/>
        <w:t xml:space="preserve">better facilitate the delivery of the objectives set out in the </w:t>
      </w:r>
      <w:r w:rsidRPr="00D13642">
        <w:rPr>
          <w:rFonts w:ascii="Arial" w:hAnsi="Arial" w:cs="Arial"/>
          <w:i/>
          <w:sz w:val="20"/>
          <w:szCs w:val="20"/>
        </w:rPr>
        <w:t>SLQ Strategic Plan</w:t>
      </w:r>
      <w:r>
        <w:rPr>
          <w:rFonts w:ascii="Arial" w:hAnsi="Arial" w:cs="Arial"/>
          <w:sz w:val="20"/>
          <w:szCs w:val="20"/>
        </w:rPr>
        <w:t>. After a period of staff consultation, this realignment will be implemented in late 2017.</w:t>
      </w:r>
    </w:p>
    <w:p w:rsidR="00D86CCE" w:rsidRPr="00DE475B" w:rsidRDefault="00D86CCE" w:rsidP="00D86CCE">
      <w:pPr>
        <w:spacing w:after="120"/>
        <w:rPr>
          <w:rFonts w:ascii="Arial" w:hAnsi="Arial" w:cs="Arial"/>
          <w:sz w:val="20"/>
          <w:szCs w:val="20"/>
          <w:highlight w:val="yellow"/>
        </w:rPr>
        <w:sectPr w:rsidR="00D86CCE" w:rsidRPr="00DE475B" w:rsidSect="00B53922">
          <w:type w:val="continuous"/>
          <w:pgSz w:w="11906" w:h="16838"/>
          <w:pgMar w:top="1440" w:right="1701" w:bottom="1440" w:left="1701" w:header="709" w:footer="709" w:gutter="0"/>
          <w:cols w:num="2" w:space="397"/>
          <w:docGrid w:linePitch="360"/>
        </w:sectPr>
      </w:pPr>
    </w:p>
    <w:p w:rsidR="00D346B4" w:rsidRPr="00DE475B" w:rsidRDefault="00D346B4">
      <w:pPr>
        <w:pStyle w:val="ARHeading1"/>
        <w:pageBreakBefore/>
        <w:rPr>
          <w:sz w:val="20"/>
          <w:szCs w:val="20"/>
        </w:rPr>
      </w:pPr>
      <w:r w:rsidRPr="000421C4">
        <w:lastRenderedPageBreak/>
        <w:t>Governance</w:t>
      </w:r>
    </w:p>
    <w:p w:rsidR="00D346B4" w:rsidRPr="00DE475B" w:rsidRDefault="00D346B4">
      <w:pPr>
        <w:pStyle w:val="ARHeading1"/>
        <w:rPr>
          <w:sz w:val="24"/>
          <w:szCs w:val="24"/>
        </w:rPr>
      </w:pPr>
    </w:p>
    <w:p w:rsidR="00D346B4" w:rsidRPr="00DE475B" w:rsidRDefault="00D346B4">
      <w:pPr>
        <w:sectPr w:rsidR="00D346B4" w:rsidRPr="00DE475B" w:rsidSect="00B53922">
          <w:headerReference w:type="even" r:id="rId17"/>
          <w:footerReference w:type="even" r:id="rId18"/>
          <w:headerReference w:type="first" r:id="rId19"/>
          <w:footerReference w:type="first" r:id="rId20"/>
          <w:pgSz w:w="11906" w:h="16838"/>
          <w:pgMar w:top="1440" w:right="1701" w:bottom="1440" w:left="1701" w:header="680" w:footer="680" w:gutter="0"/>
          <w:cols w:space="720"/>
          <w:docGrid w:linePitch="360"/>
        </w:sectPr>
      </w:pPr>
    </w:p>
    <w:p w:rsidR="003D09A9" w:rsidRPr="00D61714" w:rsidRDefault="003D09A9" w:rsidP="00D61714">
      <w:pPr>
        <w:pStyle w:val="ARheading3"/>
        <w:tabs>
          <w:tab w:val="left" w:pos="851"/>
        </w:tabs>
        <w:spacing w:after="120"/>
        <w:rPr>
          <w:color w:val="808080"/>
        </w:rPr>
      </w:pPr>
      <w:r w:rsidRPr="00D61714">
        <w:rPr>
          <w:color w:val="808080"/>
        </w:rPr>
        <w:lastRenderedPageBreak/>
        <w:t>Human resources</w:t>
      </w:r>
    </w:p>
    <w:p w:rsidR="00D61714" w:rsidRPr="00DE475B" w:rsidRDefault="00D61714" w:rsidP="003D09A9">
      <w:pPr>
        <w:pStyle w:val="ARHeading1"/>
        <w:rPr>
          <w:rFonts w:eastAsia="Batang"/>
          <w:bCs/>
          <w:color w:val="00000A"/>
          <w:sz w:val="20"/>
          <w:szCs w:val="20"/>
        </w:rPr>
      </w:pPr>
      <w:r>
        <w:rPr>
          <w:b/>
          <w:sz w:val="20"/>
          <w:szCs w:val="20"/>
        </w:rPr>
        <w:t>Workforce planning and performance</w:t>
      </w:r>
    </w:p>
    <w:p w:rsidR="00FE65AA" w:rsidRPr="00DE475B" w:rsidRDefault="00EC56BF" w:rsidP="00FE65AA">
      <w:pPr>
        <w:spacing w:after="120"/>
        <w:rPr>
          <w:rFonts w:ascii="Arial" w:eastAsia="Batang" w:hAnsi="Arial" w:cs="Arial"/>
          <w:bCs/>
          <w:color w:val="00000A"/>
          <w:sz w:val="20"/>
          <w:szCs w:val="20"/>
        </w:rPr>
      </w:pPr>
      <w:r w:rsidRPr="00DE475B">
        <w:rPr>
          <w:rFonts w:ascii="Arial" w:eastAsia="Batang" w:hAnsi="Arial" w:cs="Arial"/>
          <w:bCs/>
          <w:color w:val="00000A"/>
          <w:sz w:val="20"/>
          <w:szCs w:val="20"/>
        </w:rPr>
        <w:t>As at 30 June 2017</w:t>
      </w:r>
      <w:r w:rsidR="00FE65AA" w:rsidRPr="00DE475B">
        <w:rPr>
          <w:rFonts w:ascii="Arial" w:eastAsia="Batang" w:hAnsi="Arial" w:cs="Arial"/>
          <w:bCs/>
          <w:color w:val="00000A"/>
          <w:sz w:val="20"/>
          <w:szCs w:val="20"/>
        </w:rPr>
        <w:t xml:space="preserve">, </w:t>
      </w:r>
      <w:proofErr w:type="spellStart"/>
      <w:r w:rsidR="00FE65AA" w:rsidRPr="00DE475B">
        <w:rPr>
          <w:rFonts w:ascii="Arial" w:eastAsia="Batang" w:hAnsi="Arial" w:cs="Arial"/>
          <w:bCs/>
          <w:color w:val="00000A"/>
          <w:sz w:val="20"/>
          <w:szCs w:val="20"/>
        </w:rPr>
        <w:t>SLQ’s</w:t>
      </w:r>
      <w:proofErr w:type="spellEnd"/>
      <w:r w:rsidR="00FE65AA" w:rsidRPr="00DE475B">
        <w:rPr>
          <w:rFonts w:ascii="Arial" w:eastAsia="Batang" w:hAnsi="Arial" w:cs="Arial"/>
          <w:bCs/>
          <w:color w:val="00000A"/>
          <w:sz w:val="20"/>
          <w:szCs w:val="20"/>
        </w:rPr>
        <w:t xml:space="preserve"> workforce consisted </w:t>
      </w:r>
      <w:r w:rsidR="00FE65AA" w:rsidRPr="00E30C58">
        <w:rPr>
          <w:rFonts w:ascii="Arial" w:eastAsia="Batang" w:hAnsi="Arial" w:cs="Arial"/>
          <w:bCs/>
          <w:color w:val="00000A"/>
          <w:sz w:val="20"/>
          <w:szCs w:val="20"/>
        </w:rPr>
        <w:t xml:space="preserve">of </w:t>
      </w:r>
      <w:r w:rsidR="00E30C58" w:rsidRPr="00E30C58">
        <w:rPr>
          <w:rFonts w:ascii="Arial" w:hAnsi="Arial" w:cs="Arial"/>
          <w:color w:val="00000A"/>
          <w:sz w:val="20"/>
          <w:szCs w:val="20"/>
        </w:rPr>
        <w:t xml:space="preserve">274.77 </w:t>
      </w:r>
      <w:r w:rsidR="00FE65AA" w:rsidRPr="00E30C58">
        <w:rPr>
          <w:rFonts w:ascii="Arial" w:eastAsia="Batang" w:hAnsi="Arial" w:cs="Arial"/>
          <w:bCs/>
          <w:color w:val="00000A"/>
          <w:sz w:val="20"/>
          <w:szCs w:val="20"/>
        </w:rPr>
        <w:t>full-time equivalent staff</w:t>
      </w:r>
      <w:r w:rsidR="001956AA">
        <w:rPr>
          <w:rFonts w:ascii="Arial" w:eastAsia="Batang" w:hAnsi="Arial" w:cs="Arial"/>
          <w:bCs/>
          <w:color w:val="00000A"/>
          <w:sz w:val="20"/>
          <w:szCs w:val="20"/>
        </w:rPr>
        <w:t xml:space="preserve"> with a </w:t>
      </w:r>
      <w:r w:rsidR="00FE65AA" w:rsidRPr="00DE475B">
        <w:rPr>
          <w:rFonts w:ascii="Arial" w:eastAsia="Batang" w:hAnsi="Arial" w:cs="Arial"/>
          <w:bCs/>
          <w:color w:val="00000A"/>
          <w:sz w:val="20"/>
          <w:szCs w:val="20"/>
        </w:rPr>
        <w:t xml:space="preserve">permanent separation rate </w:t>
      </w:r>
      <w:r w:rsidR="001956AA">
        <w:rPr>
          <w:rFonts w:ascii="Arial" w:eastAsia="Batang" w:hAnsi="Arial" w:cs="Arial"/>
          <w:bCs/>
          <w:color w:val="00000A"/>
          <w:sz w:val="20"/>
          <w:szCs w:val="20"/>
        </w:rPr>
        <w:t>of</w:t>
      </w:r>
      <w:r w:rsidR="00FE65AA" w:rsidRPr="00DE475B">
        <w:rPr>
          <w:rFonts w:ascii="Arial" w:eastAsia="Batang" w:hAnsi="Arial" w:cs="Arial"/>
          <w:bCs/>
          <w:color w:val="00000A"/>
          <w:sz w:val="20"/>
          <w:szCs w:val="20"/>
        </w:rPr>
        <w:t xml:space="preserve"> </w:t>
      </w:r>
      <w:r w:rsidR="001956AA" w:rsidRPr="001956AA">
        <w:rPr>
          <w:rFonts w:ascii="Arial" w:eastAsia="Batang" w:hAnsi="Arial" w:cs="Arial"/>
          <w:bCs/>
          <w:color w:val="00000A"/>
          <w:sz w:val="20"/>
          <w:szCs w:val="20"/>
        </w:rPr>
        <w:t>7</w:t>
      </w:r>
      <w:r w:rsidR="00E842DB" w:rsidRPr="001956AA">
        <w:rPr>
          <w:rFonts w:ascii="Arial" w:eastAsia="Batang" w:hAnsi="Arial" w:cs="Arial"/>
          <w:bCs/>
          <w:color w:val="00000A"/>
          <w:sz w:val="20"/>
          <w:szCs w:val="20"/>
        </w:rPr>
        <w:t>.</w:t>
      </w:r>
      <w:r w:rsidR="001956AA" w:rsidRPr="001956AA">
        <w:rPr>
          <w:rFonts w:ascii="Arial" w:eastAsia="Batang" w:hAnsi="Arial" w:cs="Arial"/>
          <w:bCs/>
          <w:color w:val="00000A"/>
          <w:sz w:val="20"/>
          <w:szCs w:val="20"/>
        </w:rPr>
        <w:t>5</w:t>
      </w:r>
      <w:r w:rsidR="00FE65AA" w:rsidRPr="001956AA">
        <w:rPr>
          <w:rFonts w:ascii="Arial" w:eastAsia="Batang" w:hAnsi="Arial" w:cs="Arial"/>
          <w:bCs/>
          <w:color w:val="00000A"/>
          <w:sz w:val="20"/>
          <w:szCs w:val="20"/>
        </w:rPr>
        <w:t>%</w:t>
      </w:r>
      <w:r w:rsidR="00FE65AA" w:rsidRPr="00DE475B">
        <w:rPr>
          <w:rFonts w:ascii="Arial" w:eastAsia="Batang" w:hAnsi="Arial" w:cs="Arial"/>
          <w:bCs/>
          <w:color w:val="00000A"/>
          <w:sz w:val="20"/>
          <w:szCs w:val="20"/>
        </w:rPr>
        <w:t>.</w:t>
      </w:r>
    </w:p>
    <w:p w:rsidR="00FE65AA" w:rsidRPr="00DE475B" w:rsidRDefault="00FE65AA" w:rsidP="00E201F1">
      <w:pPr>
        <w:spacing w:after="120"/>
        <w:rPr>
          <w:rFonts w:ascii="Arial" w:eastAsia="Batang" w:hAnsi="Arial" w:cs="Arial"/>
          <w:bCs/>
          <w:color w:val="00000A"/>
          <w:sz w:val="20"/>
          <w:szCs w:val="20"/>
        </w:rPr>
      </w:pPr>
      <w:r w:rsidRPr="00DE475B">
        <w:rPr>
          <w:rFonts w:ascii="Arial" w:eastAsia="Batang" w:hAnsi="Arial" w:cs="Arial"/>
          <w:bCs/>
          <w:color w:val="00000A"/>
          <w:sz w:val="20"/>
          <w:szCs w:val="20"/>
        </w:rPr>
        <w:t xml:space="preserve">SLQ has </w:t>
      </w:r>
      <w:r w:rsidR="00E201F1" w:rsidRPr="00DE475B">
        <w:rPr>
          <w:rFonts w:ascii="Arial" w:eastAsia="Batang" w:hAnsi="Arial" w:cs="Arial"/>
          <w:bCs/>
          <w:color w:val="00000A"/>
          <w:sz w:val="20"/>
          <w:szCs w:val="20"/>
        </w:rPr>
        <w:t xml:space="preserve">been implementing a </w:t>
      </w:r>
      <w:r w:rsidRPr="006E031A">
        <w:rPr>
          <w:rFonts w:ascii="Arial" w:eastAsia="Batang" w:hAnsi="Arial" w:cs="Arial"/>
          <w:bCs/>
          <w:color w:val="00000A"/>
          <w:sz w:val="20"/>
          <w:szCs w:val="20"/>
        </w:rPr>
        <w:t>Strategic Workforce Plan</w:t>
      </w:r>
      <w:r w:rsidRPr="00DE475B">
        <w:rPr>
          <w:rFonts w:ascii="Arial" w:eastAsia="Batang" w:hAnsi="Arial" w:cs="Arial"/>
          <w:bCs/>
          <w:color w:val="00000A"/>
          <w:sz w:val="20"/>
          <w:szCs w:val="20"/>
        </w:rPr>
        <w:t xml:space="preserve"> </w:t>
      </w:r>
      <w:r w:rsidR="00E201F1" w:rsidRPr="00DE475B">
        <w:rPr>
          <w:rFonts w:ascii="Arial" w:eastAsia="Batang" w:hAnsi="Arial" w:cs="Arial"/>
          <w:bCs/>
          <w:color w:val="00000A"/>
          <w:sz w:val="20"/>
          <w:szCs w:val="20"/>
        </w:rPr>
        <w:t xml:space="preserve">which aims to develop a future workforce that is flexible, diverse, </w:t>
      </w:r>
      <w:proofErr w:type="gramStart"/>
      <w:r w:rsidR="00E201F1" w:rsidRPr="00DE475B">
        <w:rPr>
          <w:rFonts w:ascii="Arial" w:eastAsia="Batang" w:hAnsi="Arial" w:cs="Arial"/>
          <w:bCs/>
          <w:color w:val="00000A"/>
          <w:sz w:val="20"/>
          <w:szCs w:val="20"/>
        </w:rPr>
        <w:t>technologically</w:t>
      </w:r>
      <w:proofErr w:type="gramEnd"/>
      <w:r w:rsidR="00E201F1" w:rsidRPr="00DE475B">
        <w:rPr>
          <w:rFonts w:ascii="Arial" w:eastAsia="Batang" w:hAnsi="Arial" w:cs="Arial"/>
          <w:bCs/>
          <w:color w:val="00000A"/>
          <w:sz w:val="20"/>
          <w:szCs w:val="20"/>
        </w:rPr>
        <w:t xml:space="preserve"> adept and client oriented (page </w:t>
      </w:r>
      <w:r w:rsidR="007650CC">
        <w:rPr>
          <w:rFonts w:ascii="Arial" w:eastAsia="Batang" w:hAnsi="Arial" w:cs="Arial"/>
          <w:bCs/>
          <w:color w:val="00000A"/>
          <w:sz w:val="20"/>
          <w:szCs w:val="20"/>
        </w:rPr>
        <w:t>3</w:t>
      </w:r>
      <w:r w:rsidR="005147B1">
        <w:rPr>
          <w:rFonts w:ascii="Arial" w:eastAsia="Batang" w:hAnsi="Arial" w:cs="Arial"/>
          <w:bCs/>
          <w:color w:val="00000A"/>
          <w:sz w:val="20"/>
          <w:szCs w:val="20"/>
        </w:rPr>
        <w:t>1</w:t>
      </w:r>
      <w:r w:rsidR="00E201F1" w:rsidRPr="00DE475B">
        <w:rPr>
          <w:rFonts w:ascii="Arial" w:eastAsia="Batang" w:hAnsi="Arial" w:cs="Arial"/>
          <w:bCs/>
          <w:color w:val="00000A"/>
          <w:sz w:val="20"/>
          <w:szCs w:val="20"/>
        </w:rPr>
        <w:t xml:space="preserve">). </w:t>
      </w:r>
      <w:r w:rsidRPr="00DE475B">
        <w:rPr>
          <w:rFonts w:ascii="Arial" w:eastAsia="Batang" w:hAnsi="Arial" w:cs="Arial"/>
          <w:bCs/>
          <w:color w:val="00000A"/>
          <w:sz w:val="20"/>
          <w:szCs w:val="20"/>
        </w:rPr>
        <w:t>Key strategies include:</w:t>
      </w:r>
    </w:p>
    <w:p w:rsidR="00FE65AA" w:rsidRPr="00DE475B" w:rsidRDefault="00FE65AA" w:rsidP="00337D67">
      <w:pPr>
        <w:numPr>
          <w:ilvl w:val="0"/>
          <w:numId w:val="2"/>
        </w:numPr>
        <w:tabs>
          <w:tab w:val="clear" w:pos="720"/>
          <w:tab w:val="left" w:pos="284"/>
        </w:tabs>
        <w:spacing w:after="40"/>
        <w:ind w:left="284" w:hanging="284"/>
        <w:rPr>
          <w:rFonts w:ascii="Arial" w:hAnsi="Arial" w:cs="Arial"/>
          <w:sz w:val="20"/>
          <w:szCs w:val="20"/>
          <w:shd w:val="clear" w:color="auto" w:fill="FFFF00"/>
        </w:rPr>
      </w:pPr>
      <w:r w:rsidRPr="00DE475B">
        <w:rPr>
          <w:rFonts w:ascii="Arial" w:hAnsi="Arial" w:cs="Arial"/>
          <w:sz w:val="20"/>
          <w:szCs w:val="20"/>
        </w:rPr>
        <w:t>employing a mix of temporary, casual and contract staff as a critical component of a flexible and agile workforce</w:t>
      </w:r>
    </w:p>
    <w:p w:rsidR="00FE65AA" w:rsidRPr="00DE475B" w:rsidRDefault="00FE65AA" w:rsidP="00337D67">
      <w:pPr>
        <w:numPr>
          <w:ilvl w:val="0"/>
          <w:numId w:val="2"/>
        </w:numPr>
        <w:tabs>
          <w:tab w:val="clear" w:pos="720"/>
          <w:tab w:val="left" w:pos="284"/>
        </w:tabs>
        <w:spacing w:after="40"/>
        <w:ind w:left="284" w:hanging="284"/>
        <w:rPr>
          <w:rFonts w:ascii="Arial" w:hAnsi="Arial" w:cs="Arial"/>
          <w:spacing w:val="-2"/>
          <w:sz w:val="20"/>
          <w:szCs w:val="20"/>
        </w:rPr>
      </w:pPr>
      <w:proofErr w:type="gramStart"/>
      <w:r w:rsidRPr="00DE475B">
        <w:rPr>
          <w:rFonts w:ascii="Arial" w:hAnsi="Arial" w:cs="Arial"/>
          <w:spacing w:val="-2"/>
          <w:sz w:val="20"/>
          <w:szCs w:val="20"/>
        </w:rPr>
        <w:t>an</w:t>
      </w:r>
      <w:proofErr w:type="gramEnd"/>
      <w:r w:rsidRPr="00DE475B">
        <w:rPr>
          <w:rFonts w:ascii="Arial" w:hAnsi="Arial" w:cs="Arial"/>
          <w:spacing w:val="-2"/>
          <w:sz w:val="20"/>
          <w:szCs w:val="20"/>
        </w:rPr>
        <w:t xml:space="preserve"> ongoing commitment to flexible work initiatives as a critical attraction and retention strategy. This is demonstrated by an employment status profile comprising more than 2</w:t>
      </w:r>
      <w:r w:rsidR="001A3D9F" w:rsidRPr="00DE475B">
        <w:rPr>
          <w:rFonts w:ascii="Arial" w:hAnsi="Arial" w:cs="Arial"/>
          <w:spacing w:val="-2"/>
          <w:sz w:val="20"/>
          <w:szCs w:val="20"/>
        </w:rPr>
        <w:t>4</w:t>
      </w:r>
      <w:r w:rsidRPr="00DE475B">
        <w:rPr>
          <w:rFonts w:ascii="Arial" w:hAnsi="Arial" w:cs="Arial"/>
          <w:spacing w:val="-2"/>
          <w:sz w:val="20"/>
          <w:szCs w:val="20"/>
        </w:rPr>
        <w:t>% part-time employees</w:t>
      </w:r>
    </w:p>
    <w:p w:rsidR="00FE65AA" w:rsidRPr="00DE475B" w:rsidRDefault="00FE65AA" w:rsidP="00337D67">
      <w:pPr>
        <w:numPr>
          <w:ilvl w:val="0"/>
          <w:numId w:val="2"/>
        </w:numPr>
        <w:tabs>
          <w:tab w:val="clear" w:pos="720"/>
          <w:tab w:val="left" w:pos="284"/>
        </w:tabs>
        <w:spacing w:after="120"/>
        <w:ind w:left="284" w:hanging="284"/>
        <w:rPr>
          <w:rFonts w:ascii="Arial" w:hAnsi="Arial" w:cs="Arial"/>
          <w:spacing w:val="-2"/>
          <w:sz w:val="20"/>
          <w:szCs w:val="20"/>
        </w:rPr>
      </w:pPr>
      <w:proofErr w:type="gramStart"/>
      <w:r w:rsidRPr="00DE475B">
        <w:rPr>
          <w:rFonts w:ascii="Arial" w:hAnsi="Arial" w:cs="Arial"/>
          <w:spacing w:val="-2"/>
          <w:sz w:val="20"/>
          <w:szCs w:val="20"/>
        </w:rPr>
        <w:t>ongoing</w:t>
      </w:r>
      <w:proofErr w:type="gramEnd"/>
      <w:r w:rsidRPr="00DE475B">
        <w:rPr>
          <w:rFonts w:ascii="Arial" w:hAnsi="Arial" w:cs="Arial"/>
          <w:spacing w:val="-2"/>
          <w:sz w:val="20"/>
          <w:szCs w:val="20"/>
        </w:rPr>
        <w:t xml:space="preserve"> leadership training for all staff.</w:t>
      </w:r>
    </w:p>
    <w:p w:rsidR="00FE65AA" w:rsidRPr="00DE475B" w:rsidRDefault="00FE65AA" w:rsidP="00FE65AA">
      <w:pPr>
        <w:shd w:val="clear" w:color="auto" w:fill="FFFFFF"/>
        <w:spacing w:after="120"/>
        <w:rPr>
          <w:rFonts w:ascii="Arial" w:hAnsi="Arial" w:cs="Arial"/>
          <w:spacing w:val="-2"/>
          <w:sz w:val="20"/>
          <w:szCs w:val="20"/>
          <w:shd w:val="clear" w:color="auto" w:fill="FFFFFF"/>
        </w:rPr>
      </w:pPr>
      <w:proofErr w:type="spellStart"/>
      <w:r w:rsidRPr="00DE475B">
        <w:rPr>
          <w:rFonts w:ascii="Arial" w:hAnsi="Arial" w:cs="Arial"/>
          <w:spacing w:val="-2"/>
          <w:sz w:val="20"/>
          <w:szCs w:val="20"/>
          <w:shd w:val="clear" w:color="auto" w:fill="FFFFFF"/>
        </w:rPr>
        <w:t>SLQ’s</w:t>
      </w:r>
      <w:proofErr w:type="spellEnd"/>
      <w:r w:rsidRPr="00DE475B">
        <w:rPr>
          <w:rFonts w:ascii="Arial" w:hAnsi="Arial" w:cs="Arial"/>
          <w:spacing w:val="-2"/>
          <w:sz w:val="20"/>
          <w:szCs w:val="20"/>
          <w:shd w:val="clear" w:color="auto" w:fill="FFFFFF"/>
        </w:rPr>
        <w:t xml:space="preserve"> on-boarding program is designed to welcome and integrate new starters into the organisation during their first three months, to prepare them to succeed at their job and to become fully engaged, productive employees.</w:t>
      </w:r>
    </w:p>
    <w:p w:rsidR="007A54D1" w:rsidRDefault="00FE65AA" w:rsidP="00FE65AA">
      <w:pPr>
        <w:shd w:val="clear" w:color="auto" w:fill="FFFFFF"/>
        <w:spacing w:after="120"/>
        <w:rPr>
          <w:rFonts w:ascii="Arial" w:hAnsi="Arial" w:cs="Arial"/>
          <w:spacing w:val="-2"/>
          <w:sz w:val="20"/>
          <w:szCs w:val="20"/>
          <w:shd w:val="clear" w:color="auto" w:fill="FFFFFF"/>
        </w:rPr>
      </w:pPr>
      <w:r w:rsidRPr="00DE475B">
        <w:rPr>
          <w:rFonts w:ascii="Arial" w:hAnsi="Arial" w:cs="Arial"/>
          <w:spacing w:val="-2"/>
          <w:sz w:val="20"/>
          <w:szCs w:val="20"/>
          <w:shd w:val="clear" w:color="auto" w:fill="FFFFFF"/>
        </w:rPr>
        <w:t xml:space="preserve">Each staff member is </w:t>
      </w:r>
      <w:r w:rsidR="008948EA">
        <w:rPr>
          <w:rFonts w:ascii="Arial" w:hAnsi="Arial" w:cs="Arial"/>
          <w:spacing w:val="-2"/>
          <w:sz w:val="20"/>
          <w:szCs w:val="20"/>
          <w:shd w:val="clear" w:color="auto" w:fill="FFFFFF"/>
        </w:rPr>
        <w:t>requir</w:t>
      </w:r>
      <w:r w:rsidRPr="00DE475B">
        <w:rPr>
          <w:rFonts w:ascii="Arial" w:hAnsi="Arial" w:cs="Arial"/>
          <w:spacing w:val="-2"/>
          <w:sz w:val="20"/>
          <w:szCs w:val="20"/>
          <w:shd w:val="clear" w:color="auto" w:fill="FFFFFF"/>
        </w:rPr>
        <w:t xml:space="preserve">ed to take part in an annual Personal Performance Planning </w:t>
      </w:r>
      <w:r w:rsidR="007A54D1">
        <w:rPr>
          <w:rFonts w:ascii="Arial" w:hAnsi="Arial" w:cs="Arial"/>
          <w:spacing w:val="-2"/>
          <w:sz w:val="20"/>
          <w:szCs w:val="20"/>
          <w:shd w:val="clear" w:color="auto" w:fill="FFFFFF"/>
        </w:rPr>
        <w:t xml:space="preserve">(PPP) </w:t>
      </w:r>
      <w:r w:rsidRPr="00DE475B">
        <w:rPr>
          <w:rFonts w:ascii="Arial" w:hAnsi="Arial" w:cs="Arial"/>
          <w:spacing w:val="-2"/>
          <w:sz w:val="20"/>
          <w:szCs w:val="20"/>
          <w:shd w:val="clear" w:color="auto" w:fill="FFFFFF"/>
        </w:rPr>
        <w:t xml:space="preserve">process, which aligns the work and development of individual staff to the SLQ strategic and operational plans. </w:t>
      </w:r>
      <w:r w:rsidR="007A54D1">
        <w:rPr>
          <w:rFonts w:ascii="Arial" w:hAnsi="Arial" w:cs="Arial"/>
          <w:spacing w:val="-2"/>
          <w:sz w:val="20"/>
          <w:szCs w:val="20"/>
          <w:shd w:val="clear" w:color="auto" w:fill="FFFFFF"/>
        </w:rPr>
        <w:t xml:space="preserve">In June 2017, a revised template was released to help staff have more meaningful PPP conversations with their </w:t>
      </w:r>
      <w:r w:rsidR="003053A2">
        <w:rPr>
          <w:rFonts w:ascii="Arial" w:hAnsi="Arial" w:cs="Arial"/>
          <w:spacing w:val="-2"/>
          <w:sz w:val="20"/>
          <w:szCs w:val="20"/>
          <w:shd w:val="clear" w:color="auto" w:fill="FFFFFF"/>
        </w:rPr>
        <w:t>managers.</w:t>
      </w:r>
    </w:p>
    <w:p w:rsidR="00FE65AA" w:rsidRPr="00DE475B" w:rsidRDefault="00FE65AA" w:rsidP="00FE65AA">
      <w:pPr>
        <w:shd w:val="clear" w:color="auto" w:fill="FFFFFF"/>
        <w:spacing w:after="120"/>
        <w:rPr>
          <w:rFonts w:ascii="Arial" w:hAnsi="Arial" w:cs="Arial"/>
          <w:spacing w:val="-2"/>
          <w:sz w:val="20"/>
          <w:szCs w:val="20"/>
          <w:shd w:val="clear" w:color="auto" w:fill="FFFFFF"/>
        </w:rPr>
      </w:pPr>
      <w:r w:rsidRPr="00DE475B">
        <w:rPr>
          <w:rFonts w:ascii="Arial" w:hAnsi="Arial" w:cs="Arial"/>
          <w:spacing w:val="-2"/>
          <w:sz w:val="20"/>
          <w:szCs w:val="20"/>
          <w:shd w:val="clear" w:color="auto" w:fill="FFFFFF"/>
        </w:rPr>
        <w:t>Exceptional work is recognised through the Most Valuable Contribution Awards, with teams or individuals nominated by their peers for exc</w:t>
      </w:r>
      <w:r w:rsidR="0042338E" w:rsidRPr="00DE475B">
        <w:rPr>
          <w:rFonts w:ascii="Arial" w:hAnsi="Arial" w:cs="Arial"/>
          <w:spacing w:val="-2"/>
          <w:sz w:val="20"/>
          <w:szCs w:val="20"/>
          <w:shd w:val="clear" w:color="auto" w:fill="FFFFFF"/>
        </w:rPr>
        <w:t xml:space="preserve">ellence in demonstrating </w:t>
      </w:r>
      <w:proofErr w:type="spellStart"/>
      <w:r w:rsidR="0042338E" w:rsidRPr="00DE475B">
        <w:rPr>
          <w:rFonts w:ascii="Arial" w:hAnsi="Arial" w:cs="Arial"/>
          <w:spacing w:val="-2"/>
          <w:sz w:val="20"/>
          <w:szCs w:val="20"/>
          <w:shd w:val="clear" w:color="auto" w:fill="FFFFFF"/>
        </w:rPr>
        <w:t>SLQ’s</w:t>
      </w:r>
      <w:proofErr w:type="spellEnd"/>
      <w:r w:rsidR="0042338E" w:rsidRPr="00DE475B">
        <w:rPr>
          <w:rFonts w:ascii="Arial" w:hAnsi="Arial" w:cs="Arial"/>
          <w:spacing w:val="-2"/>
          <w:sz w:val="20"/>
          <w:szCs w:val="20"/>
          <w:shd w:val="clear" w:color="auto" w:fill="FFFFFF"/>
        </w:rPr>
        <w:t xml:space="preserve"> G</w:t>
      </w:r>
      <w:r w:rsidRPr="00DE475B">
        <w:rPr>
          <w:rFonts w:ascii="Arial" w:hAnsi="Arial" w:cs="Arial"/>
          <w:spacing w:val="-2"/>
          <w:sz w:val="20"/>
          <w:szCs w:val="20"/>
          <w:shd w:val="clear" w:color="auto" w:fill="FFFFFF"/>
        </w:rPr>
        <w:t xml:space="preserve">uiding </w:t>
      </w:r>
      <w:r w:rsidR="0042338E" w:rsidRPr="00DE475B">
        <w:rPr>
          <w:rFonts w:ascii="Arial" w:hAnsi="Arial" w:cs="Arial"/>
          <w:spacing w:val="-2"/>
          <w:sz w:val="20"/>
          <w:szCs w:val="20"/>
          <w:shd w:val="clear" w:color="auto" w:fill="FFFFFF"/>
        </w:rPr>
        <w:t>B</w:t>
      </w:r>
      <w:r w:rsidRPr="00DE475B">
        <w:rPr>
          <w:rFonts w:ascii="Arial" w:hAnsi="Arial" w:cs="Arial"/>
          <w:spacing w:val="-2"/>
          <w:sz w:val="20"/>
          <w:szCs w:val="20"/>
          <w:shd w:val="clear" w:color="auto" w:fill="FFFFFF"/>
        </w:rPr>
        <w:t xml:space="preserve">ehaviours of customers first, ideas into action, be courageous and empower people. </w:t>
      </w:r>
      <w:proofErr w:type="gramStart"/>
      <w:r w:rsidRPr="00DE475B">
        <w:rPr>
          <w:rFonts w:ascii="Arial" w:hAnsi="Arial" w:cs="Arial"/>
          <w:spacing w:val="-2"/>
          <w:sz w:val="20"/>
          <w:szCs w:val="20"/>
          <w:shd w:val="clear" w:color="auto" w:fill="FFFFFF"/>
        </w:rPr>
        <w:t>Staff are</w:t>
      </w:r>
      <w:proofErr w:type="gramEnd"/>
      <w:r w:rsidRPr="00DE475B">
        <w:rPr>
          <w:rFonts w:ascii="Arial" w:hAnsi="Arial" w:cs="Arial"/>
          <w:spacing w:val="-2"/>
          <w:sz w:val="20"/>
          <w:szCs w:val="20"/>
          <w:shd w:val="clear" w:color="auto" w:fill="FFFFFF"/>
        </w:rPr>
        <w:t xml:space="preserve"> also formally recognised for long service to SLQ at </w:t>
      </w:r>
      <w:r w:rsidR="00C016A6">
        <w:rPr>
          <w:rFonts w:ascii="Arial" w:hAnsi="Arial" w:cs="Arial"/>
          <w:spacing w:val="-2"/>
          <w:sz w:val="20"/>
          <w:szCs w:val="20"/>
          <w:shd w:val="clear" w:color="auto" w:fill="FFFFFF"/>
        </w:rPr>
        <w:t>10-</w:t>
      </w:r>
      <w:r w:rsidRPr="00DE475B">
        <w:rPr>
          <w:rFonts w:ascii="Arial" w:hAnsi="Arial" w:cs="Arial"/>
          <w:spacing w:val="-2"/>
          <w:sz w:val="20"/>
          <w:szCs w:val="20"/>
          <w:shd w:val="clear" w:color="auto" w:fill="FFFFFF"/>
        </w:rPr>
        <w:t>year intervals.</w:t>
      </w:r>
    </w:p>
    <w:p w:rsidR="00FE65AA" w:rsidRPr="00DE475B" w:rsidRDefault="00FE65AA" w:rsidP="00FE65AA">
      <w:pPr>
        <w:shd w:val="clear" w:color="auto" w:fill="FFFFFF"/>
        <w:spacing w:after="120"/>
        <w:rPr>
          <w:rFonts w:ascii="Arial" w:hAnsi="Arial" w:cs="Arial"/>
          <w:sz w:val="20"/>
          <w:szCs w:val="20"/>
          <w:shd w:val="clear" w:color="auto" w:fill="FFFFFF"/>
        </w:rPr>
      </w:pPr>
      <w:r w:rsidRPr="00DE475B">
        <w:rPr>
          <w:rFonts w:ascii="Arial" w:hAnsi="Arial" w:cs="Arial"/>
          <w:sz w:val="20"/>
          <w:szCs w:val="20"/>
          <w:shd w:val="clear" w:color="auto" w:fill="FFFFFF"/>
        </w:rPr>
        <w:t xml:space="preserve">SLQ has a strong tradition of offering flexible working arrangements to employees, and has developed a </w:t>
      </w:r>
      <w:r w:rsidR="008A058B" w:rsidRPr="002A1058">
        <w:rPr>
          <w:rFonts w:ascii="Arial" w:hAnsi="Arial" w:cs="Arial"/>
          <w:i/>
          <w:sz w:val="20"/>
          <w:szCs w:val="20"/>
          <w:shd w:val="clear" w:color="auto" w:fill="FFFFFF"/>
        </w:rPr>
        <w:t xml:space="preserve">Supporting </w:t>
      </w:r>
      <w:r w:rsidRPr="002A1058">
        <w:rPr>
          <w:rFonts w:ascii="Arial" w:hAnsi="Arial" w:cs="Arial"/>
          <w:i/>
          <w:sz w:val="20"/>
          <w:szCs w:val="20"/>
          <w:shd w:val="clear" w:color="auto" w:fill="FFFFFF"/>
        </w:rPr>
        <w:t>Life Balance</w:t>
      </w:r>
      <w:r w:rsidRPr="00DE475B">
        <w:rPr>
          <w:rFonts w:ascii="Arial" w:hAnsi="Arial" w:cs="Arial"/>
          <w:sz w:val="20"/>
          <w:szCs w:val="20"/>
          <w:shd w:val="clear" w:color="auto" w:fill="FFFFFF"/>
        </w:rPr>
        <w:t xml:space="preserve"> policy o</w:t>
      </w:r>
      <w:r w:rsidR="008A058B" w:rsidRPr="00DE475B">
        <w:rPr>
          <w:rFonts w:ascii="Arial" w:hAnsi="Arial" w:cs="Arial"/>
          <w:sz w:val="20"/>
          <w:szCs w:val="20"/>
          <w:shd w:val="clear" w:color="auto" w:fill="FFFFFF"/>
        </w:rPr>
        <w:t>utlining this commitment. Life b</w:t>
      </w:r>
      <w:r w:rsidRPr="00DE475B">
        <w:rPr>
          <w:rFonts w:ascii="Arial" w:hAnsi="Arial" w:cs="Arial"/>
          <w:sz w:val="20"/>
          <w:szCs w:val="20"/>
          <w:shd w:val="clear" w:color="auto" w:fill="FFFFFF"/>
        </w:rPr>
        <w:t>alance arrangements include employees returning from parental leave, workers requesting part-time employment prior to retirement, flexible hours for employees undertaking study and job-share arrangements in addition to part-time employment options and tele</w:t>
      </w:r>
      <w:r w:rsidR="00571370">
        <w:rPr>
          <w:rFonts w:ascii="Arial" w:hAnsi="Arial" w:cs="Arial"/>
          <w:sz w:val="20"/>
          <w:szCs w:val="20"/>
          <w:shd w:val="clear" w:color="auto" w:fill="FFFFFF"/>
        </w:rPr>
        <w:t>commut</w:t>
      </w:r>
      <w:r w:rsidRPr="00DE475B">
        <w:rPr>
          <w:rFonts w:ascii="Arial" w:hAnsi="Arial" w:cs="Arial"/>
          <w:sz w:val="20"/>
          <w:szCs w:val="20"/>
          <w:shd w:val="clear" w:color="auto" w:fill="FFFFFF"/>
        </w:rPr>
        <w:t xml:space="preserve">ing. SLQ provides an onsite carer’s facility </w:t>
      </w:r>
      <w:r w:rsidR="000221D3">
        <w:rPr>
          <w:rFonts w:ascii="Arial" w:hAnsi="Arial" w:cs="Arial"/>
          <w:sz w:val="20"/>
          <w:szCs w:val="20"/>
          <w:shd w:val="clear" w:color="auto" w:fill="FFFFFF"/>
        </w:rPr>
        <w:t xml:space="preserve">at </w:t>
      </w:r>
      <w:r w:rsidR="000221D3" w:rsidRPr="00DE475B">
        <w:rPr>
          <w:rFonts w:ascii="Arial" w:hAnsi="Arial" w:cs="Arial"/>
          <w:sz w:val="20"/>
          <w:szCs w:val="20"/>
          <w:shd w:val="clear" w:color="auto" w:fill="FFFFFF"/>
        </w:rPr>
        <w:t xml:space="preserve">South Bank </w:t>
      </w:r>
      <w:r w:rsidRPr="00DE475B">
        <w:rPr>
          <w:rFonts w:ascii="Arial" w:hAnsi="Arial" w:cs="Arial"/>
          <w:sz w:val="20"/>
          <w:szCs w:val="20"/>
          <w:shd w:val="clear" w:color="auto" w:fill="FFFFFF"/>
        </w:rPr>
        <w:t>to h</w:t>
      </w:r>
      <w:r w:rsidR="00C016A6">
        <w:rPr>
          <w:rFonts w:ascii="Arial" w:hAnsi="Arial" w:cs="Arial"/>
          <w:sz w:val="20"/>
          <w:szCs w:val="20"/>
          <w:shd w:val="clear" w:color="auto" w:fill="FFFFFF"/>
        </w:rPr>
        <w:t>elp employees care for a dependa</w:t>
      </w:r>
      <w:r w:rsidRPr="00DE475B">
        <w:rPr>
          <w:rFonts w:ascii="Arial" w:hAnsi="Arial" w:cs="Arial"/>
          <w:sz w:val="20"/>
          <w:szCs w:val="20"/>
          <w:shd w:val="clear" w:color="auto" w:fill="FFFFFF"/>
        </w:rPr>
        <w:t>nt</w:t>
      </w:r>
      <w:r w:rsidR="004845DF">
        <w:rPr>
          <w:rFonts w:ascii="Arial" w:hAnsi="Arial" w:cs="Arial"/>
          <w:sz w:val="20"/>
          <w:szCs w:val="20"/>
          <w:shd w:val="clear" w:color="auto" w:fill="FFFFFF"/>
        </w:rPr>
        <w:t>,</w:t>
      </w:r>
      <w:r w:rsidRPr="00DE475B">
        <w:rPr>
          <w:rFonts w:ascii="Arial" w:hAnsi="Arial" w:cs="Arial"/>
          <w:sz w:val="20"/>
          <w:szCs w:val="20"/>
          <w:shd w:val="clear" w:color="auto" w:fill="FFFFFF"/>
        </w:rPr>
        <w:t xml:space="preserve"> and for </w:t>
      </w:r>
      <w:r w:rsidR="003566A1" w:rsidRPr="00DE475B">
        <w:rPr>
          <w:rFonts w:ascii="Arial" w:hAnsi="Arial" w:cs="Arial"/>
          <w:sz w:val="20"/>
          <w:szCs w:val="20"/>
          <w:shd w:val="clear" w:color="auto" w:fill="FFFFFF"/>
        </w:rPr>
        <w:t xml:space="preserve">nursing </w:t>
      </w:r>
      <w:r w:rsidRPr="00DE475B">
        <w:rPr>
          <w:rFonts w:ascii="Arial" w:hAnsi="Arial" w:cs="Arial"/>
          <w:sz w:val="20"/>
          <w:szCs w:val="20"/>
          <w:shd w:val="clear" w:color="auto" w:fill="FFFFFF"/>
        </w:rPr>
        <w:t>mothers.</w:t>
      </w:r>
    </w:p>
    <w:p w:rsidR="00FE65AA" w:rsidRPr="00DE475B" w:rsidRDefault="00FE65AA" w:rsidP="00FE65AA">
      <w:pPr>
        <w:shd w:val="clear" w:color="auto" w:fill="FFFFFF"/>
        <w:spacing w:after="120"/>
        <w:rPr>
          <w:rFonts w:ascii="Arial" w:hAnsi="Arial" w:cs="Arial"/>
          <w:sz w:val="20"/>
          <w:szCs w:val="20"/>
          <w:shd w:val="clear" w:color="auto" w:fill="FFFF00"/>
        </w:rPr>
      </w:pPr>
      <w:r w:rsidRPr="00DE475B">
        <w:rPr>
          <w:rFonts w:ascii="Arial" w:hAnsi="Arial" w:cs="Arial"/>
          <w:sz w:val="20"/>
          <w:szCs w:val="20"/>
          <w:shd w:val="clear" w:color="auto" w:fill="FFFFFF"/>
        </w:rPr>
        <w:lastRenderedPageBreak/>
        <w:t>SLQ has a collaborative approach to employee relations and meets regularly with members of the Agency Consultative Committee to discuss a broad range of topics, including workplace change.</w:t>
      </w:r>
    </w:p>
    <w:p w:rsidR="00FE65AA" w:rsidRPr="00DE475B" w:rsidRDefault="00FE65AA" w:rsidP="00FE65AA">
      <w:pPr>
        <w:shd w:val="clear" w:color="auto" w:fill="FFFFFF"/>
        <w:spacing w:after="120"/>
        <w:rPr>
          <w:rFonts w:ascii="Arial" w:hAnsi="Arial" w:cs="Arial"/>
          <w:sz w:val="20"/>
          <w:szCs w:val="20"/>
          <w:shd w:val="clear" w:color="auto" w:fill="FFFFFF"/>
        </w:rPr>
      </w:pPr>
      <w:r w:rsidRPr="00DE475B">
        <w:rPr>
          <w:rFonts w:ascii="Arial" w:hAnsi="Arial" w:cs="Arial"/>
          <w:sz w:val="20"/>
          <w:szCs w:val="20"/>
          <w:shd w:val="clear" w:color="auto" w:fill="FFFFFF"/>
        </w:rPr>
        <w:t xml:space="preserve">SLQ HR policies and procedures are reviewed regularly, with an aim to not duplicate </w:t>
      </w:r>
      <w:r w:rsidR="00133B99">
        <w:rPr>
          <w:rFonts w:ascii="Arial" w:hAnsi="Arial" w:cs="Arial"/>
          <w:sz w:val="20"/>
          <w:szCs w:val="20"/>
          <w:shd w:val="clear" w:color="auto" w:fill="FFFFFF"/>
        </w:rPr>
        <w:t>existing Queensland Government directives or g</w:t>
      </w:r>
      <w:r w:rsidRPr="00DE475B">
        <w:rPr>
          <w:rFonts w:ascii="Arial" w:hAnsi="Arial" w:cs="Arial"/>
          <w:sz w:val="20"/>
          <w:szCs w:val="20"/>
          <w:shd w:val="clear" w:color="auto" w:fill="FFFFFF"/>
        </w:rPr>
        <w:t xml:space="preserve">uidelines. </w:t>
      </w:r>
    </w:p>
    <w:p w:rsidR="00E2078C" w:rsidRPr="00DE475B" w:rsidRDefault="00E2078C" w:rsidP="00FE65AA">
      <w:pPr>
        <w:spacing w:after="120"/>
        <w:ind w:right="-148"/>
        <w:rPr>
          <w:rFonts w:ascii="Arial" w:hAnsi="Arial" w:cs="Arial"/>
          <w:sz w:val="20"/>
          <w:szCs w:val="20"/>
        </w:rPr>
      </w:pPr>
      <w:r w:rsidRPr="00DE475B">
        <w:rPr>
          <w:rFonts w:ascii="Arial" w:hAnsi="Arial" w:cs="Arial"/>
          <w:sz w:val="20"/>
          <w:szCs w:val="20"/>
        </w:rPr>
        <w:t xml:space="preserve">A cross-functional Staff Survey Action Team is working towards improvements identified through the </w:t>
      </w:r>
      <w:r w:rsidRPr="00DE475B">
        <w:rPr>
          <w:rFonts w:ascii="Arial" w:hAnsi="Arial" w:cs="Arial"/>
          <w:i/>
          <w:iCs/>
          <w:sz w:val="20"/>
          <w:szCs w:val="20"/>
        </w:rPr>
        <w:t>201</w:t>
      </w:r>
      <w:r w:rsidR="008948EA">
        <w:rPr>
          <w:rFonts w:ascii="Arial" w:hAnsi="Arial" w:cs="Arial"/>
          <w:i/>
          <w:iCs/>
          <w:sz w:val="20"/>
          <w:szCs w:val="20"/>
        </w:rPr>
        <w:t>6</w:t>
      </w:r>
      <w:r w:rsidRPr="00DE475B">
        <w:rPr>
          <w:rFonts w:ascii="Arial" w:hAnsi="Arial" w:cs="Arial"/>
          <w:i/>
          <w:iCs/>
          <w:sz w:val="20"/>
          <w:szCs w:val="20"/>
        </w:rPr>
        <w:t xml:space="preserve"> </w:t>
      </w:r>
      <w:proofErr w:type="gramStart"/>
      <w:r w:rsidRPr="00DE475B">
        <w:rPr>
          <w:rFonts w:ascii="Arial" w:hAnsi="Arial" w:cs="Arial"/>
          <w:i/>
          <w:iCs/>
          <w:sz w:val="20"/>
          <w:szCs w:val="20"/>
        </w:rPr>
        <w:t>Working</w:t>
      </w:r>
      <w:proofErr w:type="gramEnd"/>
      <w:r w:rsidRPr="00DE475B">
        <w:rPr>
          <w:rFonts w:ascii="Arial" w:hAnsi="Arial" w:cs="Arial"/>
          <w:i/>
          <w:iCs/>
          <w:sz w:val="20"/>
          <w:szCs w:val="20"/>
        </w:rPr>
        <w:t xml:space="preserve"> for Queensland</w:t>
      </w:r>
      <w:r w:rsidRPr="00DE475B">
        <w:rPr>
          <w:rFonts w:ascii="Arial" w:hAnsi="Arial" w:cs="Arial"/>
          <w:sz w:val="20"/>
          <w:szCs w:val="20"/>
        </w:rPr>
        <w:t xml:space="preserve"> employee opinion survey. </w:t>
      </w:r>
      <w:r w:rsidR="00E363F1">
        <w:rPr>
          <w:rFonts w:ascii="Arial" w:hAnsi="Arial" w:cs="Arial"/>
          <w:sz w:val="20"/>
          <w:szCs w:val="20"/>
        </w:rPr>
        <w:t xml:space="preserve">The cross-functional team suggested, planned and oversaw an array of actions including a review of recruitment and selection procedures to make the process more transparent, development of team learning plans, coaching and feedback on Individual Leadership Plans for </w:t>
      </w:r>
      <w:proofErr w:type="spellStart"/>
      <w:r w:rsidR="00E363F1">
        <w:rPr>
          <w:rFonts w:ascii="Arial" w:hAnsi="Arial" w:cs="Arial"/>
          <w:sz w:val="20"/>
          <w:szCs w:val="20"/>
        </w:rPr>
        <w:t>EMT</w:t>
      </w:r>
      <w:proofErr w:type="spellEnd"/>
      <w:r w:rsidR="00E363F1">
        <w:rPr>
          <w:rFonts w:ascii="Arial" w:hAnsi="Arial" w:cs="Arial"/>
          <w:sz w:val="20"/>
          <w:szCs w:val="20"/>
        </w:rPr>
        <w:t xml:space="preserve"> members, a more coordinated process for planning events and revised conference application procedures. T</w:t>
      </w:r>
      <w:r w:rsidRPr="00DE475B">
        <w:rPr>
          <w:rFonts w:ascii="Arial" w:hAnsi="Arial" w:cs="Arial"/>
          <w:sz w:val="20"/>
          <w:szCs w:val="20"/>
        </w:rPr>
        <w:t>he team w</w:t>
      </w:r>
      <w:r w:rsidR="008948EA">
        <w:rPr>
          <w:rFonts w:ascii="Arial" w:hAnsi="Arial" w:cs="Arial"/>
          <w:sz w:val="20"/>
          <w:szCs w:val="20"/>
        </w:rPr>
        <w:t xml:space="preserve">ill </w:t>
      </w:r>
      <w:r w:rsidR="00E43B7B">
        <w:rPr>
          <w:rFonts w:ascii="Arial" w:hAnsi="Arial" w:cs="Arial"/>
          <w:sz w:val="20"/>
          <w:szCs w:val="20"/>
        </w:rPr>
        <w:t xml:space="preserve">also </w:t>
      </w:r>
      <w:r w:rsidR="008948EA">
        <w:rPr>
          <w:rFonts w:ascii="Arial" w:hAnsi="Arial" w:cs="Arial"/>
          <w:sz w:val="20"/>
          <w:szCs w:val="20"/>
        </w:rPr>
        <w:t xml:space="preserve">consider results of the </w:t>
      </w:r>
      <w:r w:rsidR="00E43B7B">
        <w:rPr>
          <w:rFonts w:ascii="Arial" w:hAnsi="Arial" w:cs="Arial"/>
          <w:sz w:val="20"/>
          <w:szCs w:val="20"/>
        </w:rPr>
        <w:t xml:space="preserve">July </w:t>
      </w:r>
      <w:r w:rsidR="008948EA">
        <w:rPr>
          <w:rFonts w:ascii="Arial" w:hAnsi="Arial" w:cs="Arial"/>
          <w:sz w:val="20"/>
          <w:szCs w:val="20"/>
        </w:rPr>
        <w:t>2017</w:t>
      </w:r>
      <w:r w:rsidRPr="00DE475B">
        <w:rPr>
          <w:rFonts w:ascii="Arial" w:hAnsi="Arial" w:cs="Arial"/>
          <w:sz w:val="20"/>
          <w:szCs w:val="20"/>
        </w:rPr>
        <w:t xml:space="preserve"> survey</w:t>
      </w:r>
      <w:r w:rsidR="00E43B7B">
        <w:rPr>
          <w:rFonts w:ascii="Arial" w:hAnsi="Arial" w:cs="Arial"/>
          <w:sz w:val="20"/>
          <w:szCs w:val="20"/>
        </w:rPr>
        <w:t>, to assess the impact of the 2016–17 actions</w:t>
      </w:r>
      <w:r w:rsidRPr="00DE475B">
        <w:rPr>
          <w:rFonts w:ascii="Arial" w:hAnsi="Arial" w:cs="Arial"/>
          <w:sz w:val="20"/>
          <w:szCs w:val="20"/>
        </w:rPr>
        <w:t>.</w:t>
      </w:r>
    </w:p>
    <w:p w:rsidR="00556567" w:rsidRPr="00DE475B" w:rsidRDefault="00FC3402" w:rsidP="00556567">
      <w:pPr>
        <w:spacing w:after="120"/>
        <w:ind w:right="-148"/>
        <w:rPr>
          <w:sz w:val="20"/>
          <w:szCs w:val="20"/>
        </w:rPr>
      </w:pPr>
      <w:r w:rsidRPr="00DE475B">
        <w:rPr>
          <w:rFonts w:ascii="Arial" w:hAnsi="Arial" w:cs="Arial"/>
          <w:sz w:val="20"/>
          <w:szCs w:val="20"/>
        </w:rPr>
        <w:t>The</w:t>
      </w:r>
      <w:r w:rsidR="00FE65AA" w:rsidRPr="00DE475B">
        <w:rPr>
          <w:rFonts w:ascii="Arial" w:hAnsi="Arial" w:cs="Arial"/>
          <w:sz w:val="20"/>
          <w:szCs w:val="20"/>
        </w:rPr>
        <w:t xml:space="preserve"> SLQ Wellness Team</w:t>
      </w:r>
      <w:r w:rsidRPr="00DE475B">
        <w:rPr>
          <w:rFonts w:ascii="Arial" w:hAnsi="Arial" w:cs="Arial"/>
          <w:sz w:val="20"/>
          <w:szCs w:val="20"/>
        </w:rPr>
        <w:t>, made up of enthusiastic members from across SLQ, continues to deliver</w:t>
      </w:r>
      <w:r w:rsidR="007B40F0" w:rsidRPr="00DE475B">
        <w:rPr>
          <w:rFonts w:ascii="Arial" w:hAnsi="Arial" w:cs="Arial"/>
          <w:sz w:val="20"/>
          <w:szCs w:val="20"/>
        </w:rPr>
        <w:t xml:space="preserve"> creative</w:t>
      </w:r>
      <w:r w:rsidRPr="00DE475B">
        <w:rPr>
          <w:rFonts w:ascii="Arial" w:hAnsi="Arial" w:cs="Arial"/>
          <w:sz w:val="20"/>
          <w:szCs w:val="20"/>
        </w:rPr>
        <w:t xml:space="preserve"> programs to help interested staff improve their own wellbeing. </w:t>
      </w:r>
      <w:r w:rsidR="00FE65AA" w:rsidRPr="00DE475B">
        <w:rPr>
          <w:rFonts w:ascii="Arial" w:hAnsi="Arial" w:cs="Arial"/>
          <w:sz w:val="20"/>
          <w:szCs w:val="20"/>
        </w:rPr>
        <w:t xml:space="preserve">Activities </w:t>
      </w:r>
      <w:r w:rsidRPr="00DE475B">
        <w:rPr>
          <w:rFonts w:ascii="Arial" w:hAnsi="Arial" w:cs="Arial"/>
          <w:sz w:val="20"/>
          <w:szCs w:val="20"/>
        </w:rPr>
        <w:t xml:space="preserve">in 2016–17 </w:t>
      </w:r>
      <w:r w:rsidR="00FE65AA" w:rsidRPr="00DE475B">
        <w:rPr>
          <w:rFonts w:ascii="Arial" w:hAnsi="Arial" w:cs="Arial"/>
          <w:sz w:val="20"/>
          <w:szCs w:val="20"/>
        </w:rPr>
        <w:t xml:space="preserve">have included </w:t>
      </w:r>
      <w:r w:rsidR="00EF7212" w:rsidRPr="00DE475B">
        <w:rPr>
          <w:rFonts w:ascii="Arial" w:hAnsi="Arial" w:cs="Arial"/>
          <w:sz w:val="20"/>
          <w:szCs w:val="20"/>
        </w:rPr>
        <w:t>monthly in-house seated massages, Project Zero</w:t>
      </w:r>
      <w:r w:rsidR="00C016A6">
        <w:rPr>
          <w:rFonts w:ascii="Arial" w:hAnsi="Arial" w:cs="Arial"/>
          <w:sz w:val="20"/>
          <w:szCs w:val="20"/>
        </w:rPr>
        <w:t>,</w:t>
      </w:r>
      <w:r w:rsidR="00EF7212" w:rsidRPr="00DE475B">
        <w:rPr>
          <w:rFonts w:ascii="Arial" w:hAnsi="Arial" w:cs="Arial"/>
          <w:sz w:val="20"/>
          <w:szCs w:val="20"/>
        </w:rPr>
        <w:t xml:space="preserve"> which aims to avoid weight gain in participants over the Christmas period</w:t>
      </w:r>
      <w:r w:rsidR="00C016A6">
        <w:rPr>
          <w:rFonts w:ascii="Arial" w:hAnsi="Arial" w:cs="Arial"/>
          <w:sz w:val="20"/>
          <w:szCs w:val="20"/>
        </w:rPr>
        <w:t>,</w:t>
      </w:r>
      <w:r w:rsidR="00EF7212" w:rsidRPr="00DE475B">
        <w:rPr>
          <w:rFonts w:ascii="Arial" w:hAnsi="Arial" w:cs="Arial"/>
          <w:sz w:val="20"/>
          <w:szCs w:val="20"/>
        </w:rPr>
        <w:t xml:space="preserve"> and a “</w:t>
      </w:r>
      <w:r w:rsidR="00B061B4">
        <w:rPr>
          <w:rFonts w:ascii="Arial" w:hAnsi="Arial" w:cs="Arial"/>
          <w:sz w:val="20"/>
          <w:szCs w:val="20"/>
        </w:rPr>
        <w:t>S</w:t>
      </w:r>
      <w:r w:rsidR="00EF7212" w:rsidRPr="00DE475B">
        <w:rPr>
          <w:rFonts w:ascii="Arial" w:hAnsi="Arial" w:cs="Arial"/>
          <w:sz w:val="20"/>
          <w:szCs w:val="20"/>
        </w:rPr>
        <w:t>inging for wellness</w:t>
      </w:r>
      <w:r w:rsidR="00B061B4">
        <w:rPr>
          <w:rFonts w:ascii="Arial" w:hAnsi="Arial" w:cs="Arial"/>
          <w:sz w:val="20"/>
          <w:szCs w:val="20"/>
        </w:rPr>
        <w:t>”</w:t>
      </w:r>
      <w:r w:rsidR="00EF7212" w:rsidRPr="00DE475B">
        <w:rPr>
          <w:rFonts w:ascii="Arial" w:hAnsi="Arial" w:cs="Arial"/>
          <w:sz w:val="20"/>
          <w:szCs w:val="20"/>
        </w:rPr>
        <w:t xml:space="preserve"> group. </w:t>
      </w:r>
      <w:r w:rsidR="00061079">
        <w:rPr>
          <w:rFonts w:ascii="Arial" w:hAnsi="Arial" w:cs="Arial"/>
          <w:sz w:val="20"/>
          <w:szCs w:val="20"/>
        </w:rPr>
        <w:t xml:space="preserve">More than 90 </w:t>
      </w:r>
      <w:r w:rsidR="00FE65AA" w:rsidRPr="00DE475B">
        <w:rPr>
          <w:rFonts w:ascii="Arial" w:hAnsi="Arial" w:cs="Arial"/>
          <w:sz w:val="20"/>
          <w:szCs w:val="20"/>
        </w:rPr>
        <w:t xml:space="preserve">SLQ </w:t>
      </w:r>
      <w:r w:rsidR="00061079">
        <w:rPr>
          <w:rFonts w:ascii="Arial" w:hAnsi="Arial" w:cs="Arial"/>
          <w:sz w:val="20"/>
          <w:szCs w:val="20"/>
        </w:rPr>
        <w:t>participants</w:t>
      </w:r>
      <w:r w:rsidR="00061079" w:rsidRPr="00061079">
        <w:rPr>
          <w:rFonts w:ascii="Arial" w:hAnsi="Arial" w:cs="Arial"/>
          <w:sz w:val="20"/>
          <w:szCs w:val="20"/>
        </w:rPr>
        <w:t xml:space="preserve"> </w:t>
      </w:r>
      <w:r w:rsidR="00080328">
        <w:rPr>
          <w:rFonts w:ascii="Arial" w:hAnsi="Arial" w:cs="Arial"/>
          <w:sz w:val="20"/>
          <w:szCs w:val="20"/>
        </w:rPr>
        <w:t>took</w:t>
      </w:r>
      <w:r w:rsidR="00061079" w:rsidRPr="00DE475B">
        <w:rPr>
          <w:rFonts w:ascii="Arial" w:hAnsi="Arial" w:cs="Arial"/>
          <w:sz w:val="20"/>
          <w:szCs w:val="20"/>
        </w:rPr>
        <w:t xml:space="preserve"> more than 25 million steps over four weeks</w:t>
      </w:r>
      <w:r w:rsidR="00061079">
        <w:rPr>
          <w:rFonts w:ascii="Arial" w:hAnsi="Arial" w:cs="Arial"/>
          <w:sz w:val="20"/>
          <w:szCs w:val="20"/>
        </w:rPr>
        <w:t xml:space="preserve"> </w:t>
      </w:r>
      <w:r w:rsidR="00FE65AA" w:rsidRPr="00DE475B">
        <w:rPr>
          <w:rFonts w:ascii="Arial" w:hAnsi="Arial" w:cs="Arial"/>
          <w:sz w:val="20"/>
          <w:szCs w:val="20"/>
        </w:rPr>
        <w:t>in the 10,000 Steps Challenge.</w:t>
      </w:r>
      <w:r w:rsidR="003F1CE4" w:rsidRPr="00DE475B">
        <w:rPr>
          <w:rFonts w:ascii="Arial" w:hAnsi="Arial" w:cs="Arial"/>
          <w:sz w:val="20"/>
          <w:szCs w:val="20"/>
        </w:rPr>
        <w:t xml:space="preserve"> </w:t>
      </w:r>
      <w:r w:rsidR="00061079">
        <w:rPr>
          <w:rFonts w:ascii="Arial" w:hAnsi="Arial" w:cs="Arial"/>
          <w:sz w:val="20"/>
          <w:szCs w:val="20"/>
        </w:rPr>
        <w:t>T</w:t>
      </w:r>
      <w:r w:rsidR="00556567" w:rsidRPr="00DE475B">
        <w:rPr>
          <w:rFonts w:ascii="Arial" w:hAnsi="Arial" w:cs="Arial"/>
          <w:sz w:val="20"/>
          <w:szCs w:val="20"/>
        </w:rPr>
        <w:t>he individual with the highest steps recorded 723,300 steps.</w:t>
      </w:r>
      <w:r w:rsidR="00061079">
        <w:rPr>
          <w:sz w:val="20"/>
          <w:szCs w:val="20"/>
        </w:rPr>
        <w:t> </w:t>
      </w:r>
    </w:p>
    <w:p w:rsidR="006329D0" w:rsidRPr="00DE475B" w:rsidRDefault="00615723" w:rsidP="00556567">
      <w:pPr>
        <w:spacing w:after="120"/>
        <w:ind w:right="-148"/>
        <w:rPr>
          <w:rFonts w:ascii="Arial" w:hAnsi="Arial" w:cs="Arial"/>
          <w:sz w:val="20"/>
          <w:szCs w:val="20"/>
        </w:rPr>
      </w:pPr>
      <w:r w:rsidRPr="00DE475B">
        <w:rPr>
          <w:rFonts w:ascii="Arial" w:hAnsi="Arial" w:cs="Arial"/>
          <w:sz w:val="20"/>
          <w:szCs w:val="20"/>
        </w:rPr>
        <w:t>A</w:t>
      </w:r>
      <w:r w:rsidR="006329D0" w:rsidRPr="00DE475B">
        <w:rPr>
          <w:rFonts w:ascii="Arial" w:hAnsi="Arial" w:cs="Arial"/>
          <w:sz w:val="20"/>
          <w:szCs w:val="20"/>
        </w:rPr>
        <w:t xml:space="preserve"> Mental Health Policy was introduced in </w:t>
      </w:r>
      <w:r w:rsidR="00747F62" w:rsidRPr="00DE475B">
        <w:rPr>
          <w:rFonts w:ascii="Arial" w:hAnsi="Arial" w:cs="Arial"/>
          <w:sz w:val="20"/>
          <w:szCs w:val="20"/>
        </w:rPr>
        <w:t>March</w:t>
      </w:r>
      <w:r w:rsidRPr="00DE475B">
        <w:rPr>
          <w:rFonts w:ascii="Arial" w:hAnsi="Arial" w:cs="Arial"/>
          <w:sz w:val="20"/>
          <w:szCs w:val="20"/>
        </w:rPr>
        <w:t xml:space="preserve"> 2017, </w:t>
      </w:r>
      <w:r w:rsidR="00747F62" w:rsidRPr="00DE475B">
        <w:rPr>
          <w:rFonts w:ascii="Arial" w:hAnsi="Arial" w:cs="Arial"/>
          <w:sz w:val="20"/>
          <w:szCs w:val="20"/>
        </w:rPr>
        <w:t>provid</w:t>
      </w:r>
      <w:r w:rsidRPr="00DE475B">
        <w:rPr>
          <w:rFonts w:ascii="Arial" w:hAnsi="Arial" w:cs="Arial"/>
          <w:sz w:val="20"/>
          <w:szCs w:val="20"/>
        </w:rPr>
        <w:t>ing</w:t>
      </w:r>
      <w:r w:rsidR="00747F62" w:rsidRPr="00DE475B">
        <w:rPr>
          <w:rFonts w:ascii="Arial" w:hAnsi="Arial" w:cs="Arial"/>
          <w:sz w:val="20"/>
          <w:szCs w:val="20"/>
        </w:rPr>
        <w:t xml:space="preserve"> guidelines on maintaining positive mental health in the workplace, and managing the return to work of employees who have experienced problems. Two Mental Health First Aid Officers will be recruited from the staff cohort, and trained to provide support and confidential advice to </w:t>
      </w:r>
      <w:r w:rsidRPr="00DE475B">
        <w:rPr>
          <w:rFonts w:ascii="Arial" w:hAnsi="Arial" w:cs="Arial"/>
          <w:sz w:val="20"/>
          <w:szCs w:val="20"/>
        </w:rPr>
        <w:t>staff members</w:t>
      </w:r>
      <w:r w:rsidR="00747F62" w:rsidRPr="00DE475B">
        <w:rPr>
          <w:rFonts w:ascii="Arial" w:hAnsi="Arial" w:cs="Arial"/>
          <w:sz w:val="20"/>
          <w:szCs w:val="20"/>
        </w:rPr>
        <w:t xml:space="preserve"> </w:t>
      </w:r>
      <w:r w:rsidRPr="00DE475B">
        <w:rPr>
          <w:rFonts w:ascii="Arial" w:hAnsi="Arial" w:cs="Arial"/>
          <w:sz w:val="20"/>
          <w:szCs w:val="20"/>
        </w:rPr>
        <w:t>concerned about their</w:t>
      </w:r>
      <w:r w:rsidR="00747F62" w:rsidRPr="00DE475B">
        <w:rPr>
          <w:rFonts w:ascii="Arial" w:hAnsi="Arial" w:cs="Arial"/>
          <w:sz w:val="20"/>
          <w:szCs w:val="20"/>
        </w:rPr>
        <w:t xml:space="preserve"> mental health.</w:t>
      </w:r>
    </w:p>
    <w:p w:rsidR="00BE641D" w:rsidRPr="00DE475B" w:rsidRDefault="005545A7" w:rsidP="00FE65AA">
      <w:pPr>
        <w:spacing w:after="120"/>
        <w:rPr>
          <w:rFonts w:ascii="Arial" w:hAnsi="Arial" w:cs="Arial"/>
          <w:sz w:val="20"/>
          <w:szCs w:val="20"/>
        </w:rPr>
      </w:pPr>
      <w:r w:rsidRPr="00DE475B">
        <w:rPr>
          <w:rFonts w:ascii="Arial" w:hAnsi="Arial" w:cs="Arial"/>
          <w:sz w:val="20"/>
          <w:szCs w:val="20"/>
        </w:rPr>
        <w:t xml:space="preserve">During 2016–17, more than 150 volunteers worked </w:t>
      </w:r>
      <w:r w:rsidR="00902382">
        <w:rPr>
          <w:rFonts w:ascii="Arial" w:hAnsi="Arial" w:cs="Arial"/>
          <w:sz w:val="20"/>
          <w:szCs w:val="20"/>
        </w:rPr>
        <w:t xml:space="preserve">on </w:t>
      </w:r>
      <w:r w:rsidRPr="00DE475B">
        <w:rPr>
          <w:rFonts w:ascii="Arial" w:hAnsi="Arial" w:cs="Arial"/>
          <w:sz w:val="20"/>
          <w:szCs w:val="20"/>
        </w:rPr>
        <w:t>more than 40 projects and activities. Volunteer roles included behind-the-scenes projects such as transcription, digitisation and sorting</w:t>
      </w:r>
      <w:r w:rsidR="00080328">
        <w:rPr>
          <w:rFonts w:ascii="Arial" w:hAnsi="Arial" w:cs="Arial"/>
          <w:sz w:val="20"/>
          <w:szCs w:val="20"/>
        </w:rPr>
        <w:t>,</w:t>
      </w:r>
      <w:r w:rsidRPr="00DE475B">
        <w:rPr>
          <w:rFonts w:ascii="Arial" w:hAnsi="Arial" w:cs="Arial"/>
          <w:sz w:val="20"/>
          <w:szCs w:val="20"/>
        </w:rPr>
        <w:t xml:space="preserve"> and front-of-house roles as exhibition and building guides.</w:t>
      </w:r>
      <w:r w:rsidR="00BE641D" w:rsidRPr="00DE475B">
        <w:rPr>
          <w:rFonts w:ascii="Arial" w:hAnsi="Arial" w:cs="Arial"/>
          <w:sz w:val="20"/>
          <w:szCs w:val="20"/>
        </w:rPr>
        <w:t xml:space="preserve"> </w:t>
      </w:r>
      <w:r w:rsidRPr="00DE475B">
        <w:rPr>
          <w:rFonts w:ascii="Arial" w:hAnsi="Arial" w:cs="Arial"/>
          <w:sz w:val="20"/>
          <w:szCs w:val="20"/>
        </w:rPr>
        <w:t xml:space="preserve">Educational Orientation Guides engage the younger audience by delivering tours to </w:t>
      </w:r>
      <w:r w:rsidRPr="00DE475B">
        <w:rPr>
          <w:rFonts w:ascii="Arial" w:hAnsi="Arial" w:cs="Arial"/>
          <w:sz w:val="20"/>
          <w:szCs w:val="20"/>
        </w:rPr>
        <w:lastRenderedPageBreak/>
        <w:t xml:space="preserve">groups of visiting students. People can also contribute offsite through our digital volunteering program, </w:t>
      </w:r>
      <w:r w:rsidRPr="00DE475B">
        <w:rPr>
          <w:rFonts w:ascii="Arial" w:hAnsi="Arial" w:cs="Arial"/>
          <w:i/>
          <w:iCs/>
          <w:sz w:val="20"/>
          <w:szCs w:val="20"/>
        </w:rPr>
        <w:t>Pitch In</w:t>
      </w:r>
      <w:r w:rsidRPr="00DE475B">
        <w:rPr>
          <w:rFonts w:ascii="Arial" w:hAnsi="Arial" w:cs="Arial"/>
          <w:sz w:val="20"/>
          <w:szCs w:val="20"/>
        </w:rPr>
        <w:t>, which includes volunteers tagging photos and transcribing text from significant historical documents.</w:t>
      </w:r>
    </w:p>
    <w:p w:rsidR="003D09A9" w:rsidRPr="00D61714" w:rsidRDefault="003D09A9" w:rsidP="00D61714">
      <w:pPr>
        <w:pStyle w:val="ARheading3"/>
        <w:tabs>
          <w:tab w:val="left" w:pos="851"/>
        </w:tabs>
        <w:spacing w:after="120"/>
        <w:rPr>
          <w:color w:val="808080"/>
        </w:rPr>
      </w:pPr>
      <w:r w:rsidRPr="00D61714">
        <w:rPr>
          <w:color w:val="808080"/>
        </w:rPr>
        <w:t>Governance, accountability and risk</w:t>
      </w:r>
    </w:p>
    <w:p w:rsidR="00D61714" w:rsidRPr="00D61714" w:rsidRDefault="00D61714" w:rsidP="00D61714">
      <w:pPr>
        <w:pStyle w:val="ARHeading1"/>
        <w:rPr>
          <w:b/>
          <w:sz w:val="20"/>
          <w:szCs w:val="20"/>
        </w:rPr>
      </w:pPr>
      <w:r w:rsidRPr="00D61714">
        <w:rPr>
          <w:b/>
          <w:sz w:val="20"/>
          <w:szCs w:val="20"/>
        </w:rPr>
        <w:t>Public sector ethics</w:t>
      </w:r>
    </w:p>
    <w:p w:rsidR="00D61714" w:rsidRPr="00DE475B" w:rsidRDefault="00D61714" w:rsidP="00D61714">
      <w:pPr>
        <w:pStyle w:val="ARText"/>
        <w:spacing w:before="0" w:after="120"/>
        <w:rPr>
          <w:szCs w:val="20"/>
        </w:rPr>
      </w:pPr>
      <w:proofErr w:type="spellStart"/>
      <w:r w:rsidRPr="00DE475B">
        <w:rPr>
          <w:szCs w:val="20"/>
        </w:rPr>
        <w:t>SLQ’s</w:t>
      </w:r>
      <w:proofErr w:type="spellEnd"/>
      <w:r w:rsidRPr="00DE475B">
        <w:rPr>
          <w:szCs w:val="20"/>
        </w:rPr>
        <w:t xml:space="preserve"> administrative procedures and management practices are developed and conducted with regard to the ethics principles set out in the </w:t>
      </w:r>
      <w:r w:rsidRPr="00DE475B">
        <w:rPr>
          <w:i/>
          <w:szCs w:val="20"/>
        </w:rPr>
        <w:t>Public Sector Ethics Act 1994</w:t>
      </w:r>
      <w:r w:rsidRPr="00DE475B">
        <w:rPr>
          <w:szCs w:val="20"/>
        </w:rPr>
        <w:t xml:space="preserve"> and the Code of Conduct. These principles underpin the strategic planning processes and development of the </w:t>
      </w:r>
      <w:r w:rsidRPr="00DE475B">
        <w:rPr>
          <w:i/>
          <w:szCs w:val="20"/>
        </w:rPr>
        <w:t>State Library of Queensland Strategic Plan 2016–20</w:t>
      </w:r>
      <w:r w:rsidRPr="00DE475B">
        <w:rPr>
          <w:szCs w:val="20"/>
        </w:rPr>
        <w:t xml:space="preserve"> and the accompanying </w:t>
      </w:r>
      <w:r w:rsidRPr="00DE475B">
        <w:rPr>
          <w:i/>
          <w:szCs w:val="20"/>
        </w:rPr>
        <w:t>Operational Plan 2016–17</w:t>
      </w:r>
      <w:r w:rsidRPr="00DE475B">
        <w:rPr>
          <w:szCs w:val="20"/>
        </w:rPr>
        <w:t xml:space="preserve">. </w:t>
      </w:r>
    </w:p>
    <w:p w:rsidR="00D61714" w:rsidRDefault="00D61714" w:rsidP="00D61714">
      <w:pPr>
        <w:pStyle w:val="ARText"/>
        <w:spacing w:before="0" w:after="120"/>
        <w:rPr>
          <w:szCs w:val="20"/>
        </w:rPr>
      </w:pPr>
      <w:r w:rsidRPr="00DE475B">
        <w:rPr>
          <w:szCs w:val="20"/>
          <w:lang w:eastAsia="en-AU"/>
        </w:rPr>
        <w:t xml:space="preserve">The </w:t>
      </w:r>
      <w:r>
        <w:rPr>
          <w:szCs w:val="20"/>
          <w:lang w:eastAsia="en-AU"/>
        </w:rPr>
        <w:t xml:space="preserve">Library </w:t>
      </w:r>
      <w:r w:rsidRPr="00DE475B">
        <w:rPr>
          <w:szCs w:val="20"/>
          <w:lang w:eastAsia="en-AU"/>
        </w:rPr>
        <w:t xml:space="preserve">Board, the State Librarian and all staff are bound by the </w:t>
      </w:r>
      <w:r w:rsidRPr="00DE475B">
        <w:rPr>
          <w:i/>
          <w:szCs w:val="20"/>
          <w:lang w:eastAsia="en-AU"/>
        </w:rPr>
        <w:t>Code of Conduct for the Queensland Public Service</w:t>
      </w:r>
      <w:r w:rsidRPr="00DE475B">
        <w:rPr>
          <w:szCs w:val="20"/>
          <w:lang w:eastAsia="en-AU"/>
        </w:rPr>
        <w:t xml:space="preserve"> under the </w:t>
      </w:r>
      <w:r w:rsidRPr="00DE475B">
        <w:rPr>
          <w:i/>
          <w:szCs w:val="20"/>
          <w:lang w:eastAsia="en-AU"/>
        </w:rPr>
        <w:t>Public Sector Ethics Act 1994</w:t>
      </w:r>
      <w:r w:rsidRPr="00DE475B">
        <w:rPr>
          <w:szCs w:val="20"/>
          <w:lang w:eastAsia="en-AU"/>
        </w:rPr>
        <w:t>. Code of Conduct training is incorporated into corporate induction training for new staff, and all continuing staff members are required to complete annual online refresher training. W</w:t>
      </w:r>
      <w:r w:rsidRPr="00DE475B">
        <w:rPr>
          <w:szCs w:val="20"/>
        </w:rPr>
        <w:t>orkshops and training sessions are run for managers and supervisors throughout the year to ensure they understand the ethics principles and how to apply them, especially in relation to human resource policies and procedures. Compulsory training in Code of Conduct, Workplace Bullying and Workplace Health and Safety has been rolled out to all staff on an online learning platform. Online learning is an efficient method for delivering training in an organisation with multiple sites and a large spread of work hours as it allows staff to complete the training at a time which best fits their work schedule.</w:t>
      </w:r>
    </w:p>
    <w:p w:rsidR="00D61714" w:rsidRPr="00DE475B" w:rsidRDefault="00D61714" w:rsidP="00D61714">
      <w:pPr>
        <w:pStyle w:val="ARText"/>
        <w:spacing w:before="0" w:after="120"/>
        <w:rPr>
          <w:szCs w:val="20"/>
        </w:rPr>
      </w:pPr>
      <w:r>
        <w:rPr>
          <w:szCs w:val="20"/>
        </w:rPr>
        <w:t>Additionally, extra sessions on integrity, corrupt conduct information sessions and policy updates are delivered based on needs.</w:t>
      </w:r>
    </w:p>
    <w:p w:rsidR="00D61714" w:rsidRPr="00D61714" w:rsidRDefault="00D61714" w:rsidP="00D61714">
      <w:pPr>
        <w:pStyle w:val="ARHeading1"/>
        <w:rPr>
          <w:b/>
          <w:sz w:val="20"/>
          <w:szCs w:val="20"/>
        </w:rPr>
      </w:pPr>
      <w:r>
        <w:rPr>
          <w:b/>
          <w:sz w:val="20"/>
          <w:szCs w:val="20"/>
        </w:rPr>
        <w:t>Audit functions</w:t>
      </w:r>
    </w:p>
    <w:p w:rsidR="00FE65AA" w:rsidRPr="00DE475B" w:rsidRDefault="00FE65AA" w:rsidP="00FE65AA">
      <w:pPr>
        <w:shd w:val="clear" w:color="auto" w:fill="FFFFFF"/>
        <w:spacing w:after="120"/>
        <w:rPr>
          <w:rFonts w:ascii="Arial" w:hAnsi="Arial" w:cs="Arial"/>
          <w:sz w:val="20"/>
          <w:szCs w:val="20"/>
          <w:shd w:val="clear" w:color="auto" w:fill="FFFFFF"/>
        </w:rPr>
      </w:pPr>
      <w:r w:rsidRPr="00DE475B">
        <w:rPr>
          <w:rFonts w:ascii="Arial" w:hAnsi="Arial" w:cs="Arial"/>
          <w:sz w:val="20"/>
          <w:szCs w:val="20"/>
          <w:shd w:val="clear" w:color="auto" w:fill="FFFFFF"/>
        </w:rPr>
        <w:t>SLQ takes a structured approach to assessing and evaluating the effectiveness and efficiency of its financial and operational systems and activities.</w:t>
      </w:r>
    </w:p>
    <w:p w:rsidR="00FE65AA" w:rsidRPr="00902382" w:rsidRDefault="00FE65AA" w:rsidP="00FE65AA">
      <w:pPr>
        <w:shd w:val="clear" w:color="auto" w:fill="FFFFFF"/>
        <w:spacing w:after="120"/>
        <w:rPr>
          <w:rFonts w:ascii="Arial" w:eastAsia="Batang" w:hAnsi="Arial" w:cs="Arial"/>
          <w:bCs/>
          <w:color w:val="00000A"/>
          <w:spacing w:val="-2"/>
          <w:sz w:val="20"/>
          <w:szCs w:val="20"/>
        </w:rPr>
      </w:pPr>
      <w:r w:rsidRPr="00902382">
        <w:rPr>
          <w:rFonts w:ascii="Arial" w:hAnsi="Arial" w:cs="Arial"/>
          <w:spacing w:val="-2"/>
          <w:sz w:val="20"/>
          <w:szCs w:val="20"/>
          <w:shd w:val="clear" w:color="auto" w:fill="FFFFFF"/>
        </w:rPr>
        <w:t xml:space="preserve">Every four years, senior management develops an overarching Strategic Audit Plan, and reviews it annually. This forms the basis for the </w:t>
      </w:r>
      <w:r w:rsidR="00902382" w:rsidRPr="00902382">
        <w:rPr>
          <w:rFonts w:ascii="Arial" w:hAnsi="Arial" w:cs="Arial"/>
          <w:spacing w:val="-2"/>
          <w:sz w:val="20"/>
          <w:szCs w:val="20"/>
          <w:shd w:val="clear" w:color="auto" w:fill="FFFFFF"/>
        </w:rPr>
        <w:t>annual</w:t>
      </w:r>
      <w:r w:rsidRPr="00902382">
        <w:rPr>
          <w:rFonts w:ascii="Arial" w:hAnsi="Arial" w:cs="Arial"/>
          <w:spacing w:val="-2"/>
          <w:sz w:val="20"/>
          <w:szCs w:val="20"/>
          <w:shd w:val="clear" w:color="auto" w:fill="FFFFFF"/>
        </w:rPr>
        <w:t xml:space="preserve"> Internal Audit Plan, designed to focus internal audit on the areas of potential operational and financial risk to SLQ. </w:t>
      </w:r>
    </w:p>
    <w:p w:rsidR="00FE65AA" w:rsidRPr="00DE475B" w:rsidRDefault="00FE65AA" w:rsidP="00FE65AA">
      <w:pPr>
        <w:spacing w:after="40"/>
        <w:rPr>
          <w:rFonts w:ascii="Arial" w:hAnsi="Arial" w:cs="Arial"/>
          <w:sz w:val="20"/>
          <w:szCs w:val="20"/>
        </w:rPr>
      </w:pPr>
      <w:r w:rsidRPr="00DE475B">
        <w:rPr>
          <w:rFonts w:ascii="Arial" w:eastAsia="Batang" w:hAnsi="Arial" w:cs="Arial"/>
          <w:bCs/>
          <w:color w:val="00000A"/>
          <w:sz w:val="20"/>
          <w:szCs w:val="20"/>
        </w:rPr>
        <w:t>Strategic and Annual Audit Plans are reviewed and endorsed by the Audit and Risk Management Committee (</w:t>
      </w:r>
      <w:proofErr w:type="spellStart"/>
      <w:r w:rsidRPr="00DE475B">
        <w:rPr>
          <w:rFonts w:ascii="Arial" w:eastAsia="Batang" w:hAnsi="Arial" w:cs="Arial"/>
          <w:bCs/>
          <w:color w:val="00000A"/>
          <w:sz w:val="20"/>
          <w:szCs w:val="20"/>
        </w:rPr>
        <w:t>ARMC</w:t>
      </w:r>
      <w:proofErr w:type="spellEnd"/>
      <w:r w:rsidRPr="00DE475B">
        <w:rPr>
          <w:rFonts w:ascii="Arial" w:eastAsia="Batang" w:hAnsi="Arial" w:cs="Arial"/>
          <w:bCs/>
          <w:color w:val="00000A"/>
          <w:sz w:val="20"/>
          <w:szCs w:val="20"/>
        </w:rPr>
        <w:t xml:space="preserve"> — see </w:t>
      </w:r>
      <w:r w:rsidRPr="00DE475B">
        <w:rPr>
          <w:rFonts w:ascii="Arial" w:eastAsia="Batang" w:hAnsi="Arial" w:cs="Arial"/>
          <w:bCs/>
          <w:color w:val="00000A"/>
          <w:sz w:val="20"/>
          <w:szCs w:val="20"/>
        </w:rPr>
        <w:lastRenderedPageBreak/>
        <w:t>Appendix C). In preparing these audit plans, consideration is given to:</w:t>
      </w:r>
    </w:p>
    <w:p w:rsidR="00FE65AA" w:rsidRPr="00DE475B" w:rsidRDefault="00FE65AA" w:rsidP="00337D67">
      <w:pPr>
        <w:numPr>
          <w:ilvl w:val="0"/>
          <w:numId w:val="2"/>
        </w:numPr>
        <w:tabs>
          <w:tab w:val="left" w:pos="284"/>
        </w:tabs>
        <w:spacing w:after="40"/>
        <w:ind w:left="284" w:hanging="284"/>
        <w:rPr>
          <w:rFonts w:ascii="Arial" w:hAnsi="Arial" w:cs="Arial"/>
          <w:sz w:val="20"/>
          <w:szCs w:val="20"/>
        </w:rPr>
      </w:pPr>
      <w:r w:rsidRPr="00DE475B">
        <w:rPr>
          <w:rFonts w:ascii="Arial" w:hAnsi="Arial" w:cs="Arial"/>
          <w:sz w:val="20"/>
          <w:szCs w:val="20"/>
        </w:rPr>
        <w:t>significant changes to the organisation, systems and activities</w:t>
      </w:r>
    </w:p>
    <w:p w:rsidR="00FE65AA" w:rsidRPr="00DE475B" w:rsidRDefault="00FE65AA" w:rsidP="00337D67">
      <w:pPr>
        <w:numPr>
          <w:ilvl w:val="0"/>
          <w:numId w:val="2"/>
        </w:numPr>
        <w:tabs>
          <w:tab w:val="left" w:pos="284"/>
        </w:tabs>
        <w:spacing w:after="40"/>
        <w:ind w:left="284" w:hanging="284"/>
        <w:rPr>
          <w:rFonts w:ascii="Arial" w:hAnsi="Arial" w:cs="Arial"/>
          <w:sz w:val="20"/>
          <w:szCs w:val="20"/>
        </w:rPr>
      </w:pPr>
      <w:r w:rsidRPr="00DE475B">
        <w:rPr>
          <w:rFonts w:ascii="Arial" w:hAnsi="Arial" w:cs="Arial"/>
          <w:sz w:val="20"/>
          <w:szCs w:val="20"/>
        </w:rPr>
        <w:t>new legislative requirements</w:t>
      </w:r>
    </w:p>
    <w:p w:rsidR="00FE65AA" w:rsidRPr="00DE475B" w:rsidRDefault="00FE65AA" w:rsidP="00337D67">
      <w:pPr>
        <w:numPr>
          <w:ilvl w:val="0"/>
          <w:numId w:val="2"/>
        </w:numPr>
        <w:tabs>
          <w:tab w:val="left" w:pos="284"/>
        </w:tabs>
        <w:spacing w:after="40"/>
        <w:ind w:left="284" w:hanging="284"/>
        <w:rPr>
          <w:rFonts w:ascii="Arial" w:hAnsi="Arial" w:cs="Arial"/>
          <w:sz w:val="20"/>
          <w:szCs w:val="20"/>
        </w:rPr>
      </w:pPr>
      <w:r w:rsidRPr="00DE475B">
        <w:rPr>
          <w:rFonts w:ascii="Arial" w:hAnsi="Arial" w:cs="Arial"/>
          <w:sz w:val="20"/>
          <w:szCs w:val="20"/>
        </w:rPr>
        <w:t>risks identified as part of the agency’s risk management process</w:t>
      </w:r>
    </w:p>
    <w:p w:rsidR="00FE65AA" w:rsidRPr="00DE475B" w:rsidRDefault="00FE65AA" w:rsidP="00337D67">
      <w:pPr>
        <w:numPr>
          <w:ilvl w:val="0"/>
          <w:numId w:val="2"/>
        </w:numPr>
        <w:tabs>
          <w:tab w:val="left" w:pos="284"/>
        </w:tabs>
        <w:spacing w:after="40"/>
        <w:ind w:left="284" w:hanging="284"/>
        <w:rPr>
          <w:rFonts w:ascii="Arial" w:hAnsi="Arial" w:cs="Arial"/>
          <w:sz w:val="20"/>
          <w:szCs w:val="20"/>
        </w:rPr>
      </w:pPr>
      <w:r w:rsidRPr="00DE475B">
        <w:rPr>
          <w:rFonts w:ascii="Arial" w:hAnsi="Arial" w:cs="Arial"/>
          <w:sz w:val="20"/>
          <w:szCs w:val="20"/>
        </w:rPr>
        <w:t>results of assessments of internal controls</w:t>
      </w:r>
    </w:p>
    <w:p w:rsidR="00FE65AA" w:rsidRPr="00DE475B" w:rsidRDefault="00FE65AA" w:rsidP="00337D67">
      <w:pPr>
        <w:numPr>
          <w:ilvl w:val="0"/>
          <w:numId w:val="2"/>
        </w:numPr>
        <w:tabs>
          <w:tab w:val="left" w:pos="284"/>
        </w:tabs>
        <w:spacing w:after="120"/>
        <w:ind w:left="284" w:hanging="284"/>
        <w:rPr>
          <w:rFonts w:ascii="Arial" w:hAnsi="Arial" w:cs="Arial"/>
          <w:color w:val="231F20"/>
          <w:sz w:val="20"/>
          <w:szCs w:val="20"/>
          <w:lang w:eastAsia="en-AU"/>
        </w:rPr>
      </w:pPr>
      <w:proofErr w:type="gramStart"/>
      <w:r w:rsidRPr="00DE475B">
        <w:rPr>
          <w:rFonts w:ascii="Arial" w:hAnsi="Arial" w:cs="Arial"/>
          <w:sz w:val="20"/>
          <w:szCs w:val="20"/>
        </w:rPr>
        <w:t>previously</w:t>
      </w:r>
      <w:proofErr w:type="gramEnd"/>
      <w:r w:rsidRPr="00DE475B">
        <w:rPr>
          <w:rFonts w:ascii="Arial" w:hAnsi="Arial" w:cs="Arial"/>
          <w:sz w:val="20"/>
          <w:szCs w:val="20"/>
        </w:rPr>
        <w:t xml:space="preserve"> identified issues.</w:t>
      </w:r>
    </w:p>
    <w:p w:rsidR="00D739EE" w:rsidRPr="00DE475B" w:rsidRDefault="00FE65AA" w:rsidP="00D739EE">
      <w:pPr>
        <w:spacing w:after="120"/>
        <w:rPr>
          <w:rFonts w:ascii="Arial" w:hAnsi="Arial" w:cs="Arial"/>
          <w:sz w:val="20"/>
          <w:szCs w:val="20"/>
        </w:rPr>
      </w:pPr>
      <w:r w:rsidRPr="00DE475B">
        <w:rPr>
          <w:rFonts w:ascii="Arial" w:hAnsi="Arial" w:cs="Arial"/>
          <w:sz w:val="20"/>
          <w:szCs w:val="20"/>
          <w:shd w:val="clear" w:color="auto" w:fill="FFFFFF"/>
        </w:rPr>
        <w:t>In 201</w:t>
      </w:r>
      <w:r w:rsidR="005B51F0">
        <w:rPr>
          <w:rFonts w:ascii="Arial" w:hAnsi="Arial" w:cs="Arial"/>
          <w:sz w:val="20"/>
          <w:szCs w:val="20"/>
          <w:shd w:val="clear" w:color="auto" w:fill="FFFFFF"/>
        </w:rPr>
        <w:t>6–17</w:t>
      </w:r>
      <w:r w:rsidRPr="00DE475B">
        <w:rPr>
          <w:rFonts w:ascii="Arial" w:hAnsi="Arial" w:cs="Arial"/>
          <w:sz w:val="20"/>
          <w:szCs w:val="20"/>
          <w:shd w:val="clear" w:color="auto" w:fill="FFFFFF"/>
        </w:rPr>
        <w:t xml:space="preserve">, internal audit reports considered by the </w:t>
      </w:r>
      <w:proofErr w:type="spellStart"/>
      <w:r w:rsidRPr="00DE475B">
        <w:rPr>
          <w:rFonts w:ascii="Arial" w:hAnsi="Arial" w:cs="Arial"/>
          <w:sz w:val="20"/>
          <w:szCs w:val="20"/>
          <w:shd w:val="clear" w:color="auto" w:fill="FFFFFF"/>
        </w:rPr>
        <w:t>ARMC</w:t>
      </w:r>
      <w:proofErr w:type="spellEnd"/>
      <w:r w:rsidRPr="00DE475B">
        <w:rPr>
          <w:rFonts w:ascii="Arial" w:hAnsi="Arial" w:cs="Arial"/>
          <w:sz w:val="20"/>
          <w:szCs w:val="20"/>
          <w:shd w:val="clear" w:color="auto" w:fill="FFFFFF"/>
        </w:rPr>
        <w:t xml:space="preserve"> covered issues such as</w:t>
      </w:r>
      <w:r w:rsidR="005B51F0">
        <w:rPr>
          <w:rFonts w:ascii="Arial" w:hAnsi="Arial" w:cs="Arial"/>
          <w:sz w:val="20"/>
          <w:szCs w:val="20"/>
          <w:shd w:val="clear" w:color="auto" w:fill="FFFFFF"/>
        </w:rPr>
        <w:t xml:space="preserve">: </w:t>
      </w:r>
      <w:r w:rsidR="005B51F0" w:rsidRPr="00080328">
        <w:rPr>
          <w:rFonts w:ascii="Arial" w:hAnsi="Arial" w:cs="Arial"/>
          <w:i/>
          <w:sz w:val="20"/>
          <w:szCs w:val="20"/>
          <w:shd w:val="clear" w:color="auto" w:fill="FFFFFF"/>
        </w:rPr>
        <w:t xml:space="preserve">Q ANZAC </w:t>
      </w:r>
      <w:r w:rsidR="00080328" w:rsidRPr="00080328">
        <w:rPr>
          <w:rFonts w:ascii="Arial" w:hAnsi="Arial" w:cs="Arial"/>
          <w:i/>
          <w:sz w:val="20"/>
          <w:szCs w:val="20"/>
          <w:shd w:val="clear" w:color="auto" w:fill="FFFFFF"/>
        </w:rPr>
        <w:t>100</w:t>
      </w:r>
      <w:r w:rsidR="00080328">
        <w:rPr>
          <w:rFonts w:ascii="Arial" w:hAnsi="Arial" w:cs="Arial"/>
          <w:sz w:val="20"/>
          <w:szCs w:val="20"/>
          <w:shd w:val="clear" w:color="auto" w:fill="FFFFFF"/>
        </w:rPr>
        <w:t xml:space="preserve"> </w:t>
      </w:r>
      <w:r w:rsidR="005B51F0">
        <w:rPr>
          <w:rFonts w:ascii="Arial" w:hAnsi="Arial" w:cs="Arial"/>
          <w:sz w:val="20"/>
          <w:szCs w:val="20"/>
          <w:shd w:val="clear" w:color="auto" w:fill="FFFFFF"/>
        </w:rPr>
        <w:t>funding and project d</w:t>
      </w:r>
      <w:r w:rsidR="005B51F0" w:rsidRPr="005B51F0">
        <w:rPr>
          <w:rFonts w:ascii="Arial" w:hAnsi="Arial" w:cs="Arial"/>
          <w:sz w:val="20"/>
          <w:szCs w:val="20"/>
          <w:shd w:val="clear" w:color="auto" w:fill="FFFFFF"/>
        </w:rPr>
        <w:t>elivery</w:t>
      </w:r>
      <w:r w:rsidR="005B51F0">
        <w:rPr>
          <w:rFonts w:ascii="Arial" w:hAnsi="Arial" w:cs="Arial"/>
          <w:sz w:val="20"/>
          <w:szCs w:val="20"/>
          <w:shd w:val="clear" w:color="auto" w:fill="FFFFFF"/>
        </w:rPr>
        <w:t>, sponsorship and partnership a</w:t>
      </w:r>
      <w:r w:rsidR="005B51F0" w:rsidRPr="005B51F0">
        <w:rPr>
          <w:rFonts w:ascii="Arial" w:hAnsi="Arial" w:cs="Arial"/>
          <w:sz w:val="20"/>
          <w:szCs w:val="20"/>
          <w:shd w:val="clear" w:color="auto" w:fill="FFFFFF"/>
        </w:rPr>
        <w:t>rrangements</w:t>
      </w:r>
      <w:r w:rsidR="005B51F0">
        <w:rPr>
          <w:rFonts w:ascii="Arial" w:hAnsi="Arial" w:cs="Arial"/>
          <w:sz w:val="20"/>
          <w:szCs w:val="20"/>
          <w:shd w:val="clear" w:color="auto" w:fill="FFFFFF"/>
        </w:rPr>
        <w:t>, staff training and d</w:t>
      </w:r>
      <w:r w:rsidR="005B51F0" w:rsidRPr="005B51F0">
        <w:rPr>
          <w:rFonts w:ascii="Arial" w:hAnsi="Arial" w:cs="Arial"/>
          <w:sz w:val="20"/>
          <w:szCs w:val="20"/>
          <w:shd w:val="clear" w:color="auto" w:fill="FFFFFF"/>
        </w:rPr>
        <w:t>evelopment</w:t>
      </w:r>
      <w:r w:rsidR="005B51F0">
        <w:rPr>
          <w:rFonts w:ascii="Arial" w:hAnsi="Arial" w:cs="Arial"/>
          <w:sz w:val="20"/>
          <w:szCs w:val="20"/>
          <w:shd w:val="clear" w:color="auto" w:fill="FFFFFF"/>
        </w:rPr>
        <w:t>, collection s</w:t>
      </w:r>
      <w:r w:rsidR="005B51F0" w:rsidRPr="005B51F0">
        <w:rPr>
          <w:rFonts w:ascii="Arial" w:hAnsi="Arial" w:cs="Arial"/>
          <w:sz w:val="20"/>
          <w:szCs w:val="20"/>
          <w:shd w:val="clear" w:color="auto" w:fill="FFFFFF"/>
        </w:rPr>
        <w:t>ecurity</w:t>
      </w:r>
      <w:r w:rsidR="005B51F0">
        <w:rPr>
          <w:rFonts w:ascii="Arial" w:hAnsi="Arial" w:cs="Arial"/>
          <w:sz w:val="20"/>
          <w:szCs w:val="20"/>
          <w:shd w:val="clear" w:color="auto" w:fill="FFFFFF"/>
        </w:rPr>
        <w:t xml:space="preserve"> and collection p</w:t>
      </w:r>
      <w:r w:rsidR="005B51F0" w:rsidRPr="005B51F0">
        <w:rPr>
          <w:rFonts w:ascii="Arial" w:hAnsi="Arial" w:cs="Arial"/>
          <w:sz w:val="20"/>
          <w:szCs w:val="20"/>
          <w:shd w:val="clear" w:color="auto" w:fill="FFFFFF"/>
        </w:rPr>
        <w:t>reservation</w:t>
      </w:r>
      <w:r w:rsidR="005B51F0">
        <w:rPr>
          <w:rFonts w:ascii="Arial" w:hAnsi="Arial" w:cs="Arial"/>
          <w:sz w:val="20"/>
          <w:szCs w:val="20"/>
          <w:shd w:val="clear" w:color="auto" w:fill="FFFFFF"/>
        </w:rPr>
        <w:t xml:space="preserve">. </w:t>
      </w:r>
      <w:r w:rsidRPr="00DE475B">
        <w:rPr>
          <w:rFonts w:ascii="Arial" w:hAnsi="Arial" w:cs="Arial"/>
          <w:sz w:val="20"/>
          <w:szCs w:val="20"/>
          <w:shd w:val="clear" w:color="auto" w:fill="FFFFFF"/>
        </w:rPr>
        <w:t>All audits issues raised were rated as low or medium risk.</w:t>
      </w:r>
      <w:r w:rsidR="00D739EE">
        <w:rPr>
          <w:rFonts w:ascii="Arial" w:hAnsi="Arial" w:cs="Arial"/>
          <w:sz w:val="20"/>
          <w:szCs w:val="20"/>
          <w:shd w:val="clear" w:color="auto" w:fill="FFFFFF"/>
        </w:rPr>
        <w:t xml:space="preserve"> </w:t>
      </w:r>
      <w:proofErr w:type="spellStart"/>
      <w:r w:rsidR="00D739EE" w:rsidRPr="00DE475B">
        <w:rPr>
          <w:rFonts w:ascii="Arial" w:hAnsi="Arial" w:cs="Arial"/>
          <w:sz w:val="20"/>
          <w:szCs w:val="20"/>
        </w:rPr>
        <w:t>ARMC</w:t>
      </w:r>
      <w:proofErr w:type="spellEnd"/>
      <w:r w:rsidR="00D739EE" w:rsidRPr="00DE475B">
        <w:rPr>
          <w:rFonts w:ascii="Arial" w:hAnsi="Arial" w:cs="Arial"/>
          <w:sz w:val="20"/>
          <w:szCs w:val="20"/>
        </w:rPr>
        <w:t xml:space="preserve"> monitor</w:t>
      </w:r>
      <w:r w:rsidR="00D739EE">
        <w:rPr>
          <w:rFonts w:ascii="Arial" w:hAnsi="Arial" w:cs="Arial"/>
          <w:sz w:val="20"/>
          <w:szCs w:val="20"/>
        </w:rPr>
        <w:t>s</w:t>
      </w:r>
      <w:r w:rsidR="00D739EE" w:rsidRPr="00DE475B">
        <w:rPr>
          <w:rFonts w:ascii="Arial" w:hAnsi="Arial" w:cs="Arial"/>
          <w:sz w:val="20"/>
          <w:szCs w:val="20"/>
        </w:rPr>
        <w:t xml:space="preserve"> implementation of recommendations. </w:t>
      </w:r>
    </w:p>
    <w:p w:rsidR="00FE65AA" w:rsidRPr="00DE475B" w:rsidRDefault="00FE65AA" w:rsidP="00FE65AA">
      <w:pPr>
        <w:shd w:val="clear" w:color="auto" w:fill="FFFFFF"/>
        <w:spacing w:after="120"/>
        <w:rPr>
          <w:rFonts w:ascii="Arial" w:hAnsi="Arial" w:cs="Arial"/>
          <w:sz w:val="20"/>
          <w:szCs w:val="20"/>
          <w:shd w:val="clear" w:color="auto" w:fill="FFFFFF"/>
        </w:rPr>
      </w:pPr>
      <w:r w:rsidRPr="00DE475B">
        <w:rPr>
          <w:rFonts w:ascii="Arial" w:hAnsi="Arial" w:cs="Arial"/>
          <w:sz w:val="20"/>
          <w:szCs w:val="20"/>
          <w:shd w:val="clear" w:color="auto" w:fill="FFFFFF"/>
        </w:rPr>
        <w:t xml:space="preserve">The internal audit function is under the </w:t>
      </w:r>
      <w:r w:rsidR="00EE44C1">
        <w:rPr>
          <w:rFonts w:ascii="Arial" w:hAnsi="Arial" w:cs="Arial"/>
          <w:sz w:val="20"/>
          <w:szCs w:val="20"/>
          <w:shd w:val="clear" w:color="auto" w:fill="FFFFFF"/>
        </w:rPr>
        <w:t>oversight</w:t>
      </w:r>
      <w:r w:rsidRPr="00DE475B">
        <w:rPr>
          <w:rFonts w:ascii="Arial" w:hAnsi="Arial" w:cs="Arial"/>
          <w:sz w:val="20"/>
          <w:szCs w:val="20"/>
          <w:shd w:val="clear" w:color="auto" w:fill="FFFFFF"/>
        </w:rPr>
        <w:t xml:space="preserve"> of the </w:t>
      </w:r>
      <w:proofErr w:type="spellStart"/>
      <w:r w:rsidRPr="00DE475B">
        <w:rPr>
          <w:rFonts w:ascii="Arial" w:hAnsi="Arial" w:cs="Arial"/>
          <w:sz w:val="20"/>
          <w:szCs w:val="20"/>
          <w:shd w:val="clear" w:color="auto" w:fill="FFFFFF"/>
        </w:rPr>
        <w:t>ARMC</w:t>
      </w:r>
      <w:proofErr w:type="spellEnd"/>
      <w:r w:rsidRPr="00DE475B">
        <w:rPr>
          <w:rFonts w:ascii="Arial" w:hAnsi="Arial" w:cs="Arial"/>
          <w:sz w:val="20"/>
          <w:szCs w:val="20"/>
          <w:shd w:val="clear" w:color="auto" w:fill="FFFFFF"/>
        </w:rPr>
        <w:t xml:space="preserve">. It is independent of management and the external auditors, and is carried out on </w:t>
      </w:r>
      <w:proofErr w:type="spellStart"/>
      <w:r w:rsidRPr="00DE475B">
        <w:rPr>
          <w:rFonts w:ascii="Arial" w:hAnsi="Arial" w:cs="Arial"/>
          <w:sz w:val="20"/>
          <w:szCs w:val="20"/>
          <w:shd w:val="clear" w:color="auto" w:fill="FFFFFF"/>
        </w:rPr>
        <w:t>SLQ’s</w:t>
      </w:r>
      <w:proofErr w:type="spellEnd"/>
      <w:r w:rsidRPr="00DE475B">
        <w:rPr>
          <w:rFonts w:ascii="Arial" w:hAnsi="Arial" w:cs="Arial"/>
          <w:sz w:val="20"/>
          <w:szCs w:val="20"/>
          <w:shd w:val="clear" w:color="auto" w:fill="FFFFFF"/>
        </w:rPr>
        <w:t xml:space="preserve"> behalf by the </w:t>
      </w:r>
      <w:r w:rsidRPr="00DE475B">
        <w:rPr>
          <w:rFonts w:ascii="Arial" w:hAnsi="Arial" w:cs="Arial"/>
          <w:spacing w:val="-2"/>
          <w:sz w:val="20"/>
          <w:szCs w:val="20"/>
        </w:rPr>
        <w:t>Corporate Administration Agency</w:t>
      </w:r>
      <w:r w:rsidRPr="00DE475B">
        <w:rPr>
          <w:rFonts w:ascii="Arial" w:hAnsi="Arial" w:cs="Arial"/>
          <w:sz w:val="20"/>
          <w:szCs w:val="20"/>
          <w:shd w:val="clear" w:color="auto" w:fill="FFFFFF"/>
        </w:rPr>
        <w:t>’s (CAA) Internal Audit team.</w:t>
      </w:r>
    </w:p>
    <w:p w:rsidR="00FE65AA" w:rsidRPr="00DE475B" w:rsidRDefault="00FE65AA" w:rsidP="00AC0042">
      <w:pPr>
        <w:shd w:val="clear" w:color="auto" w:fill="FFFFFF"/>
        <w:spacing w:after="40"/>
        <w:rPr>
          <w:rFonts w:ascii="Arial" w:hAnsi="Arial" w:cs="Arial"/>
          <w:sz w:val="20"/>
          <w:szCs w:val="20"/>
          <w:shd w:val="clear" w:color="auto" w:fill="FFFFFF"/>
        </w:rPr>
      </w:pPr>
      <w:r w:rsidRPr="00DE475B">
        <w:rPr>
          <w:rFonts w:ascii="Arial" w:hAnsi="Arial" w:cs="Arial"/>
          <w:sz w:val="20"/>
          <w:szCs w:val="20"/>
          <w:shd w:val="clear" w:color="auto" w:fill="FFFFFF"/>
        </w:rPr>
        <w:t>The role of the internal audit function is to:</w:t>
      </w:r>
    </w:p>
    <w:p w:rsidR="00FE65AA" w:rsidRPr="00530AC1" w:rsidRDefault="00FE65AA" w:rsidP="00530AC1">
      <w:pPr>
        <w:numPr>
          <w:ilvl w:val="0"/>
          <w:numId w:val="2"/>
        </w:numPr>
        <w:tabs>
          <w:tab w:val="left" w:pos="284"/>
        </w:tabs>
        <w:spacing w:after="40"/>
        <w:ind w:left="284" w:hanging="284"/>
        <w:rPr>
          <w:rFonts w:ascii="Arial" w:hAnsi="Arial" w:cs="Arial"/>
          <w:sz w:val="20"/>
          <w:szCs w:val="20"/>
        </w:rPr>
      </w:pPr>
      <w:r w:rsidRPr="00530AC1">
        <w:rPr>
          <w:rFonts w:ascii="Arial" w:hAnsi="Arial" w:cs="Arial"/>
          <w:sz w:val="20"/>
          <w:szCs w:val="20"/>
        </w:rPr>
        <w:t xml:space="preserve">appraise </w:t>
      </w:r>
      <w:proofErr w:type="spellStart"/>
      <w:r w:rsidRPr="00530AC1">
        <w:rPr>
          <w:rFonts w:ascii="Arial" w:hAnsi="Arial" w:cs="Arial"/>
          <w:sz w:val="20"/>
          <w:szCs w:val="20"/>
        </w:rPr>
        <w:t>SLQ’s</w:t>
      </w:r>
      <w:proofErr w:type="spellEnd"/>
      <w:r w:rsidRPr="00530AC1">
        <w:rPr>
          <w:rFonts w:ascii="Arial" w:hAnsi="Arial" w:cs="Arial"/>
          <w:sz w:val="20"/>
          <w:szCs w:val="20"/>
        </w:rPr>
        <w:t xml:space="preserve"> financial administration and its effectiveness</w:t>
      </w:r>
      <w:r w:rsidR="0019542A">
        <w:rPr>
          <w:rFonts w:ascii="Arial" w:hAnsi="Arial" w:cs="Arial"/>
          <w:sz w:val="20"/>
          <w:szCs w:val="20"/>
        </w:rPr>
        <w:t>,</w:t>
      </w:r>
      <w:r w:rsidRPr="00530AC1">
        <w:rPr>
          <w:rFonts w:ascii="Arial" w:hAnsi="Arial" w:cs="Arial"/>
          <w:sz w:val="20"/>
          <w:szCs w:val="20"/>
        </w:rPr>
        <w:t xml:space="preserve"> having regard to the functions and duties imposed upon the statutory body under section 61 of the </w:t>
      </w:r>
      <w:r w:rsidRPr="0019542A">
        <w:rPr>
          <w:rFonts w:ascii="Arial" w:hAnsi="Arial" w:cs="Arial"/>
          <w:i/>
          <w:sz w:val="20"/>
          <w:szCs w:val="20"/>
        </w:rPr>
        <w:t>Financial Accountability Act 2009</w:t>
      </w:r>
    </w:p>
    <w:p w:rsidR="00FE65AA" w:rsidRPr="00530AC1" w:rsidRDefault="00FE65AA" w:rsidP="00530AC1">
      <w:pPr>
        <w:numPr>
          <w:ilvl w:val="0"/>
          <w:numId w:val="2"/>
        </w:numPr>
        <w:tabs>
          <w:tab w:val="left" w:pos="284"/>
        </w:tabs>
        <w:spacing w:after="120"/>
        <w:ind w:left="284" w:hanging="284"/>
        <w:rPr>
          <w:rFonts w:ascii="Arial" w:hAnsi="Arial" w:cs="Arial"/>
          <w:sz w:val="20"/>
          <w:szCs w:val="20"/>
        </w:rPr>
      </w:pPr>
      <w:proofErr w:type="gramStart"/>
      <w:r w:rsidRPr="00530AC1">
        <w:rPr>
          <w:rFonts w:ascii="Arial" w:hAnsi="Arial" w:cs="Arial"/>
          <w:sz w:val="20"/>
          <w:szCs w:val="20"/>
        </w:rPr>
        <w:t>provide</w:t>
      </w:r>
      <w:proofErr w:type="gramEnd"/>
      <w:r w:rsidRPr="00530AC1">
        <w:rPr>
          <w:rFonts w:ascii="Arial" w:hAnsi="Arial" w:cs="Arial"/>
          <w:sz w:val="20"/>
          <w:szCs w:val="20"/>
        </w:rPr>
        <w:t xml:space="preserve"> value-added audit services and advice to the statutory body, the </w:t>
      </w:r>
      <w:proofErr w:type="spellStart"/>
      <w:r w:rsidRPr="00530AC1">
        <w:rPr>
          <w:rFonts w:ascii="Arial" w:hAnsi="Arial" w:cs="Arial"/>
          <w:sz w:val="20"/>
          <w:szCs w:val="20"/>
        </w:rPr>
        <w:t>ARMC</w:t>
      </w:r>
      <w:proofErr w:type="spellEnd"/>
      <w:r w:rsidRPr="00530AC1">
        <w:rPr>
          <w:rFonts w:ascii="Arial" w:hAnsi="Arial" w:cs="Arial"/>
          <w:sz w:val="20"/>
          <w:szCs w:val="20"/>
        </w:rPr>
        <w:t xml:space="preserve"> and </w:t>
      </w:r>
      <w:proofErr w:type="spellStart"/>
      <w:r w:rsidRPr="00530AC1">
        <w:rPr>
          <w:rFonts w:ascii="Arial" w:hAnsi="Arial" w:cs="Arial"/>
          <w:sz w:val="20"/>
          <w:szCs w:val="20"/>
        </w:rPr>
        <w:t>SLQ’s</w:t>
      </w:r>
      <w:proofErr w:type="spellEnd"/>
      <w:r w:rsidRPr="00530AC1">
        <w:rPr>
          <w:rFonts w:ascii="Arial" w:hAnsi="Arial" w:cs="Arial"/>
          <w:sz w:val="20"/>
          <w:szCs w:val="20"/>
        </w:rPr>
        <w:t xml:space="preserve"> management on the effectiveness, efficiency, appropriateness, legality and probity of </w:t>
      </w:r>
      <w:proofErr w:type="spellStart"/>
      <w:r w:rsidRPr="00530AC1">
        <w:rPr>
          <w:rFonts w:ascii="Arial" w:hAnsi="Arial" w:cs="Arial"/>
          <w:sz w:val="20"/>
          <w:szCs w:val="20"/>
        </w:rPr>
        <w:t>SLQ’s</w:t>
      </w:r>
      <w:proofErr w:type="spellEnd"/>
      <w:r w:rsidRPr="00530AC1">
        <w:rPr>
          <w:rFonts w:ascii="Arial" w:hAnsi="Arial" w:cs="Arial"/>
          <w:sz w:val="20"/>
          <w:szCs w:val="20"/>
        </w:rPr>
        <w:t xml:space="preserve"> operations. In particular, this responsibility includes advice on measures taken to establish and maintain a reliable and effective system of internal control.</w:t>
      </w:r>
    </w:p>
    <w:p w:rsidR="00FE65AA" w:rsidRPr="00DE475B" w:rsidRDefault="00FE65AA" w:rsidP="00FE65AA">
      <w:pPr>
        <w:shd w:val="clear" w:color="auto" w:fill="FFFFFF"/>
        <w:spacing w:after="120"/>
        <w:rPr>
          <w:rFonts w:ascii="Arial" w:hAnsi="Arial" w:cs="Arial"/>
          <w:sz w:val="20"/>
          <w:szCs w:val="20"/>
          <w:shd w:val="clear" w:color="auto" w:fill="FFFFFF"/>
        </w:rPr>
      </w:pPr>
      <w:r w:rsidRPr="00DE475B">
        <w:rPr>
          <w:rFonts w:ascii="Arial" w:hAnsi="Arial" w:cs="Arial"/>
          <w:sz w:val="20"/>
          <w:szCs w:val="20"/>
          <w:shd w:val="clear" w:color="auto" w:fill="FFFFFF"/>
        </w:rPr>
        <w:t xml:space="preserve">The internal audit function operates under a charter consistent with relevant audit and ethical standards and approved by the </w:t>
      </w:r>
      <w:proofErr w:type="spellStart"/>
      <w:r w:rsidRPr="00DE475B">
        <w:rPr>
          <w:rFonts w:ascii="Arial" w:hAnsi="Arial" w:cs="Arial"/>
          <w:sz w:val="20"/>
          <w:szCs w:val="20"/>
          <w:shd w:val="clear" w:color="auto" w:fill="FFFFFF"/>
        </w:rPr>
        <w:t>ARMC</w:t>
      </w:r>
      <w:proofErr w:type="spellEnd"/>
      <w:r w:rsidRPr="00DE475B">
        <w:rPr>
          <w:rFonts w:ascii="Arial" w:hAnsi="Arial" w:cs="Arial"/>
          <w:sz w:val="20"/>
          <w:szCs w:val="20"/>
          <w:shd w:val="clear" w:color="auto" w:fill="FFFFFF"/>
        </w:rPr>
        <w:t xml:space="preserve">. The internal audit function has due regard to the </w:t>
      </w:r>
      <w:r w:rsidRPr="00DE475B">
        <w:rPr>
          <w:rFonts w:ascii="Arial" w:hAnsi="Arial" w:cs="Arial"/>
          <w:i/>
          <w:sz w:val="20"/>
          <w:szCs w:val="20"/>
          <w:shd w:val="clear" w:color="auto" w:fill="FFFFFF"/>
        </w:rPr>
        <w:t>Financial and Performance Management Standard 2009</w:t>
      </w:r>
      <w:r w:rsidRPr="00DE475B">
        <w:rPr>
          <w:rFonts w:ascii="Arial" w:hAnsi="Arial" w:cs="Arial"/>
          <w:sz w:val="20"/>
          <w:szCs w:val="20"/>
          <w:shd w:val="clear" w:color="auto" w:fill="FFFFFF"/>
        </w:rPr>
        <w:t>.</w:t>
      </w:r>
    </w:p>
    <w:p w:rsidR="00FE65AA" w:rsidRPr="00DE475B" w:rsidRDefault="00FE65AA" w:rsidP="00FE65AA">
      <w:pPr>
        <w:spacing w:after="120"/>
        <w:rPr>
          <w:rFonts w:ascii="Arial" w:hAnsi="Arial" w:cs="Arial"/>
          <w:sz w:val="20"/>
          <w:szCs w:val="20"/>
          <w:highlight w:val="yellow"/>
        </w:rPr>
      </w:pPr>
      <w:r w:rsidRPr="00DE475B">
        <w:rPr>
          <w:rFonts w:ascii="Arial" w:hAnsi="Arial" w:cs="Arial"/>
          <w:sz w:val="20"/>
          <w:szCs w:val="20"/>
        </w:rPr>
        <w:t>SLQ uses reviews, audits and surveys to identify areas of improvement and address risks. All agreed recommendations by the External and Internal Audit are assigned to management for action within agreed timeframes. SLQ took action on all rec</w:t>
      </w:r>
      <w:r w:rsidR="00D739EE">
        <w:rPr>
          <w:rFonts w:ascii="Arial" w:hAnsi="Arial" w:cs="Arial"/>
          <w:sz w:val="20"/>
          <w:szCs w:val="20"/>
        </w:rPr>
        <w:t>ommendations from audits in 2016–17</w:t>
      </w:r>
      <w:r w:rsidRPr="00DE475B">
        <w:rPr>
          <w:rFonts w:ascii="Arial" w:hAnsi="Arial" w:cs="Arial"/>
          <w:sz w:val="20"/>
          <w:szCs w:val="20"/>
        </w:rPr>
        <w:t>.</w:t>
      </w:r>
      <w:r w:rsidRPr="00DE475B">
        <w:rPr>
          <w:rFonts w:ascii="Arial" w:hAnsi="Arial" w:cs="Arial"/>
          <w:sz w:val="20"/>
          <w:szCs w:val="20"/>
          <w:highlight w:val="yellow"/>
        </w:rPr>
        <w:t xml:space="preserve"> </w:t>
      </w:r>
    </w:p>
    <w:p w:rsidR="006D16A5" w:rsidRPr="00DE475B" w:rsidRDefault="006D16A5" w:rsidP="006D16A5">
      <w:pPr>
        <w:pStyle w:val="ListParagraph"/>
        <w:spacing w:after="120"/>
        <w:ind w:left="0"/>
        <w:rPr>
          <w:sz w:val="20"/>
          <w:lang w:eastAsia="en-US"/>
        </w:rPr>
      </w:pPr>
      <w:r w:rsidRPr="00DE475B">
        <w:rPr>
          <w:sz w:val="20"/>
          <w:lang w:eastAsia="en-US"/>
        </w:rPr>
        <w:t xml:space="preserve">Pickles Valuation Services was appointed to undertake the comprehensive valuation of </w:t>
      </w:r>
      <w:proofErr w:type="spellStart"/>
      <w:r w:rsidRPr="00DE475B">
        <w:rPr>
          <w:sz w:val="20"/>
          <w:lang w:eastAsia="en-US"/>
        </w:rPr>
        <w:t>SLQ’s</w:t>
      </w:r>
      <w:proofErr w:type="spellEnd"/>
      <w:r w:rsidRPr="00DE475B">
        <w:rPr>
          <w:sz w:val="20"/>
          <w:lang w:eastAsia="en-US"/>
        </w:rPr>
        <w:t xml:space="preserve"> heritage collection. A five-yearly valuation is a requirement of Australian </w:t>
      </w:r>
      <w:r w:rsidR="008F5AB7">
        <w:rPr>
          <w:sz w:val="20"/>
          <w:lang w:eastAsia="en-US"/>
        </w:rPr>
        <w:lastRenderedPageBreak/>
        <w:t>Accounting S</w:t>
      </w:r>
      <w:r w:rsidRPr="00DE475B">
        <w:rPr>
          <w:sz w:val="20"/>
          <w:lang w:eastAsia="en-US"/>
        </w:rPr>
        <w:t>tandards. This included ind</w:t>
      </w:r>
      <w:r w:rsidR="008F5AB7">
        <w:rPr>
          <w:sz w:val="20"/>
          <w:lang w:eastAsia="en-US"/>
        </w:rPr>
        <w:t>ividual valuations of some high-value items, category-</w:t>
      </w:r>
      <w:r w:rsidRPr="00DE475B">
        <w:rPr>
          <w:sz w:val="20"/>
          <w:lang w:eastAsia="en-US"/>
        </w:rPr>
        <w:t>level values for the rem</w:t>
      </w:r>
      <w:r w:rsidR="00807F1E">
        <w:rPr>
          <w:sz w:val="20"/>
          <w:lang w:eastAsia="en-US"/>
        </w:rPr>
        <w:t>a</w:t>
      </w:r>
      <w:r w:rsidRPr="00DE475B">
        <w:rPr>
          <w:sz w:val="20"/>
          <w:lang w:eastAsia="en-US"/>
        </w:rPr>
        <w:t xml:space="preserve">inder of the heritage collection, advice on </w:t>
      </w:r>
      <w:proofErr w:type="spellStart"/>
      <w:r w:rsidRPr="00DE475B">
        <w:rPr>
          <w:sz w:val="20"/>
          <w:lang w:eastAsia="en-US"/>
        </w:rPr>
        <w:t>SLQ’s</w:t>
      </w:r>
      <w:proofErr w:type="spellEnd"/>
      <w:r w:rsidRPr="00DE475B">
        <w:rPr>
          <w:sz w:val="20"/>
          <w:lang w:eastAsia="en-US"/>
        </w:rPr>
        <w:t xml:space="preserve"> interpretation of Queensland Treasury’s policy for valuing the Information Collection and a value for the corporate art collection.</w:t>
      </w:r>
    </w:p>
    <w:p w:rsidR="00D61714" w:rsidRPr="00D61714" w:rsidRDefault="00D61714" w:rsidP="00D61714">
      <w:pPr>
        <w:pStyle w:val="ARHeading1"/>
        <w:rPr>
          <w:b/>
          <w:sz w:val="20"/>
          <w:szCs w:val="20"/>
        </w:rPr>
      </w:pPr>
      <w:r w:rsidRPr="00D61714">
        <w:rPr>
          <w:b/>
          <w:sz w:val="20"/>
          <w:szCs w:val="20"/>
        </w:rPr>
        <w:t>Risk management</w:t>
      </w:r>
    </w:p>
    <w:p w:rsidR="00FE65AA" w:rsidRPr="00DE475B" w:rsidRDefault="00FE65AA" w:rsidP="00FE65AA">
      <w:pPr>
        <w:spacing w:after="120"/>
        <w:rPr>
          <w:rFonts w:ascii="Arial" w:hAnsi="Arial" w:cs="Arial"/>
          <w:sz w:val="20"/>
          <w:szCs w:val="20"/>
          <w:shd w:val="clear" w:color="auto" w:fill="FFFFFF"/>
        </w:rPr>
      </w:pPr>
      <w:r w:rsidRPr="00DE475B">
        <w:rPr>
          <w:rFonts w:ascii="Arial" w:hAnsi="Arial" w:cs="Arial"/>
          <w:sz w:val="20"/>
          <w:szCs w:val="20"/>
        </w:rPr>
        <w:t xml:space="preserve">The </w:t>
      </w:r>
      <w:proofErr w:type="spellStart"/>
      <w:r w:rsidRPr="00DE475B">
        <w:rPr>
          <w:rFonts w:ascii="Arial" w:hAnsi="Arial" w:cs="Arial"/>
          <w:sz w:val="20"/>
          <w:szCs w:val="20"/>
        </w:rPr>
        <w:t>ARMC</w:t>
      </w:r>
      <w:proofErr w:type="spellEnd"/>
      <w:r w:rsidRPr="00DE475B">
        <w:rPr>
          <w:rFonts w:ascii="Arial" w:hAnsi="Arial" w:cs="Arial"/>
          <w:sz w:val="20"/>
          <w:szCs w:val="20"/>
        </w:rPr>
        <w:t xml:space="preserve"> also oversees risk management. A Risk Management Policy consistent with the statutory requirements of section 28 of the </w:t>
      </w:r>
      <w:r w:rsidRPr="00DE475B">
        <w:rPr>
          <w:rFonts w:ascii="Arial" w:hAnsi="Arial" w:cs="Arial"/>
          <w:i/>
          <w:sz w:val="20"/>
          <w:szCs w:val="20"/>
        </w:rPr>
        <w:t>Financial and Performance Management Standard 2009</w:t>
      </w:r>
      <w:r w:rsidRPr="00DE475B">
        <w:rPr>
          <w:rFonts w:ascii="Arial" w:hAnsi="Arial" w:cs="Arial"/>
          <w:sz w:val="20"/>
          <w:szCs w:val="20"/>
        </w:rPr>
        <w:t xml:space="preserve"> and the </w:t>
      </w:r>
      <w:r w:rsidRPr="00DE475B">
        <w:rPr>
          <w:rFonts w:ascii="Arial" w:hAnsi="Arial" w:cs="Arial"/>
          <w:i/>
          <w:sz w:val="20"/>
          <w:szCs w:val="20"/>
        </w:rPr>
        <w:t>International Standard on Risk Management</w:t>
      </w:r>
      <w:r w:rsidRPr="00DE475B">
        <w:rPr>
          <w:rFonts w:ascii="Arial" w:hAnsi="Arial" w:cs="Arial"/>
          <w:sz w:val="20"/>
          <w:szCs w:val="20"/>
        </w:rPr>
        <w:t xml:space="preserve"> (ISO 31000:2009) is in place.</w:t>
      </w:r>
    </w:p>
    <w:p w:rsidR="00FE65AA" w:rsidRPr="00DE475B" w:rsidRDefault="00FE65AA" w:rsidP="00FE65AA">
      <w:pPr>
        <w:shd w:val="clear" w:color="auto" w:fill="FFFFFF"/>
        <w:spacing w:after="120"/>
        <w:rPr>
          <w:rFonts w:ascii="Arial" w:hAnsi="Arial" w:cs="Arial"/>
          <w:sz w:val="20"/>
          <w:szCs w:val="20"/>
        </w:rPr>
      </w:pPr>
      <w:r w:rsidRPr="00DE475B">
        <w:rPr>
          <w:rFonts w:ascii="Arial" w:hAnsi="Arial" w:cs="Arial"/>
          <w:sz w:val="20"/>
          <w:szCs w:val="20"/>
          <w:shd w:val="clear" w:color="auto" w:fill="FFFFFF"/>
        </w:rPr>
        <w:t xml:space="preserve">Risk is identified at the strategic and operational levels against the following categories: collections, service delivery, reputation, governance, funding, capability and culture, contracts and agreements, information and communications technology services, and business continuity. </w:t>
      </w:r>
      <w:r w:rsidR="000A2CD8" w:rsidRPr="000A2CD8">
        <w:rPr>
          <w:rFonts w:ascii="Arial" w:hAnsi="Arial" w:cs="Arial"/>
          <w:sz w:val="20"/>
          <w:szCs w:val="20"/>
          <w:shd w:val="clear" w:color="auto" w:fill="FFFFFF"/>
        </w:rPr>
        <w:t xml:space="preserve">As part of this strategy, a Risk Register has been established. This is reviewed annually by the </w:t>
      </w:r>
      <w:proofErr w:type="spellStart"/>
      <w:r w:rsidR="000A2CD8" w:rsidRPr="000A2CD8">
        <w:rPr>
          <w:rFonts w:ascii="Arial" w:hAnsi="Arial" w:cs="Arial"/>
          <w:sz w:val="20"/>
          <w:szCs w:val="20"/>
          <w:shd w:val="clear" w:color="auto" w:fill="FFFFFF"/>
        </w:rPr>
        <w:t>ARMC</w:t>
      </w:r>
      <w:proofErr w:type="spellEnd"/>
      <w:r w:rsidR="000A2CD8" w:rsidRPr="000A2CD8">
        <w:rPr>
          <w:rFonts w:ascii="Arial" w:hAnsi="Arial" w:cs="Arial"/>
          <w:sz w:val="20"/>
          <w:szCs w:val="20"/>
          <w:shd w:val="clear" w:color="auto" w:fill="FFFFFF"/>
        </w:rPr>
        <w:t xml:space="preserve"> and the Library Board, which also receive quarterly updates on newly identified risks, and actions being taken to mitigate and manage these risks</w:t>
      </w:r>
      <w:r w:rsidRPr="00DE475B">
        <w:rPr>
          <w:rFonts w:ascii="Arial" w:hAnsi="Arial" w:cs="Arial"/>
          <w:sz w:val="20"/>
          <w:szCs w:val="20"/>
          <w:shd w:val="clear" w:color="auto" w:fill="FFFFFF"/>
        </w:rPr>
        <w:t>. SLQ also has a Risk Management Strategy for child-related duties, which aims to protect children from harm and to promote their wellbeing through the creation of child-safe service environments.</w:t>
      </w:r>
    </w:p>
    <w:p w:rsidR="00FE65AA" w:rsidRPr="009A3347" w:rsidRDefault="00FE65AA" w:rsidP="00FE65AA">
      <w:pPr>
        <w:spacing w:after="120"/>
        <w:rPr>
          <w:rFonts w:ascii="Arial" w:hAnsi="Arial" w:cs="Arial"/>
          <w:spacing w:val="-4"/>
          <w:sz w:val="20"/>
          <w:szCs w:val="20"/>
        </w:rPr>
      </w:pPr>
      <w:proofErr w:type="spellStart"/>
      <w:r w:rsidRPr="009A3347">
        <w:rPr>
          <w:rFonts w:ascii="Arial" w:hAnsi="Arial" w:cs="Arial"/>
          <w:spacing w:val="-4"/>
          <w:sz w:val="20"/>
          <w:szCs w:val="20"/>
        </w:rPr>
        <w:t>SLQ’s</w:t>
      </w:r>
      <w:proofErr w:type="spellEnd"/>
      <w:r w:rsidRPr="009A3347">
        <w:rPr>
          <w:rFonts w:ascii="Arial" w:hAnsi="Arial" w:cs="Arial"/>
          <w:spacing w:val="-4"/>
          <w:sz w:val="20"/>
          <w:szCs w:val="20"/>
        </w:rPr>
        <w:t xml:space="preserve"> crisis management arrangements include a detailed business continuity plan, the General Security Policy, Emergency Response Plan and Pandemic Plan. The Business Continuity Plan is reviewed and updated annually to reflect changes in organisational needs. </w:t>
      </w:r>
      <w:r w:rsidR="009A3347" w:rsidRPr="009A3347">
        <w:rPr>
          <w:rFonts w:ascii="Arial" w:hAnsi="Arial" w:cs="Arial"/>
          <w:spacing w:val="-4"/>
          <w:sz w:val="20"/>
          <w:szCs w:val="20"/>
        </w:rPr>
        <w:t>SLQ is</w:t>
      </w:r>
      <w:r w:rsidRPr="009A3347">
        <w:rPr>
          <w:rFonts w:ascii="Arial" w:hAnsi="Arial" w:cs="Arial"/>
          <w:spacing w:val="-4"/>
          <w:sz w:val="20"/>
          <w:szCs w:val="20"/>
        </w:rPr>
        <w:t xml:space="preserve"> a member of the </w:t>
      </w:r>
      <w:proofErr w:type="spellStart"/>
      <w:r w:rsidRPr="009A3347">
        <w:rPr>
          <w:rFonts w:ascii="Arial" w:hAnsi="Arial" w:cs="Arial"/>
          <w:spacing w:val="-4"/>
          <w:sz w:val="20"/>
          <w:szCs w:val="20"/>
        </w:rPr>
        <w:t>DSITI</w:t>
      </w:r>
      <w:proofErr w:type="spellEnd"/>
      <w:r w:rsidRPr="009A3347">
        <w:rPr>
          <w:rFonts w:ascii="Arial" w:hAnsi="Arial" w:cs="Arial"/>
          <w:spacing w:val="-4"/>
          <w:sz w:val="20"/>
          <w:szCs w:val="20"/>
        </w:rPr>
        <w:t xml:space="preserve"> Resilience Team, which provides a coord</w:t>
      </w:r>
      <w:r w:rsidR="00737869" w:rsidRPr="009A3347">
        <w:rPr>
          <w:rFonts w:ascii="Arial" w:hAnsi="Arial" w:cs="Arial"/>
          <w:spacing w:val="-4"/>
          <w:sz w:val="20"/>
          <w:szCs w:val="20"/>
        </w:rPr>
        <w:t>inated emergency response at a s</w:t>
      </w:r>
      <w:r w:rsidRPr="009A3347">
        <w:rPr>
          <w:rFonts w:ascii="Arial" w:hAnsi="Arial" w:cs="Arial"/>
          <w:spacing w:val="-4"/>
          <w:sz w:val="20"/>
          <w:szCs w:val="20"/>
        </w:rPr>
        <w:t>tate level.</w:t>
      </w:r>
    </w:p>
    <w:p w:rsidR="003D09A9" w:rsidRPr="00D61714" w:rsidRDefault="003D09A9" w:rsidP="00D61714">
      <w:pPr>
        <w:pStyle w:val="ARheading3"/>
        <w:tabs>
          <w:tab w:val="left" w:pos="851"/>
        </w:tabs>
        <w:spacing w:after="120"/>
        <w:rPr>
          <w:color w:val="808080"/>
        </w:rPr>
      </w:pPr>
      <w:r w:rsidRPr="00D61714">
        <w:rPr>
          <w:color w:val="808080"/>
        </w:rPr>
        <w:t>Recordkeeping</w:t>
      </w:r>
    </w:p>
    <w:p w:rsidR="003851A1" w:rsidRPr="00DE475B" w:rsidRDefault="003851A1" w:rsidP="003851A1">
      <w:pPr>
        <w:spacing w:after="120"/>
        <w:rPr>
          <w:rFonts w:ascii="Arial" w:hAnsi="Arial" w:cs="Arial"/>
          <w:sz w:val="20"/>
          <w:szCs w:val="20"/>
          <w:highlight w:val="yellow"/>
        </w:rPr>
      </w:pPr>
      <w:r w:rsidRPr="00DE475B">
        <w:rPr>
          <w:rFonts w:ascii="Arial" w:hAnsi="Arial" w:cs="Arial"/>
          <w:sz w:val="20"/>
          <w:szCs w:val="20"/>
        </w:rPr>
        <w:t xml:space="preserve">SLQ complies with the provisions of the </w:t>
      </w:r>
      <w:r w:rsidRPr="00DE475B">
        <w:rPr>
          <w:rFonts w:ascii="Arial" w:hAnsi="Arial" w:cs="Arial"/>
          <w:i/>
          <w:sz w:val="20"/>
          <w:szCs w:val="20"/>
        </w:rPr>
        <w:t>Public Records Act 2002</w:t>
      </w:r>
      <w:r w:rsidRPr="00DE475B">
        <w:rPr>
          <w:rFonts w:ascii="Arial" w:hAnsi="Arial" w:cs="Arial"/>
          <w:sz w:val="20"/>
          <w:szCs w:val="20"/>
        </w:rPr>
        <w:t xml:space="preserve">, </w:t>
      </w:r>
      <w:r w:rsidRPr="00DE475B">
        <w:rPr>
          <w:rFonts w:ascii="Arial" w:hAnsi="Arial" w:cs="Arial"/>
          <w:i/>
          <w:sz w:val="20"/>
          <w:szCs w:val="20"/>
        </w:rPr>
        <w:t>Information Standard 40: Recordkeeping</w:t>
      </w:r>
      <w:r w:rsidRPr="00DE475B">
        <w:rPr>
          <w:rFonts w:ascii="Arial" w:hAnsi="Arial" w:cs="Arial"/>
          <w:sz w:val="20"/>
          <w:szCs w:val="20"/>
        </w:rPr>
        <w:t xml:space="preserve"> (ISO 40) and </w:t>
      </w:r>
      <w:r w:rsidRPr="00DE475B">
        <w:rPr>
          <w:rFonts w:ascii="Arial" w:hAnsi="Arial" w:cs="Arial"/>
          <w:i/>
          <w:sz w:val="20"/>
          <w:szCs w:val="20"/>
        </w:rPr>
        <w:t xml:space="preserve">Information Standard 31: Retention and Disposal of Public Records </w:t>
      </w:r>
      <w:r w:rsidRPr="00DE475B">
        <w:rPr>
          <w:rFonts w:ascii="Arial" w:hAnsi="Arial" w:cs="Arial"/>
          <w:sz w:val="20"/>
          <w:szCs w:val="20"/>
        </w:rPr>
        <w:t xml:space="preserve">(IS 31). All records across the organisation are captured in ISO 40 compliant databases through </w:t>
      </w:r>
      <w:proofErr w:type="spellStart"/>
      <w:r w:rsidRPr="00DE475B">
        <w:rPr>
          <w:rFonts w:ascii="Arial" w:hAnsi="Arial" w:cs="Arial"/>
          <w:sz w:val="20"/>
          <w:szCs w:val="20"/>
        </w:rPr>
        <w:t>Recfind</w:t>
      </w:r>
      <w:proofErr w:type="spellEnd"/>
      <w:r w:rsidRPr="00DE475B">
        <w:rPr>
          <w:rFonts w:ascii="Arial" w:hAnsi="Arial" w:cs="Arial"/>
          <w:sz w:val="20"/>
          <w:szCs w:val="20"/>
        </w:rPr>
        <w:t xml:space="preserve"> V6 electronic document and record management system (</w:t>
      </w:r>
      <w:proofErr w:type="spellStart"/>
      <w:r w:rsidRPr="00DE475B">
        <w:rPr>
          <w:rFonts w:ascii="Arial" w:hAnsi="Arial" w:cs="Arial"/>
          <w:sz w:val="20"/>
          <w:szCs w:val="20"/>
        </w:rPr>
        <w:t>eDRMS</w:t>
      </w:r>
      <w:proofErr w:type="spellEnd"/>
      <w:r w:rsidRPr="00DE475B">
        <w:rPr>
          <w:rFonts w:ascii="Arial" w:hAnsi="Arial" w:cs="Arial"/>
          <w:sz w:val="20"/>
          <w:szCs w:val="20"/>
        </w:rPr>
        <w:t xml:space="preserve">). Since implementing the </w:t>
      </w:r>
      <w:proofErr w:type="spellStart"/>
      <w:r w:rsidRPr="00DE475B">
        <w:rPr>
          <w:rFonts w:ascii="Arial" w:hAnsi="Arial" w:cs="Arial"/>
          <w:sz w:val="20"/>
          <w:szCs w:val="20"/>
        </w:rPr>
        <w:t>Recfind</w:t>
      </w:r>
      <w:proofErr w:type="spellEnd"/>
      <w:r w:rsidRPr="00DE475B">
        <w:rPr>
          <w:rFonts w:ascii="Arial" w:hAnsi="Arial" w:cs="Arial"/>
          <w:sz w:val="20"/>
          <w:szCs w:val="20"/>
        </w:rPr>
        <w:t xml:space="preserve"> </w:t>
      </w:r>
      <w:proofErr w:type="spellStart"/>
      <w:r w:rsidRPr="00DE475B">
        <w:rPr>
          <w:rFonts w:ascii="Arial" w:hAnsi="Arial" w:cs="Arial"/>
          <w:sz w:val="20"/>
          <w:szCs w:val="20"/>
        </w:rPr>
        <w:t>eDRMS</w:t>
      </w:r>
      <w:proofErr w:type="spellEnd"/>
      <w:r w:rsidRPr="00DE475B">
        <w:rPr>
          <w:rFonts w:ascii="Arial" w:hAnsi="Arial" w:cs="Arial"/>
          <w:sz w:val="20"/>
          <w:szCs w:val="20"/>
        </w:rPr>
        <w:t xml:space="preserve"> in </w:t>
      </w:r>
      <w:r w:rsidRPr="00245DF6">
        <w:rPr>
          <w:rFonts w:ascii="Arial" w:hAnsi="Arial" w:cs="Arial"/>
          <w:sz w:val="20"/>
          <w:szCs w:val="20"/>
        </w:rPr>
        <w:lastRenderedPageBreak/>
        <w:t>November 2010, there has been a consistent increase of</w:t>
      </w:r>
      <w:r w:rsidRPr="00DE475B">
        <w:rPr>
          <w:rFonts w:ascii="Arial" w:hAnsi="Arial" w:cs="Arial"/>
          <w:sz w:val="20"/>
          <w:szCs w:val="20"/>
        </w:rPr>
        <w:t xml:space="preserve"> the capture of electronic records each year. </w:t>
      </w:r>
      <w:r w:rsidRPr="00A40076">
        <w:rPr>
          <w:rFonts w:ascii="Arial" w:hAnsi="Arial" w:cs="Arial"/>
          <w:sz w:val="20"/>
          <w:szCs w:val="20"/>
        </w:rPr>
        <w:t>The system ha</w:t>
      </w:r>
      <w:r w:rsidR="00A40076" w:rsidRPr="00A40076">
        <w:rPr>
          <w:rFonts w:ascii="Arial" w:hAnsi="Arial" w:cs="Arial"/>
          <w:sz w:val="20"/>
          <w:szCs w:val="20"/>
        </w:rPr>
        <w:t>s currently captured more than 7</w:t>
      </w:r>
      <w:r w:rsidRPr="00A40076">
        <w:rPr>
          <w:rFonts w:ascii="Arial" w:hAnsi="Arial" w:cs="Arial"/>
          <w:sz w:val="20"/>
          <w:szCs w:val="20"/>
        </w:rPr>
        <w:t>0,000 electronic records.</w:t>
      </w:r>
      <w:r w:rsidRPr="00DE475B">
        <w:rPr>
          <w:rFonts w:ascii="Arial" w:hAnsi="Arial" w:cs="Arial"/>
          <w:sz w:val="20"/>
          <w:szCs w:val="20"/>
        </w:rPr>
        <w:t xml:space="preserve"> All SLQ staff </w:t>
      </w:r>
      <w:proofErr w:type="gramStart"/>
      <w:r w:rsidRPr="00DE475B">
        <w:rPr>
          <w:rFonts w:ascii="Arial" w:hAnsi="Arial" w:cs="Arial"/>
          <w:sz w:val="20"/>
          <w:szCs w:val="20"/>
        </w:rPr>
        <w:t>have</w:t>
      </w:r>
      <w:proofErr w:type="gramEnd"/>
      <w:r w:rsidRPr="00DE475B">
        <w:rPr>
          <w:rFonts w:ascii="Arial" w:hAnsi="Arial" w:cs="Arial"/>
          <w:sz w:val="20"/>
          <w:szCs w:val="20"/>
        </w:rPr>
        <w:t xml:space="preserve"> received training on the </w:t>
      </w:r>
      <w:proofErr w:type="spellStart"/>
      <w:r w:rsidRPr="00DE475B">
        <w:rPr>
          <w:rFonts w:ascii="Arial" w:hAnsi="Arial" w:cs="Arial"/>
          <w:sz w:val="20"/>
          <w:szCs w:val="20"/>
        </w:rPr>
        <w:t>eDRMS</w:t>
      </w:r>
      <w:proofErr w:type="spellEnd"/>
      <w:r w:rsidRPr="00DE475B">
        <w:rPr>
          <w:rFonts w:ascii="Arial" w:hAnsi="Arial" w:cs="Arial"/>
          <w:sz w:val="20"/>
          <w:szCs w:val="20"/>
        </w:rPr>
        <w:t>. Regul</w:t>
      </w:r>
      <w:r w:rsidR="00AB1EAE" w:rsidRPr="00DE475B">
        <w:rPr>
          <w:rFonts w:ascii="Arial" w:hAnsi="Arial" w:cs="Arial"/>
          <w:sz w:val="20"/>
          <w:szCs w:val="20"/>
        </w:rPr>
        <w:t>ar refresher sessions in record</w:t>
      </w:r>
      <w:r w:rsidRPr="00DE475B">
        <w:rPr>
          <w:rFonts w:ascii="Arial" w:hAnsi="Arial" w:cs="Arial"/>
          <w:sz w:val="20"/>
          <w:szCs w:val="20"/>
        </w:rPr>
        <w:t xml:space="preserve">keeping are open to all staff, while all new staff </w:t>
      </w:r>
      <w:proofErr w:type="gramStart"/>
      <w:r w:rsidRPr="00DE475B">
        <w:rPr>
          <w:rFonts w:ascii="Arial" w:hAnsi="Arial" w:cs="Arial"/>
          <w:sz w:val="20"/>
          <w:szCs w:val="20"/>
        </w:rPr>
        <w:t>receive</w:t>
      </w:r>
      <w:proofErr w:type="gramEnd"/>
      <w:r w:rsidRPr="00DE475B">
        <w:rPr>
          <w:rFonts w:ascii="Arial" w:hAnsi="Arial" w:cs="Arial"/>
          <w:sz w:val="20"/>
          <w:szCs w:val="20"/>
        </w:rPr>
        <w:t xml:space="preserve"> records training as part of induction. </w:t>
      </w:r>
      <w:r w:rsidRPr="00A40076">
        <w:rPr>
          <w:rFonts w:ascii="Arial" w:hAnsi="Arial" w:cs="Arial"/>
          <w:sz w:val="20"/>
          <w:szCs w:val="20"/>
        </w:rPr>
        <w:t xml:space="preserve">An </w:t>
      </w:r>
      <w:r w:rsidRPr="00AF0A31">
        <w:rPr>
          <w:rFonts w:ascii="Arial" w:hAnsi="Arial" w:cs="Arial"/>
          <w:sz w:val="20"/>
          <w:szCs w:val="20"/>
        </w:rPr>
        <w:t xml:space="preserve">extra </w:t>
      </w:r>
      <w:r w:rsidR="00AF0A31" w:rsidRPr="00AF0A31">
        <w:rPr>
          <w:rFonts w:ascii="Arial" w:hAnsi="Arial" w:cs="Arial"/>
          <w:sz w:val="20"/>
          <w:szCs w:val="20"/>
        </w:rPr>
        <w:t>45</w:t>
      </w:r>
      <w:r w:rsidRPr="00AF0A31">
        <w:rPr>
          <w:rFonts w:ascii="Arial" w:hAnsi="Arial" w:cs="Arial"/>
          <w:sz w:val="20"/>
          <w:szCs w:val="20"/>
        </w:rPr>
        <w:t xml:space="preserve"> staff</w:t>
      </w:r>
      <w:r w:rsidRPr="00A40076">
        <w:rPr>
          <w:rFonts w:ascii="Arial" w:hAnsi="Arial" w:cs="Arial"/>
          <w:sz w:val="20"/>
          <w:szCs w:val="20"/>
        </w:rPr>
        <w:t xml:space="preserve"> attended training in 201</w:t>
      </w:r>
      <w:r w:rsidR="00A40076" w:rsidRPr="00A40076">
        <w:rPr>
          <w:rFonts w:ascii="Arial" w:hAnsi="Arial" w:cs="Arial"/>
          <w:sz w:val="20"/>
          <w:szCs w:val="20"/>
        </w:rPr>
        <w:t>6–17</w:t>
      </w:r>
      <w:r w:rsidRPr="00A40076">
        <w:rPr>
          <w:rFonts w:ascii="Arial" w:hAnsi="Arial" w:cs="Arial"/>
          <w:sz w:val="20"/>
          <w:szCs w:val="20"/>
        </w:rPr>
        <w:t>.</w:t>
      </w:r>
    </w:p>
    <w:p w:rsidR="003D09A9" w:rsidRPr="00DE475B" w:rsidRDefault="003851A1" w:rsidP="003851A1">
      <w:pPr>
        <w:spacing w:after="120"/>
        <w:rPr>
          <w:rFonts w:ascii="Arial" w:hAnsi="Arial" w:cs="Arial"/>
          <w:sz w:val="20"/>
          <w:szCs w:val="20"/>
          <w:highlight w:val="yellow"/>
        </w:rPr>
      </w:pPr>
      <w:r w:rsidRPr="00DE475B">
        <w:rPr>
          <w:rFonts w:ascii="Arial" w:hAnsi="Arial" w:cs="Arial"/>
          <w:sz w:val="20"/>
          <w:szCs w:val="20"/>
        </w:rPr>
        <w:t xml:space="preserve">The Manager Finance is responsible for the management and disposal of all records in a variety of formats in line with Queensland State Archives’ </w:t>
      </w:r>
      <w:r w:rsidRPr="00DE475B">
        <w:rPr>
          <w:rFonts w:ascii="Arial" w:hAnsi="Arial" w:cs="Arial"/>
          <w:i/>
          <w:sz w:val="20"/>
          <w:szCs w:val="20"/>
        </w:rPr>
        <w:t>General Retention and Disposal Schedule</w:t>
      </w:r>
      <w:r w:rsidRPr="00DE475B">
        <w:rPr>
          <w:rFonts w:ascii="Arial" w:hAnsi="Arial" w:cs="Arial"/>
          <w:sz w:val="20"/>
          <w:szCs w:val="20"/>
        </w:rPr>
        <w:t xml:space="preserve"> for administrative documents. </w:t>
      </w:r>
      <w:r w:rsidRPr="00B3266C">
        <w:rPr>
          <w:rFonts w:ascii="Arial" w:hAnsi="Arial" w:cs="Arial"/>
          <w:sz w:val="20"/>
          <w:szCs w:val="20"/>
        </w:rPr>
        <w:t>There have been no reported breaches of information security or loss of records in 201</w:t>
      </w:r>
      <w:r w:rsidR="00B3266C" w:rsidRPr="00B3266C">
        <w:rPr>
          <w:rFonts w:ascii="Arial" w:hAnsi="Arial" w:cs="Arial"/>
          <w:sz w:val="20"/>
          <w:szCs w:val="20"/>
        </w:rPr>
        <w:t>6–17</w:t>
      </w:r>
      <w:r w:rsidRPr="00B3266C">
        <w:rPr>
          <w:rFonts w:ascii="Arial" w:hAnsi="Arial" w:cs="Arial"/>
          <w:sz w:val="20"/>
          <w:szCs w:val="20"/>
        </w:rPr>
        <w:t>.</w:t>
      </w:r>
    </w:p>
    <w:p w:rsidR="003D09A9" w:rsidRPr="00D61714" w:rsidRDefault="003D09A9" w:rsidP="00D61714">
      <w:pPr>
        <w:pStyle w:val="ARheading3"/>
        <w:tabs>
          <w:tab w:val="left" w:pos="851"/>
        </w:tabs>
        <w:spacing w:after="120"/>
        <w:rPr>
          <w:color w:val="808080"/>
        </w:rPr>
      </w:pPr>
      <w:r w:rsidRPr="00D61714">
        <w:rPr>
          <w:color w:val="808080"/>
        </w:rPr>
        <w:t>Disclosure of additional information</w:t>
      </w:r>
    </w:p>
    <w:p w:rsidR="003851A1" w:rsidRPr="00DE475B" w:rsidRDefault="003851A1" w:rsidP="003851A1">
      <w:pPr>
        <w:pStyle w:val="ARText"/>
        <w:spacing w:before="0" w:after="40"/>
        <w:rPr>
          <w:szCs w:val="20"/>
        </w:rPr>
      </w:pPr>
      <w:r w:rsidRPr="00DE475B">
        <w:rPr>
          <w:szCs w:val="20"/>
          <w:lang w:eastAsia="en-AU"/>
        </w:rPr>
        <w:t>SLQ publishes the following information reporting requirements on the Queensland Government’s Open Data website (qld.gov.au/data):</w:t>
      </w:r>
    </w:p>
    <w:p w:rsidR="003851A1" w:rsidRPr="00DE475B" w:rsidRDefault="003851A1" w:rsidP="00337D67">
      <w:pPr>
        <w:numPr>
          <w:ilvl w:val="0"/>
          <w:numId w:val="5"/>
        </w:numPr>
        <w:tabs>
          <w:tab w:val="left" w:pos="284"/>
          <w:tab w:val="left" w:pos="360"/>
        </w:tabs>
        <w:suppressAutoHyphens w:val="0"/>
        <w:spacing w:after="40"/>
        <w:ind w:left="284" w:hanging="284"/>
        <w:rPr>
          <w:rFonts w:ascii="Arial" w:hAnsi="Arial" w:cs="Arial"/>
          <w:iCs/>
          <w:sz w:val="20"/>
          <w:szCs w:val="20"/>
        </w:rPr>
      </w:pPr>
      <w:r w:rsidRPr="00DE475B">
        <w:rPr>
          <w:rFonts w:ascii="Arial" w:hAnsi="Arial" w:cs="Arial"/>
          <w:iCs/>
          <w:sz w:val="20"/>
          <w:szCs w:val="20"/>
        </w:rPr>
        <w:t>Consultancies</w:t>
      </w:r>
    </w:p>
    <w:p w:rsidR="003851A1" w:rsidRPr="00DE475B" w:rsidRDefault="003851A1" w:rsidP="00337D67">
      <w:pPr>
        <w:numPr>
          <w:ilvl w:val="0"/>
          <w:numId w:val="5"/>
        </w:numPr>
        <w:tabs>
          <w:tab w:val="left" w:pos="284"/>
          <w:tab w:val="left" w:pos="360"/>
        </w:tabs>
        <w:suppressAutoHyphens w:val="0"/>
        <w:spacing w:after="120"/>
        <w:ind w:left="284" w:hanging="284"/>
        <w:rPr>
          <w:rFonts w:ascii="Arial" w:hAnsi="Arial" w:cs="Arial"/>
          <w:iCs/>
          <w:sz w:val="20"/>
          <w:szCs w:val="20"/>
        </w:rPr>
      </w:pPr>
      <w:r w:rsidRPr="00DE475B">
        <w:rPr>
          <w:rFonts w:ascii="Arial" w:hAnsi="Arial" w:cs="Arial"/>
          <w:iCs/>
          <w:sz w:val="20"/>
          <w:szCs w:val="20"/>
        </w:rPr>
        <w:t>Overseas travel</w:t>
      </w:r>
    </w:p>
    <w:p w:rsidR="003851A1" w:rsidRPr="00DE475B" w:rsidRDefault="003851A1" w:rsidP="003851A1">
      <w:pPr>
        <w:tabs>
          <w:tab w:val="left" w:pos="284"/>
          <w:tab w:val="left" w:pos="360"/>
        </w:tabs>
        <w:spacing w:after="120"/>
        <w:rPr>
          <w:rFonts w:ascii="Arial" w:hAnsi="Arial" w:cs="Arial"/>
          <w:iCs/>
          <w:sz w:val="20"/>
          <w:szCs w:val="20"/>
        </w:rPr>
      </w:pPr>
      <w:r w:rsidRPr="00DE475B">
        <w:rPr>
          <w:rFonts w:ascii="Arial" w:hAnsi="Arial" w:cs="Arial"/>
          <w:iCs/>
          <w:sz w:val="20"/>
          <w:szCs w:val="20"/>
        </w:rPr>
        <w:t xml:space="preserve">Information about the remuneration of </w:t>
      </w:r>
      <w:r w:rsidR="009A046D">
        <w:rPr>
          <w:rFonts w:ascii="Arial" w:hAnsi="Arial" w:cs="Arial"/>
          <w:iCs/>
          <w:sz w:val="20"/>
          <w:szCs w:val="20"/>
        </w:rPr>
        <w:t xml:space="preserve">Library </w:t>
      </w:r>
      <w:r w:rsidRPr="00DE475B">
        <w:rPr>
          <w:rFonts w:ascii="Arial" w:hAnsi="Arial" w:cs="Arial"/>
          <w:iCs/>
          <w:sz w:val="20"/>
          <w:szCs w:val="20"/>
        </w:rPr>
        <w:t xml:space="preserve">Board and committee members is available on </w:t>
      </w:r>
      <w:proofErr w:type="spellStart"/>
      <w:r w:rsidRPr="00DE475B">
        <w:rPr>
          <w:rFonts w:ascii="Arial" w:hAnsi="Arial" w:cs="Arial"/>
          <w:iCs/>
          <w:sz w:val="20"/>
          <w:szCs w:val="20"/>
        </w:rPr>
        <w:t>SLQ’s</w:t>
      </w:r>
      <w:proofErr w:type="spellEnd"/>
      <w:r w:rsidRPr="00DE475B">
        <w:rPr>
          <w:rFonts w:ascii="Arial" w:hAnsi="Arial" w:cs="Arial"/>
          <w:iCs/>
          <w:sz w:val="20"/>
          <w:szCs w:val="20"/>
        </w:rPr>
        <w:t xml:space="preserve"> website at www.slq.qld.gov.au/about-us/corporate/publications/corporate-reporting/annual-report-201</w:t>
      </w:r>
      <w:r w:rsidR="00E2542E" w:rsidRPr="00DE475B">
        <w:rPr>
          <w:rFonts w:ascii="Arial" w:hAnsi="Arial" w:cs="Arial"/>
          <w:iCs/>
          <w:sz w:val="20"/>
          <w:szCs w:val="20"/>
        </w:rPr>
        <w:t>6-17</w:t>
      </w:r>
      <w:r w:rsidRPr="00DE475B">
        <w:rPr>
          <w:rFonts w:ascii="Arial" w:hAnsi="Arial" w:cs="Arial"/>
          <w:iCs/>
          <w:sz w:val="20"/>
          <w:szCs w:val="20"/>
        </w:rPr>
        <w:t>.</w:t>
      </w:r>
    </w:p>
    <w:p w:rsidR="00FC40D0" w:rsidRPr="00D61714" w:rsidRDefault="00CE1533" w:rsidP="00D61714">
      <w:pPr>
        <w:pStyle w:val="ARheading3"/>
        <w:tabs>
          <w:tab w:val="left" w:pos="851"/>
        </w:tabs>
        <w:spacing w:after="120"/>
        <w:rPr>
          <w:color w:val="808080"/>
        </w:rPr>
      </w:pPr>
      <w:r w:rsidRPr="00D61714">
        <w:rPr>
          <w:color w:val="808080"/>
        </w:rPr>
        <w:t>Key policies i</w:t>
      </w:r>
      <w:r w:rsidR="00FC40D0" w:rsidRPr="00D61714">
        <w:rPr>
          <w:color w:val="808080"/>
        </w:rPr>
        <w:t xml:space="preserve">nforming </w:t>
      </w:r>
      <w:r w:rsidRPr="00D61714">
        <w:rPr>
          <w:color w:val="808080"/>
        </w:rPr>
        <w:t xml:space="preserve">the </w:t>
      </w:r>
      <w:r w:rsidR="00FC40D0" w:rsidRPr="00D61714">
        <w:rPr>
          <w:color w:val="808080"/>
        </w:rPr>
        <w:t>strat</w:t>
      </w:r>
      <w:r w:rsidRPr="00D61714">
        <w:rPr>
          <w:color w:val="808080"/>
        </w:rPr>
        <w:t>egic</w:t>
      </w:r>
      <w:r w:rsidR="00FC40D0" w:rsidRPr="00D61714">
        <w:rPr>
          <w:color w:val="808080"/>
        </w:rPr>
        <w:t xml:space="preserve"> plan</w:t>
      </w:r>
    </w:p>
    <w:p w:rsidR="00BA086F" w:rsidRPr="00716068" w:rsidRDefault="00BA086F" w:rsidP="00337D67">
      <w:pPr>
        <w:numPr>
          <w:ilvl w:val="0"/>
          <w:numId w:val="5"/>
        </w:numPr>
        <w:tabs>
          <w:tab w:val="left" w:pos="284"/>
        </w:tabs>
        <w:suppressAutoHyphens w:val="0"/>
        <w:spacing w:after="40"/>
        <w:ind w:left="284" w:hanging="284"/>
        <w:rPr>
          <w:rFonts w:ascii="Arial" w:hAnsi="Arial" w:cs="Arial"/>
          <w:i/>
          <w:iCs/>
          <w:sz w:val="20"/>
          <w:szCs w:val="20"/>
        </w:rPr>
      </w:pPr>
      <w:r w:rsidRPr="00716068">
        <w:rPr>
          <w:rFonts w:ascii="Arial" w:hAnsi="Arial" w:cs="Arial"/>
          <w:i/>
          <w:iCs/>
          <w:sz w:val="20"/>
          <w:szCs w:val="20"/>
        </w:rPr>
        <w:t xml:space="preserve">Advance </w:t>
      </w:r>
      <w:r w:rsidRPr="00716068">
        <w:rPr>
          <w:rFonts w:ascii="Arial" w:hAnsi="Arial" w:cs="Arial"/>
          <w:i/>
          <w:iCs/>
          <w:kern w:val="1"/>
          <w:sz w:val="20"/>
          <w:szCs w:val="20"/>
          <w:lang w:eastAsia="en-AU"/>
        </w:rPr>
        <w:t>Queensland</w:t>
      </w:r>
    </w:p>
    <w:p w:rsidR="00BA086F" w:rsidRPr="00716068" w:rsidRDefault="00BA086F" w:rsidP="00337D67">
      <w:pPr>
        <w:numPr>
          <w:ilvl w:val="0"/>
          <w:numId w:val="5"/>
        </w:numPr>
        <w:tabs>
          <w:tab w:val="left" w:pos="284"/>
          <w:tab w:val="left" w:pos="360"/>
        </w:tabs>
        <w:suppressAutoHyphens w:val="0"/>
        <w:spacing w:after="40"/>
        <w:ind w:left="284" w:hanging="284"/>
        <w:rPr>
          <w:rFonts w:ascii="Arial" w:hAnsi="Arial" w:cs="Arial"/>
          <w:sz w:val="20"/>
          <w:szCs w:val="20"/>
        </w:rPr>
      </w:pPr>
      <w:r w:rsidRPr="00716068">
        <w:rPr>
          <w:rFonts w:ascii="Arial" w:hAnsi="Arial" w:cs="Arial"/>
          <w:i/>
          <w:iCs/>
          <w:sz w:val="20"/>
          <w:szCs w:val="20"/>
        </w:rPr>
        <w:t>Department of Science, Information Technology, Innovation Strategic Plan 2</w:t>
      </w:r>
      <w:r w:rsidR="006A7916" w:rsidRPr="00716068">
        <w:rPr>
          <w:rFonts w:ascii="Arial" w:hAnsi="Arial" w:cs="Arial"/>
          <w:i/>
          <w:iCs/>
          <w:kern w:val="1"/>
          <w:sz w:val="20"/>
          <w:szCs w:val="20"/>
          <w:lang w:eastAsia="en-AU"/>
        </w:rPr>
        <w:t>016–20</w:t>
      </w:r>
    </w:p>
    <w:p w:rsidR="00BA086F" w:rsidRPr="00716068" w:rsidRDefault="00BA086F" w:rsidP="00337D67">
      <w:pPr>
        <w:numPr>
          <w:ilvl w:val="0"/>
          <w:numId w:val="5"/>
        </w:numPr>
        <w:tabs>
          <w:tab w:val="clear" w:pos="1080"/>
          <w:tab w:val="left" w:pos="284"/>
        </w:tabs>
        <w:suppressAutoHyphens w:val="0"/>
        <w:spacing w:after="40"/>
        <w:ind w:left="284" w:hanging="284"/>
        <w:rPr>
          <w:rFonts w:ascii="Arial" w:hAnsi="Arial" w:cs="Arial"/>
          <w:spacing w:val="-2"/>
          <w:sz w:val="20"/>
          <w:szCs w:val="20"/>
        </w:rPr>
      </w:pPr>
      <w:r w:rsidRPr="00716068">
        <w:rPr>
          <w:rFonts w:ascii="Arial" w:hAnsi="Arial" w:cs="Arial"/>
          <w:i/>
          <w:iCs/>
          <w:sz w:val="20"/>
          <w:szCs w:val="20"/>
        </w:rPr>
        <w:t xml:space="preserve">The Next Horizon: </w:t>
      </w:r>
      <w:r w:rsidR="000631C2" w:rsidRPr="00716068">
        <w:rPr>
          <w:rFonts w:ascii="Arial" w:hAnsi="Arial" w:cs="Arial"/>
          <w:i/>
          <w:sz w:val="20"/>
          <w:szCs w:val="20"/>
        </w:rPr>
        <w:t>VISION</w:t>
      </w:r>
      <w:r w:rsidRPr="00716068">
        <w:rPr>
          <w:rFonts w:ascii="Arial" w:hAnsi="Arial" w:cs="Arial"/>
          <w:i/>
          <w:sz w:val="20"/>
          <w:szCs w:val="20"/>
        </w:rPr>
        <w:t xml:space="preserve"> </w:t>
      </w:r>
      <w:r w:rsidRPr="00716068">
        <w:rPr>
          <w:rFonts w:ascii="Arial" w:hAnsi="Arial" w:cs="Arial"/>
          <w:i/>
          <w:iCs/>
          <w:sz w:val="20"/>
          <w:szCs w:val="20"/>
        </w:rPr>
        <w:t>2017 for Queensland</w:t>
      </w:r>
      <w:r w:rsidRPr="00716068">
        <w:rPr>
          <w:rFonts w:ascii="Arial" w:hAnsi="Arial" w:cs="Arial"/>
          <w:i/>
          <w:sz w:val="20"/>
          <w:szCs w:val="20"/>
        </w:rPr>
        <w:t xml:space="preserve"> Public Libraries</w:t>
      </w:r>
    </w:p>
    <w:p w:rsidR="00BA086F" w:rsidRPr="003F2F1B" w:rsidRDefault="00BA086F" w:rsidP="00337D67">
      <w:pPr>
        <w:numPr>
          <w:ilvl w:val="0"/>
          <w:numId w:val="5"/>
        </w:numPr>
        <w:tabs>
          <w:tab w:val="left" w:pos="284"/>
          <w:tab w:val="left" w:pos="360"/>
        </w:tabs>
        <w:suppressAutoHyphens w:val="0"/>
        <w:spacing w:after="40"/>
        <w:ind w:left="284" w:hanging="284"/>
        <w:rPr>
          <w:rFonts w:ascii="Arial" w:hAnsi="Arial" w:cs="Arial"/>
          <w:i/>
          <w:iCs/>
          <w:spacing w:val="-2"/>
          <w:kern w:val="1"/>
          <w:sz w:val="20"/>
          <w:szCs w:val="20"/>
          <w:lang w:eastAsia="en-AU"/>
        </w:rPr>
      </w:pPr>
      <w:r w:rsidRPr="003F2F1B">
        <w:rPr>
          <w:rFonts w:ascii="Arial" w:hAnsi="Arial" w:cs="Arial"/>
          <w:spacing w:val="-2"/>
          <w:sz w:val="20"/>
          <w:szCs w:val="20"/>
        </w:rPr>
        <w:t xml:space="preserve">As a member of </w:t>
      </w:r>
      <w:proofErr w:type="spellStart"/>
      <w:r w:rsidRPr="003F2F1B">
        <w:rPr>
          <w:rFonts w:ascii="Arial" w:hAnsi="Arial" w:cs="Arial"/>
          <w:spacing w:val="-2"/>
          <w:sz w:val="20"/>
          <w:szCs w:val="20"/>
        </w:rPr>
        <w:t>NSLA</w:t>
      </w:r>
      <w:proofErr w:type="spellEnd"/>
      <w:r w:rsidRPr="003F2F1B">
        <w:rPr>
          <w:rFonts w:ascii="Arial" w:hAnsi="Arial" w:cs="Arial"/>
          <w:spacing w:val="-2"/>
          <w:sz w:val="20"/>
          <w:szCs w:val="20"/>
        </w:rPr>
        <w:t xml:space="preserve">, SLQ influences and supports </w:t>
      </w:r>
      <w:proofErr w:type="spellStart"/>
      <w:r w:rsidRPr="003F2F1B">
        <w:rPr>
          <w:rFonts w:ascii="Arial" w:hAnsi="Arial" w:cs="Arial"/>
          <w:spacing w:val="-2"/>
          <w:sz w:val="20"/>
          <w:szCs w:val="20"/>
        </w:rPr>
        <w:t>NSLA’s</w:t>
      </w:r>
      <w:proofErr w:type="spellEnd"/>
      <w:r w:rsidRPr="003F2F1B">
        <w:rPr>
          <w:rFonts w:ascii="Arial" w:hAnsi="Arial" w:cs="Arial"/>
          <w:spacing w:val="-2"/>
          <w:sz w:val="20"/>
          <w:szCs w:val="20"/>
        </w:rPr>
        <w:t xml:space="preserve"> </w:t>
      </w:r>
      <w:r w:rsidRPr="003F2F1B">
        <w:rPr>
          <w:rFonts w:ascii="Arial" w:hAnsi="Arial" w:cs="Arial"/>
          <w:i/>
          <w:spacing w:val="-2"/>
          <w:sz w:val="20"/>
          <w:szCs w:val="20"/>
        </w:rPr>
        <w:t>Leading Collaboration:</w:t>
      </w:r>
      <w:r w:rsidRPr="003F2F1B">
        <w:rPr>
          <w:rFonts w:ascii="Arial" w:hAnsi="Arial" w:cs="Arial"/>
          <w:spacing w:val="-2"/>
          <w:sz w:val="20"/>
          <w:szCs w:val="20"/>
        </w:rPr>
        <w:t xml:space="preserve"> </w:t>
      </w:r>
      <w:r w:rsidRPr="003F2F1B">
        <w:rPr>
          <w:rFonts w:ascii="Arial" w:hAnsi="Arial" w:cs="Arial"/>
          <w:i/>
          <w:spacing w:val="-2"/>
          <w:sz w:val="20"/>
          <w:szCs w:val="20"/>
        </w:rPr>
        <w:t>Strategic Plan 2015–17</w:t>
      </w:r>
      <w:r w:rsidRPr="003F2F1B">
        <w:rPr>
          <w:rFonts w:ascii="Arial" w:hAnsi="Arial" w:cs="Arial"/>
          <w:spacing w:val="-2"/>
          <w:sz w:val="20"/>
          <w:szCs w:val="20"/>
        </w:rPr>
        <w:t xml:space="preserve">, as well as supporting the </w:t>
      </w:r>
      <w:r w:rsidR="002726BE" w:rsidRPr="003F2F1B">
        <w:rPr>
          <w:rFonts w:ascii="Arial" w:hAnsi="Arial" w:cs="Arial"/>
          <w:spacing w:val="-2"/>
          <w:sz w:val="20"/>
          <w:szCs w:val="20"/>
        </w:rPr>
        <w:t>ALIA</w:t>
      </w:r>
      <w:r w:rsidRPr="003F2F1B">
        <w:rPr>
          <w:rFonts w:ascii="Arial" w:hAnsi="Arial" w:cs="Arial"/>
          <w:spacing w:val="-2"/>
          <w:sz w:val="20"/>
          <w:szCs w:val="20"/>
        </w:rPr>
        <w:t xml:space="preserve"> and International Federation of Library Associations </w:t>
      </w:r>
      <w:r w:rsidR="003F2F1B" w:rsidRPr="003F2F1B">
        <w:rPr>
          <w:rFonts w:ascii="Arial" w:hAnsi="Arial" w:cs="Arial"/>
          <w:spacing w:val="-2"/>
          <w:sz w:val="20"/>
          <w:szCs w:val="20"/>
        </w:rPr>
        <w:t>and Institutions (</w:t>
      </w:r>
      <w:proofErr w:type="spellStart"/>
      <w:r w:rsidR="003F2F1B" w:rsidRPr="003F2F1B">
        <w:rPr>
          <w:rFonts w:ascii="Arial" w:hAnsi="Arial" w:cs="Arial"/>
          <w:spacing w:val="-2"/>
          <w:sz w:val="20"/>
          <w:szCs w:val="20"/>
        </w:rPr>
        <w:t>IFLA</w:t>
      </w:r>
      <w:proofErr w:type="spellEnd"/>
      <w:r w:rsidR="003F2F1B" w:rsidRPr="003F2F1B">
        <w:rPr>
          <w:rFonts w:ascii="Arial" w:hAnsi="Arial" w:cs="Arial"/>
          <w:spacing w:val="-2"/>
          <w:sz w:val="20"/>
          <w:szCs w:val="20"/>
        </w:rPr>
        <w:t xml:space="preserve">) </w:t>
      </w:r>
      <w:r w:rsidRPr="003F2F1B">
        <w:rPr>
          <w:rFonts w:ascii="Arial" w:hAnsi="Arial" w:cs="Arial"/>
          <w:spacing w:val="-2"/>
          <w:sz w:val="20"/>
          <w:szCs w:val="20"/>
        </w:rPr>
        <w:t>policies</w:t>
      </w:r>
    </w:p>
    <w:p w:rsidR="00716068" w:rsidRPr="00716068" w:rsidRDefault="00716068" w:rsidP="00716068">
      <w:pPr>
        <w:numPr>
          <w:ilvl w:val="0"/>
          <w:numId w:val="5"/>
        </w:numPr>
        <w:tabs>
          <w:tab w:val="clear" w:pos="1080"/>
          <w:tab w:val="left" w:pos="284"/>
        </w:tabs>
        <w:suppressAutoHyphens w:val="0"/>
        <w:spacing w:after="40"/>
        <w:ind w:left="284" w:hanging="284"/>
        <w:rPr>
          <w:rFonts w:ascii="Arial" w:hAnsi="Arial" w:cs="Arial"/>
          <w:i/>
          <w:iCs/>
          <w:sz w:val="20"/>
          <w:szCs w:val="20"/>
        </w:rPr>
      </w:pPr>
      <w:r w:rsidRPr="00716068">
        <w:rPr>
          <w:rFonts w:ascii="Arial" w:hAnsi="Arial" w:cs="Arial"/>
          <w:i/>
          <w:iCs/>
          <w:sz w:val="20"/>
          <w:szCs w:val="20"/>
        </w:rPr>
        <w:t>Queensland Multicultural Policy: Our story, our future</w:t>
      </w:r>
    </w:p>
    <w:p w:rsidR="00BA086F" w:rsidRPr="00716068" w:rsidRDefault="00BA086F" w:rsidP="00337D67">
      <w:pPr>
        <w:numPr>
          <w:ilvl w:val="0"/>
          <w:numId w:val="5"/>
        </w:numPr>
        <w:tabs>
          <w:tab w:val="left" w:pos="284"/>
          <w:tab w:val="left" w:pos="360"/>
        </w:tabs>
        <w:suppressAutoHyphens w:val="0"/>
        <w:spacing w:after="40"/>
        <w:ind w:left="284" w:right="-148" w:hanging="284"/>
        <w:rPr>
          <w:rFonts w:ascii="Arial" w:hAnsi="Arial" w:cs="Arial"/>
          <w:szCs w:val="22"/>
        </w:rPr>
      </w:pPr>
      <w:r w:rsidRPr="00716068">
        <w:rPr>
          <w:rFonts w:ascii="Arial" w:hAnsi="Arial" w:cs="Arial"/>
          <w:iCs/>
          <w:sz w:val="20"/>
          <w:szCs w:val="20"/>
        </w:rPr>
        <w:t>Council of Australian Government</w:t>
      </w:r>
      <w:r w:rsidR="00BB38B8">
        <w:rPr>
          <w:rFonts w:ascii="Arial" w:hAnsi="Arial" w:cs="Arial"/>
          <w:iCs/>
          <w:sz w:val="20"/>
          <w:szCs w:val="20"/>
        </w:rPr>
        <w:t>’</w:t>
      </w:r>
      <w:r w:rsidRPr="00716068">
        <w:rPr>
          <w:rFonts w:ascii="Arial" w:hAnsi="Arial" w:cs="Arial"/>
          <w:iCs/>
          <w:sz w:val="20"/>
          <w:szCs w:val="20"/>
        </w:rPr>
        <w:t xml:space="preserve">s </w:t>
      </w:r>
      <w:proofErr w:type="gramStart"/>
      <w:r w:rsidRPr="00716068">
        <w:rPr>
          <w:rFonts w:ascii="Arial" w:hAnsi="Arial" w:cs="Arial"/>
          <w:i/>
          <w:iCs/>
          <w:sz w:val="20"/>
          <w:szCs w:val="20"/>
        </w:rPr>
        <w:t>Closing</w:t>
      </w:r>
      <w:proofErr w:type="gramEnd"/>
      <w:r w:rsidRPr="00716068">
        <w:rPr>
          <w:rFonts w:ascii="Arial" w:hAnsi="Arial" w:cs="Arial"/>
          <w:i/>
          <w:iCs/>
          <w:sz w:val="20"/>
          <w:szCs w:val="20"/>
        </w:rPr>
        <w:t xml:space="preserve"> the Gap</w:t>
      </w:r>
      <w:r w:rsidRPr="00716068">
        <w:rPr>
          <w:rFonts w:ascii="Arial" w:hAnsi="Arial" w:cs="Arial"/>
          <w:iCs/>
          <w:sz w:val="20"/>
          <w:szCs w:val="20"/>
        </w:rPr>
        <w:t xml:space="preserve"> </w:t>
      </w:r>
      <w:r w:rsidRPr="00716068">
        <w:rPr>
          <w:rFonts w:ascii="Arial" w:hAnsi="Arial" w:cs="Arial"/>
          <w:iCs/>
          <w:kern w:val="1"/>
          <w:sz w:val="20"/>
          <w:szCs w:val="20"/>
          <w:lang w:eastAsia="en-AU"/>
        </w:rPr>
        <w:t>strategy.</w:t>
      </w:r>
    </w:p>
    <w:p w:rsidR="00FC40D0" w:rsidRPr="00DE475B" w:rsidRDefault="00FC40D0" w:rsidP="004845DF">
      <w:pPr>
        <w:tabs>
          <w:tab w:val="left" w:pos="284"/>
          <w:tab w:val="left" w:pos="360"/>
        </w:tabs>
        <w:suppressAutoHyphens w:val="0"/>
        <w:spacing w:after="40"/>
        <w:ind w:left="284"/>
        <w:rPr>
          <w:rFonts w:ascii="Arial" w:hAnsi="Arial" w:cs="Arial"/>
          <w:i/>
          <w:iCs/>
          <w:sz w:val="20"/>
          <w:szCs w:val="20"/>
        </w:rPr>
        <w:sectPr w:rsidR="00FC40D0" w:rsidRPr="00DE475B" w:rsidSect="00B53922">
          <w:type w:val="continuous"/>
          <w:pgSz w:w="11906" w:h="16838"/>
          <w:pgMar w:top="1440" w:right="1701" w:bottom="1440" w:left="1701" w:header="680" w:footer="680" w:gutter="0"/>
          <w:cols w:num="2" w:space="397"/>
          <w:docGrid w:linePitch="360"/>
        </w:sectPr>
      </w:pPr>
    </w:p>
    <w:p w:rsidR="00384D79" w:rsidRPr="00DE475B" w:rsidRDefault="00384D79" w:rsidP="00384D79">
      <w:pPr>
        <w:pStyle w:val="ARHeading1"/>
        <w:rPr>
          <w:b/>
          <w:sz w:val="20"/>
          <w:szCs w:val="20"/>
        </w:rPr>
      </w:pPr>
    </w:p>
    <w:p w:rsidR="00D346B4" w:rsidRPr="00DE475B" w:rsidRDefault="00D346B4">
      <w:pPr>
        <w:pStyle w:val="ARHeading1"/>
        <w:rPr>
          <w:sz w:val="20"/>
          <w:szCs w:val="20"/>
        </w:rPr>
        <w:sectPr w:rsidR="00D346B4" w:rsidRPr="00DE475B" w:rsidSect="00B53922">
          <w:type w:val="continuous"/>
          <w:pgSz w:w="11906" w:h="16838"/>
          <w:pgMar w:top="1440" w:right="1701" w:bottom="1440" w:left="1701" w:header="680" w:footer="680" w:gutter="0"/>
          <w:cols w:space="720"/>
          <w:docGrid w:linePitch="360"/>
        </w:sectPr>
      </w:pPr>
    </w:p>
    <w:p w:rsidR="00152C93" w:rsidRDefault="00152C93">
      <w:pPr>
        <w:suppressAutoHyphens w:val="0"/>
        <w:autoSpaceDE/>
        <w:rPr>
          <w:rFonts w:ascii="Arial" w:hAnsi="Arial" w:cs="Arial"/>
          <w:color w:val="808080"/>
          <w:sz w:val="40"/>
          <w:szCs w:val="40"/>
        </w:rPr>
      </w:pPr>
      <w:r>
        <w:rPr>
          <w:color w:val="808080"/>
        </w:rPr>
        <w:lastRenderedPageBreak/>
        <w:br w:type="page"/>
      </w: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617A02" w:rsidRDefault="00617A02" w:rsidP="00152C93">
      <w:pPr>
        <w:suppressAutoHyphens w:val="0"/>
        <w:autoSpaceDE/>
        <w:rPr>
          <w:color w:val="808080"/>
        </w:rPr>
      </w:pPr>
    </w:p>
    <w:p w:rsidR="00617A02" w:rsidRDefault="00617A02" w:rsidP="00152C93">
      <w:pPr>
        <w:suppressAutoHyphens w:val="0"/>
        <w:autoSpaceDE/>
        <w:rPr>
          <w:color w:val="808080"/>
        </w:rPr>
      </w:pPr>
    </w:p>
    <w:p w:rsidR="00617A02" w:rsidRDefault="00617A02" w:rsidP="00152C93">
      <w:pPr>
        <w:suppressAutoHyphens w:val="0"/>
        <w:autoSpaceDE/>
        <w:rPr>
          <w:color w:val="808080"/>
        </w:rPr>
      </w:pPr>
    </w:p>
    <w:p w:rsidR="00617A02" w:rsidRDefault="00617A02" w:rsidP="00152C93">
      <w:pPr>
        <w:suppressAutoHyphens w:val="0"/>
        <w:autoSpaceDE/>
        <w:rPr>
          <w:color w:val="808080"/>
        </w:rPr>
      </w:pPr>
    </w:p>
    <w:p w:rsidR="00617A02" w:rsidRDefault="00617A02" w:rsidP="00152C93">
      <w:pPr>
        <w:suppressAutoHyphens w:val="0"/>
        <w:autoSpaceDE/>
        <w:rPr>
          <w:color w:val="808080"/>
        </w:rPr>
      </w:pPr>
    </w:p>
    <w:p w:rsidR="00617A02" w:rsidRDefault="00617A02" w:rsidP="00152C93">
      <w:pPr>
        <w:suppressAutoHyphens w:val="0"/>
        <w:autoSpaceDE/>
        <w:rPr>
          <w:color w:val="808080"/>
        </w:rPr>
      </w:pPr>
    </w:p>
    <w:p w:rsidR="00617A02" w:rsidRDefault="00617A02" w:rsidP="00152C93">
      <w:pPr>
        <w:suppressAutoHyphens w:val="0"/>
        <w:autoSpaceDE/>
        <w:rPr>
          <w:color w:val="808080"/>
        </w:rPr>
      </w:pPr>
    </w:p>
    <w:p w:rsidR="00617A02" w:rsidRDefault="00617A02" w:rsidP="00152C93">
      <w:pPr>
        <w:suppressAutoHyphens w:val="0"/>
        <w:autoSpaceDE/>
        <w:rPr>
          <w:color w:val="808080"/>
        </w:rPr>
      </w:pPr>
    </w:p>
    <w:p w:rsidR="00617A02" w:rsidRDefault="00617A02" w:rsidP="00152C93">
      <w:pPr>
        <w:suppressAutoHyphens w:val="0"/>
        <w:autoSpaceDE/>
        <w:rPr>
          <w:color w:val="808080"/>
        </w:rPr>
      </w:pPr>
    </w:p>
    <w:p w:rsidR="00617A02" w:rsidRDefault="00617A02" w:rsidP="00152C93">
      <w:pPr>
        <w:suppressAutoHyphens w:val="0"/>
        <w:autoSpaceDE/>
        <w:rPr>
          <w:color w:val="808080"/>
        </w:rPr>
      </w:pPr>
    </w:p>
    <w:p w:rsidR="00617A02" w:rsidRDefault="00617A02" w:rsidP="00152C93">
      <w:pPr>
        <w:suppressAutoHyphens w:val="0"/>
        <w:autoSpaceDE/>
        <w:rPr>
          <w:color w:val="808080"/>
        </w:rPr>
      </w:pPr>
    </w:p>
    <w:p w:rsidR="00617A02" w:rsidRDefault="00617A02" w:rsidP="00152C93">
      <w:pPr>
        <w:suppressAutoHyphens w:val="0"/>
        <w:autoSpaceDE/>
        <w:rPr>
          <w:color w:val="808080"/>
        </w:rPr>
      </w:pPr>
    </w:p>
    <w:p w:rsidR="00617A02" w:rsidRPr="00617A02" w:rsidRDefault="00617A02" w:rsidP="00617A02">
      <w:pPr>
        <w:suppressAutoHyphens w:val="0"/>
        <w:autoSpaceDE/>
        <w:jc w:val="center"/>
        <w:rPr>
          <w:rFonts w:ascii="Arial" w:hAnsi="Arial" w:cs="Arial"/>
          <w:color w:val="808080"/>
          <w:sz w:val="40"/>
          <w:szCs w:val="40"/>
        </w:rPr>
      </w:pPr>
      <w:r w:rsidRPr="00617A02">
        <w:rPr>
          <w:rFonts w:ascii="Arial" w:hAnsi="Arial" w:cs="Arial"/>
          <w:color w:val="808080"/>
          <w:sz w:val="40"/>
          <w:szCs w:val="40"/>
        </w:rPr>
        <w:t xml:space="preserve">SLQ provides access to a wealth of unique resources for those who want to research, read, learn, write, publish or create. </w:t>
      </w:r>
    </w:p>
    <w:p w:rsidR="00617A02" w:rsidRPr="00617A02" w:rsidRDefault="00617A02" w:rsidP="00617A02">
      <w:pPr>
        <w:suppressAutoHyphens w:val="0"/>
        <w:autoSpaceDE/>
        <w:jc w:val="center"/>
        <w:rPr>
          <w:rFonts w:ascii="Arial" w:hAnsi="Arial" w:cs="Arial"/>
          <w:color w:val="808080"/>
          <w:sz w:val="40"/>
          <w:szCs w:val="40"/>
        </w:rPr>
      </w:pPr>
    </w:p>
    <w:p w:rsidR="00617A02" w:rsidRPr="00617A02" w:rsidRDefault="00617A02" w:rsidP="00617A02">
      <w:pPr>
        <w:suppressAutoHyphens w:val="0"/>
        <w:autoSpaceDE/>
        <w:jc w:val="center"/>
        <w:rPr>
          <w:rFonts w:ascii="Arial" w:hAnsi="Arial" w:cs="Arial"/>
          <w:color w:val="808080"/>
          <w:sz w:val="40"/>
          <w:szCs w:val="40"/>
        </w:rPr>
      </w:pPr>
      <w:r w:rsidRPr="00617A02">
        <w:rPr>
          <w:rFonts w:ascii="Arial" w:hAnsi="Arial" w:cs="Arial"/>
          <w:color w:val="808080"/>
          <w:sz w:val="40"/>
          <w:szCs w:val="40"/>
        </w:rPr>
        <w:t>Its online library has a global presence and transforms people’s ability to access digitised Queensland material, and to connect across regional and remote Queensland.</w:t>
      </w:r>
    </w:p>
    <w:p w:rsidR="007039DD" w:rsidRPr="00617A02" w:rsidRDefault="007039DD" w:rsidP="00617A02">
      <w:pPr>
        <w:suppressAutoHyphens w:val="0"/>
        <w:autoSpaceDE/>
        <w:jc w:val="center"/>
        <w:rPr>
          <w:rFonts w:ascii="Arial" w:hAnsi="Arial" w:cs="Arial"/>
          <w:color w:val="808080"/>
          <w:sz w:val="40"/>
          <w:szCs w:val="40"/>
        </w:rPr>
      </w:pPr>
      <w:r w:rsidRPr="00617A02">
        <w:rPr>
          <w:rFonts w:ascii="Arial" w:hAnsi="Arial" w:cs="Arial"/>
          <w:color w:val="808080"/>
          <w:sz w:val="40"/>
          <w:szCs w:val="40"/>
        </w:rPr>
        <w:br w:type="page"/>
      </w: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jc w:val="center"/>
        <w:rPr>
          <w:rFonts w:ascii="Arial" w:hAnsi="Arial" w:cs="Arial"/>
          <w:color w:val="808080"/>
          <w:sz w:val="40"/>
          <w:szCs w:val="40"/>
        </w:rPr>
      </w:pPr>
      <w:r>
        <w:rPr>
          <w:rFonts w:ascii="Arial" w:hAnsi="Arial" w:cs="Arial"/>
          <w:color w:val="808080"/>
          <w:sz w:val="40"/>
          <w:szCs w:val="40"/>
        </w:rPr>
        <w:t>Collection image to be inserted</w:t>
      </w: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pPr>
        <w:suppressAutoHyphens w:val="0"/>
        <w:autoSpaceDE/>
        <w:rPr>
          <w:rFonts w:ascii="Arial" w:hAnsi="Arial" w:cs="Arial"/>
          <w:color w:val="808080"/>
          <w:sz w:val="40"/>
          <w:szCs w:val="40"/>
        </w:rPr>
      </w:pPr>
      <w:r>
        <w:rPr>
          <w:color w:val="808080"/>
        </w:rPr>
        <w:br w:type="page"/>
      </w:r>
    </w:p>
    <w:p w:rsidR="00384D79" w:rsidRPr="00DE475B" w:rsidRDefault="00344EB4" w:rsidP="00384D79">
      <w:pPr>
        <w:pStyle w:val="ARHeading1"/>
        <w:pageBreakBefore/>
        <w:rPr>
          <w:szCs w:val="20"/>
        </w:rPr>
      </w:pPr>
      <w:r w:rsidRPr="00DE475B">
        <w:rPr>
          <w:color w:val="808080"/>
        </w:rPr>
        <w:lastRenderedPageBreak/>
        <w:t xml:space="preserve">Part 4: Strategic Plan </w:t>
      </w:r>
      <w:r w:rsidR="007A5386" w:rsidRPr="00DE475B">
        <w:rPr>
          <w:color w:val="808080"/>
        </w:rPr>
        <w:t>2017–21</w:t>
      </w:r>
    </w:p>
    <w:p w:rsidR="00384D79" w:rsidRPr="00DE475B" w:rsidRDefault="00384D79" w:rsidP="00384D79">
      <w:pPr>
        <w:pStyle w:val="ARHeading1"/>
        <w:rPr>
          <w:sz w:val="24"/>
          <w:szCs w:val="24"/>
        </w:rPr>
      </w:pPr>
    </w:p>
    <w:p w:rsidR="00384D79" w:rsidRPr="00DE475B" w:rsidRDefault="00373FFE" w:rsidP="00FE5BF0">
      <w:pPr>
        <w:tabs>
          <w:tab w:val="left" w:pos="1701"/>
        </w:tabs>
        <w:spacing w:before="40" w:after="40"/>
        <w:rPr>
          <w:rFonts w:ascii="Arial" w:hAnsi="Arial" w:cs="Arial"/>
          <w:b/>
          <w:color w:val="808080"/>
          <w:sz w:val="20"/>
          <w:szCs w:val="20"/>
        </w:rPr>
      </w:pPr>
      <w:r w:rsidRPr="00DE475B">
        <w:rPr>
          <w:noProof/>
          <w:lang w:eastAsia="en-AU"/>
        </w:rPr>
        <mc:AlternateContent>
          <mc:Choice Requires="wps">
            <w:drawing>
              <wp:anchor distT="0" distB="0" distL="114300" distR="114300" simplePos="0" relativeHeight="251627520" behindDoc="0" locked="0" layoutInCell="1" allowOverlap="1" wp14:anchorId="199E4DB3" wp14:editId="69177CE1">
                <wp:simplePos x="0" y="0"/>
                <wp:positionH relativeFrom="column">
                  <wp:posOffset>-228600</wp:posOffset>
                </wp:positionH>
                <wp:positionV relativeFrom="paragraph">
                  <wp:posOffset>6350</wp:posOffset>
                </wp:positionV>
                <wp:extent cx="6057900" cy="0"/>
                <wp:effectExtent l="13335" t="6985" r="5715" b="12065"/>
                <wp:wrapNone/>
                <wp:docPr id="27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4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mwIAAHsFAAAOAAAAZHJzL2Uyb0RvYy54bWysVFFvmzAQfp+0/2D5nQIJgQSVVC0he+m2&#10;Su20ZwebYM3YzHZDoqn/fWcnYU33Mk1NJOSz7z5/d9+dr2/2nUA7pg1XssDxVYQRk7WiXG4L/O1p&#10;HcwxMpZISoSSrMAHZvDN8uOH66HP2US1SlCmEYBIkw99gVtr+zwMTd2yjpgr1TMJh43SHbFg6m1I&#10;NRkAvRPhJIrScFCa9lrVzBjYXR0P8dLjNw2r7demMcwiUWDgZv1X++/GfcPlNcm3mvQtr080yH+w&#10;6AiXcOkItSKWoGfN/4LqeK2VUY29qlUXqqbhNfM5QDZx9Cabx5b0zOcCxTH9WCbzfrD1l92DRpwW&#10;eJKlGEnSgUj3XDIUzyauOkNvcnAq5YN2+dV7+djfq/qHQVKVLZFb5lk+HXoIjF1EeBHiDNPDHZvh&#10;s6LgQ56t8qXaN7pzkFAEtPeKHEZF2N6iGjbTaJYtIhCuPp+FJD8H9trYT0x1yC0KLIC1Bya7e2Md&#10;EZKfXdw9Uq25EF5wIdFQ4MU0dcgE2s789JFGCU6dl/M3ersphUY74nrH/3x6cPLareMWOljwrsDz&#10;0YnkLSO0ktRfZwkXxzVQEtKBM9+bR55g7S0s/T4k7vvm1yJaVPNqngTJJK2CJFqtgtt1mQTpOs5m&#10;q+mqLFfxi2MdJ3nLKWXSET/3cJz8W4+cpunYfWMXj6UKL9F9TYHsJdPb9SzKkuk8yLLZNEimVRTc&#10;zddlcFvGaZpVd+Vd9YZp5bM370N2LKVjpZ5BjceWDohy1xTT2WISYzBg5ifZUR9ExBYeq9pqjLSy&#10;37ltfQ+77nMYF8LPI/c/CT+iHwtx1tBZowqn3P6UCjQ/6+tHw03Dca42ih4e9HlkYMJ90Ok1ck/I&#10;axvWr9/M5W8AAAD//wMAUEsDBBQABgAIAAAAIQDnPS5t3AAAAAcBAAAPAAAAZHJzL2Rvd25yZXYu&#10;eG1sTI9BS8NAEIXvgv9hGcGLtJvaUmrMpoggHgRpqyjettkxG8zOhuy0if/esRc9zTze8OZ7xXoM&#10;rTpin5pIBmbTDBRSFV1DtYHXl4fJClRiS862kdDANyZYl+dnhc1dHGiLxx3XSkIo5daAZ+5yrVPl&#10;Mdg0jR2SeJ+xD5ZF9rV2vR0kPLT6OsuWOtiG5IO3Hd57rL52h2DguR+axPPFYoP88fb49O43V2Fr&#10;zOXFeHcLinHkv2P4xRd0KIVpHw/kkmoNTOZL6cJiyBD/ZraSZX/Suiz0f/7yBwAA//8DAFBLAQIt&#10;ABQABgAIAAAAIQC2gziS/gAAAOEBAAATAAAAAAAAAAAAAAAAAAAAAABbQ29udGVudF9UeXBlc10u&#10;eG1sUEsBAi0AFAAGAAgAAAAhADj9If/WAAAAlAEAAAsAAAAAAAAAAAAAAAAALwEAAF9yZWxzLy5y&#10;ZWxzUEsBAi0AFAAGAAgAAAAhAL9/8LebAgAAewUAAA4AAAAAAAAAAAAAAAAALgIAAGRycy9lMm9E&#10;b2MueG1sUEsBAi0AFAAGAAgAAAAhAOc9Lm3cAAAABwEAAA8AAAAAAAAAAAAAAAAA9QQAAGRycy9k&#10;b3ducmV2LnhtbFBLBQYAAAAABAAEAPMAAAD+BQAAAAA=&#10;" strokeweight=".26mm">
                <v:stroke joinstyle="miter" endcap="square"/>
              </v:line>
            </w:pict>
          </mc:Fallback>
        </mc:AlternateContent>
      </w:r>
      <w:r w:rsidR="007A5386" w:rsidRPr="00DE475B">
        <w:rPr>
          <w:rFonts w:ascii="Arial" w:hAnsi="Arial" w:cs="Arial"/>
          <w:b/>
          <w:color w:val="808080"/>
          <w:sz w:val="20"/>
          <w:szCs w:val="20"/>
        </w:rPr>
        <w:t>Vision</w:t>
      </w:r>
      <w:r w:rsidR="00FE5BF0" w:rsidRPr="00DE475B">
        <w:rPr>
          <w:rFonts w:ascii="Arial" w:hAnsi="Arial" w:cs="Arial"/>
          <w:b/>
          <w:color w:val="808080"/>
          <w:sz w:val="20"/>
          <w:szCs w:val="20"/>
        </w:rPr>
        <w:t xml:space="preserve"> </w:t>
      </w:r>
      <w:r w:rsidR="00FE5BF0" w:rsidRPr="00DE475B">
        <w:rPr>
          <w:rFonts w:ascii="Arial" w:hAnsi="Arial" w:cs="Arial"/>
          <w:b/>
          <w:color w:val="808080"/>
          <w:sz w:val="20"/>
          <w:szCs w:val="20"/>
        </w:rPr>
        <w:tab/>
      </w:r>
      <w:r w:rsidR="00FE5BF0" w:rsidRPr="00DE475B">
        <w:rPr>
          <w:rFonts w:ascii="Arial" w:hAnsi="Arial" w:cs="Arial"/>
          <w:spacing w:val="-2"/>
          <w:sz w:val="20"/>
          <w:szCs w:val="20"/>
        </w:rPr>
        <w:t>We enable the growth of knowledge, innovation and enterprise in Queensland</w:t>
      </w:r>
    </w:p>
    <w:p w:rsidR="00384D79" w:rsidRPr="00DE475B" w:rsidRDefault="00384D79" w:rsidP="00FE5BF0">
      <w:pPr>
        <w:tabs>
          <w:tab w:val="left" w:pos="1701"/>
        </w:tabs>
        <w:spacing w:before="40" w:after="40"/>
        <w:rPr>
          <w:rFonts w:ascii="Arial" w:hAnsi="Arial" w:cs="Arial"/>
          <w:sz w:val="20"/>
          <w:szCs w:val="20"/>
        </w:rPr>
      </w:pPr>
      <w:r w:rsidRPr="00DE475B">
        <w:rPr>
          <w:rFonts w:ascii="Arial" w:hAnsi="Arial" w:cs="Arial"/>
          <w:b/>
          <w:color w:val="808080"/>
          <w:sz w:val="20"/>
          <w:szCs w:val="20"/>
        </w:rPr>
        <w:t>Enduring values</w:t>
      </w:r>
      <w:r w:rsidRPr="00DE475B">
        <w:rPr>
          <w:b/>
          <w:color w:val="808080"/>
          <w:lang w:eastAsia="en-US"/>
        </w:rPr>
        <w:t xml:space="preserve"> </w:t>
      </w:r>
      <w:r w:rsidRPr="00DE475B">
        <w:rPr>
          <w:b/>
          <w:bCs/>
          <w:color w:val="F04023"/>
        </w:rPr>
        <w:tab/>
      </w:r>
      <w:proofErr w:type="gramStart"/>
      <w:r w:rsidRPr="00DE475B">
        <w:rPr>
          <w:rFonts w:ascii="Arial" w:hAnsi="Arial" w:cs="Arial"/>
          <w:sz w:val="20"/>
          <w:szCs w:val="20"/>
        </w:rPr>
        <w:t>We</w:t>
      </w:r>
      <w:proofErr w:type="gramEnd"/>
      <w:r w:rsidRPr="00DE475B">
        <w:rPr>
          <w:rFonts w:ascii="Arial" w:hAnsi="Arial" w:cs="Arial"/>
          <w:sz w:val="20"/>
          <w:szCs w:val="20"/>
        </w:rPr>
        <w:t xml:space="preserve"> provide free and equitable access</w:t>
      </w:r>
    </w:p>
    <w:p w:rsidR="00384D79" w:rsidRPr="00DE475B" w:rsidRDefault="00FE5BF0" w:rsidP="00FE5BF0">
      <w:pPr>
        <w:tabs>
          <w:tab w:val="left" w:pos="1701"/>
        </w:tabs>
        <w:spacing w:before="40" w:after="40"/>
        <w:rPr>
          <w:rFonts w:ascii="Arial" w:hAnsi="Arial" w:cs="Arial"/>
          <w:sz w:val="20"/>
          <w:szCs w:val="20"/>
        </w:rPr>
      </w:pPr>
      <w:r w:rsidRPr="00DE475B">
        <w:rPr>
          <w:rFonts w:ascii="Arial" w:hAnsi="Arial" w:cs="Arial"/>
          <w:sz w:val="20"/>
          <w:szCs w:val="20"/>
        </w:rPr>
        <w:tab/>
      </w:r>
      <w:r w:rsidR="00384D79" w:rsidRPr="00DE475B">
        <w:rPr>
          <w:rFonts w:ascii="Arial" w:hAnsi="Arial" w:cs="Arial"/>
          <w:sz w:val="20"/>
          <w:szCs w:val="20"/>
        </w:rPr>
        <w:t>We share</w:t>
      </w:r>
    </w:p>
    <w:p w:rsidR="00384D79" w:rsidRPr="00DE475B" w:rsidRDefault="00FE5BF0" w:rsidP="00FE5BF0">
      <w:pPr>
        <w:tabs>
          <w:tab w:val="left" w:pos="1701"/>
        </w:tabs>
        <w:spacing w:before="40" w:after="40"/>
        <w:rPr>
          <w:rFonts w:ascii="Arial" w:hAnsi="Arial" w:cs="Arial"/>
          <w:sz w:val="20"/>
          <w:szCs w:val="20"/>
        </w:rPr>
      </w:pPr>
      <w:r w:rsidRPr="00DE475B">
        <w:rPr>
          <w:rFonts w:ascii="Arial" w:hAnsi="Arial" w:cs="Arial"/>
          <w:sz w:val="20"/>
          <w:szCs w:val="20"/>
        </w:rPr>
        <w:tab/>
      </w:r>
      <w:r w:rsidR="00384D79" w:rsidRPr="00DE475B">
        <w:rPr>
          <w:rFonts w:ascii="Arial" w:hAnsi="Arial" w:cs="Arial"/>
          <w:sz w:val="20"/>
          <w:szCs w:val="20"/>
        </w:rPr>
        <w:t>We seek diverse voices</w:t>
      </w:r>
    </w:p>
    <w:p w:rsidR="00384D79" w:rsidRPr="00DE475B" w:rsidRDefault="00FE5BF0" w:rsidP="00FE5BF0">
      <w:pPr>
        <w:tabs>
          <w:tab w:val="left" w:pos="1701"/>
        </w:tabs>
        <w:spacing w:before="40" w:after="40"/>
        <w:rPr>
          <w:rFonts w:ascii="Arial" w:hAnsi="Arial" w:cs="Arial"/>
          <w:sz w:val="20"/>
          <w:szCs w:val="20"/>
        </w:rPr>
      </w:pPr>
      <w:r w:rsidRPr="00DE475B">
        <w:rPr>
          <w:rFonts w:ascii="Arial" w:hAnsi="Arial" w:cs="Arial"/>
          <w:sz w:val="20"/>
          <w:szCs w:val="20"/>
        </w:rPr>
        <w:tab/>
      </w:r>
      <w:r w:rsidR="00384D79" w:rsidRPr="00DE475B">
        <w:rPr>
          <w:rFonts w:ascii="Arial" w:hAnsi="Arial" w:cs="Arial"/>
          <w:sz w:val="20"/>
          <w:szCs w:val="20"/>
        </w:rPr>
        <w:t>We belong to the community</w:t>
      </w:r>
    </w:p>
    <w:p w:rsidR="00384D79" w:rsidRPr="00DE475B" w:rsidRDefault="00373FFE" w:rsidP="00384D79">
      <w:pPr>
        <w:jc w:val="both"/>
        <w:rPr>
          <w:rFonts w:ascii="Arial" w:hAnsi="Arial" w:cs="Arial"/>
          <w:b/>
          <w:color w:val="333333"/>
          <w:sz w:val="20"/>
          <w:szCs w:val="20"/>
          <w:lang w:eastAsia="en-AU"/>
        </w:rPr>
      </w:pPr>
      <w:r w:rsidRPr="00DE475B">
        <w:rPr>
          <w:noProof/>
          <w:lang w:eastAsia="en-AU"/>
        </w:rPr>
        <mc:AlternateContent>
          <mc:Choice Requires="wps">
            <w:drawing>
              <wp:anchor distT="0" distB="0" distL="114300" distR="114300" simplePos="0" relativeHeight="251626496" behindDoc="0" locked="0" layoutInCell="1" allowOverlap="1" wp14:anchorId="451EAE10" wp14:editId="45086BFC">
                <wp:simplePos x="0" y="0"/>
                <wp:positionH relativeFrom="column">
                  <wp:posOffset>-228600</wp:posOffset>
                </wp:positionH>
                <wp:positionV relativeFrom="paragraph">
                  <wp:posOffset>6350</wp:posOffset>
                </wp:positionV>
                <wp:extent cx="6057900" cy="0"/>
                <wp:effectExtent l="13335" t="13335" r="5715" b="5715"/>
                <wp:wrapNone/>
                <wp:docPr id="27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4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VmmwIAAHsFAAAOAAAAZHJzL2Uyb0RvYy54bWysVNFumzAUfZ+0f7D8ToGEBIJKqpaQvXRb&#10;pXbas4NNsGZsZrsh0dR/37WT0KV7maYmErLh3uNz7znX1zf7TqAd04YrWeD4KsKIyVpRLrcF/va0&#10;DjKMjCWSEqEkK/CBGXyz/PjheuhzNlGtEpRpBCDS5ENf4NbaPg9DU7esI+ZK9UzCx0bpjljY6m1I&#10;NRkAvRPhJIrm4aA07bWqmTHwdnX8iJcev2lYbb82jWEWiQIDN+uf2j837hkur0m+1aRveX2iQf6D&#10;RUe4hENHqBWxBD1r/hdUx2utjGrsVa26UDUNr5mvAaqJozfVPLakZ74WaI7pxzaZ94Otv+weNOK0&#10;wJN0hpEkHYh0zyVD8Sx23Rl6k0NQKR+0q6/ey8f+XtU/DJKqbIncMs/y6dBDos8IL1LcxvRwxmb4&#10;rCjEkGerfKv2je4cJDQB7b0ih1ERtreohpfzaJYuIhCuPn8LSX5O7LWxn5jqkFsUWABrD0x298YC&#10;dQg9h7hzpFpzIbzgQqKhwIvp3CETsJ356TONEpy6KBdv9HZTCo12xHnH/1xDAPUirOMWHCx4V+Bs&#10;DCJ5ywitJPXHWcLFcQ3JQjpw5r155Am7vYWlfw+Fe9/8WkSLKquyJEgm8ypIotUquF2XSTBfx+ls&#10;NV2V5Sp+cazjJG85pUw64mcPx8m/eeQ0TUf3jS4eWxVeovvqgewl09v1LEqTaRak6WwaJNMqCu6y&#10;dRnclvF8nlZ35V31hmnlqzfvQ3ZspWOlnkGNx5YOiHJniulsMYkxbGDmJ+lRH0TEFi6r2mqMtLLf&#10;uW29h537HMaF8Fnk/ifhR/RjI84aut2owqm211aB5md9/Wi4aTjO1UbRw4N2nnJTAhPuk063kbtC&#10;/tz7qNc7c/kbAAD//wMAUEsDBBQABgAIAAAAIQDnPS5t3AAAAAcBAAAPAAAAZHJzL2Rvd25yZXYu&#10;eG1sTI9BS8NAEIXvgv9hGcGLtJvaUmrMpoggHgRpqyjettkxG8zOhuy0if/esRc9zTze8OZ7xXoM&#10;rTpin5pIBmbTDBRSFV1DtYHXl4fJClRiS862kdDANyZYl+dnhc1dHGiLxx3XSkIo5daAZ+5yrVPl&#10;Mdg0jR2SeJ+xD5ZF9rV2vR0kPLT6OsuWOtiG5IO3Hd57rL52h2DguR+axPPFYoP88fb49O43V2Fr&#10;zOXFeHcLinHkv2P4xRd0KIVpHw/kkmoNTOZL6cJiyBD/ZraSZX/Suiz0f/7yBwAA//8DAFBLAQIt&#10;ABQABgAIAAAAIQC2gziS/gAAAOEBAAATAAAAAAAAAAAAAAAAAAAAAABbQ29udGVudF9UeXBlc10u&#10;eG1sUEsBAi0AFAAGAAgAAAAhADj9If/WAAAAlAEAAAsAAAAAAAAAAAAAAAAALwEAAF9yZWxzLy5y&#10;ZWxzUEsBAi0AFAAGAAgAAAAhAMJ4tWabAgAAewUAAA4AAAAAAAAAAAAAAAAALgIAAGRycy9lMm9E&#10;b2MueG1sUEsBAi0AFAAGAAgAAAAhAOc9Lm3cAAAABwEAAA8AAAAAAAAAAAAAAAAA9QQAAGRycy9k&#10;b3ducmV2LnhtbFBLBQYAAAAABAAEAPMAAAD+BQAAAAA=&#10;" strokeweight=".26mm">
                <v:stroke joinstyle="miter" endcap="square"/>
              </v:line>
            </w:pict>
          </mc:Fallback>
        </mc:AlternateContent>
      </w:r>
    </w:p>
    <w:p w:rsidR="00384D79" w:rsidRPr="00DE475B" w:rsidRDefault="001A3909" w:rsidP="00384D79">
      <w:pPr>
        <w:spacing w:after="80"/>
        <w:rPr>
          <w:rFonts w:ascii="Arial" w:hAnsi="Arial" w:cs="Arial"/>
          <w:b/>
          <w:color w:val="808080"/>
          <w:sz w:val="20"/>
          <w:szCs w:val="20"/>
        </w:rPr>
      </w:pPr>
      <w:r w:rsidRPr="00DE475B">
        <w:rPr>
          <w:rFonts w:ascii="Arial" w:hAnsi="Arial" w:cs="Arial"/>
          <w:b/>
          <w:color w:val="808080"/>
          <w:sz w:val="20"/>
          <w:szCs w:val="20"/>
        </w:rPr>
        <w:t>Objectives and strategies</w:t>
      </w:r>
      <w:r w:rsidR="00384D79" w:rsidRPr="00DE475B">
        <w:rPr>
          <w:rFonts w:ascii="Arial" w:hAnsi="Arial" w:cs="Arial"/>
          <w:b/>
          <w:color w:val="808080"/>
          <w:sz w:val="20"/>
          <w:szCs w:val="20"/>
        </w:rPr>
        <w:t xml:space="preserve"> </w:t>
      </w:r>
    </w:p>
    <w:tbl>
      <w:tblPr>
        <w:tblW w:w="9574" w:type="dxa"/>
        <w:tblInd w:w="-252" w:type="dxa"/>
        <w:tblLayout w:type="fixed"/>
        <w:tblLook w:val="0000" w:firstRow="0" w:lastRow="0" w:firstColumn="0" w:lastColumn="0" w:noHBand="0" w:noVBand="0"/>
      </w:tblPr>
      <w:tblGrid>
        <w:gridCol w:w="9574"/>
      </w:tblGrid>
      <w:tr w:rsidR="00384D79" w:rsidRPr="00DE475B" w:rsidTr="007C5063">
        <w:tc>
          <w:tcPr>
            <w:tcW w:w="9574" w:type="dxa"/>
            <w:shd w:val="clear" w:color="auto" w:fill="CCCCCC"/>
          </w:tcPr>
          <w:p w:rsidR="00384D79" w:rsidRPr="00DE475B" w:rsidRDefault="00384D79" w:rsidP="007C5063">
            <w:pPr>
              <w:spacing w:before="120"/>
              <w:ind w:left="-476"/>
              <w:rPr>
                <w:rFonts w:ascii="Helvetica" w:hAnsi="Helvetica" w:cs="Arial"/>
                <w:b/>
                <w:color w:val="808080"/>
                <w:sz w:val="18"/>
                <w:szCs w:val="18"/>
                <w:shd w:val="clear" w:color="auto" w:fill="FFFF00"/>
              </w:rPr>
            </w:pPr>
            <w:r w:rsidRPr="00DE475B">
              <w:rPr>
                <w:rFonts w:ascii="Helvetica" w:hAnsi="Helvetica" w:cs="Arial"/>
                <w:b/>
                <w:color w:val="808080"/>
                <w:sz w:val="28"/>
                <w:szCs w:val="28"/>
                <w:shd w:val="clear" w:color="auto" w:fill="FFFF00"/>
              </w:rPr>
              <w:t>1.</w:t>
            </w:r>
            <w:r w:rsidRPr="00DE475B">
              <w:rPr>
                <w:rFonts w:ascii="Helvetica" w:hAnsi="Helvetica" w:cs="Arial"/>
                <w:b/>
                <w:color w:val="808080"/>
                <w:sz w:val="28"/>
                <w:szCs w:val="28"/>
              </w:rPr>
              <w:tab/>
            </w:r>
            <w:r w:rsidRPr="00DE475B">
              <w:rPr>
                <w:rFonts w:ascii="Arial" w:hAnsi="Arial" w:cs="Arial"/>
                <w:b/>
                <w:sz w:val="20"/>
                <w:szCs w:val="20"/>
              </w:rPr>
              <w:t>1. Enable Access</w:t>
            </w:r>
          </w:p>
        </w:tc>
      </w:tr>
      <w:tr w:rsidR="00384D79" w:rsidRPr="00DE475B" w:rsidTr="007C5063">
        <w:trPr>
          <w:trHeight w:val="1100"/>
        </w:trPr>
        <w:tc>
          <w:tcPr>
            <w:tcW w:w="9574" w:type="dxa"/>
            <w:shd w:val="clear" w:color="auto" w:fill="auto"/>
          </w:tcPr>
          <w:p w:rsidR="00384D79" w:rsidRPr="00DE475B" w:rsidRDefault="00D379B0" w:rsidP="00337D67">
            <w:pPr>
              <w:pStyle w:val="ARText"/>
              <w:numPr>
                <w:ilvl w:val="0"/>
                <w:numId w:val="3"/>
              </w:numPr>
              <w:tabs>
                <w:tab w:val="left" w:pos="317"/>
              </w:tabs>
              <w:spacing w:before="120" w:after="40"/>
              <w:ind w:left="714" w:hanging="357"/>
              <w:rPr>
                <w:szCs w:val="20"/>
              </w:rPr>
            </w:pPr>
            <w:r w:rsidRPr="00DE475B">
              <w:rPr>
                <w:szCs w:val="20"/>
              </w:rPr>
              <w:t>Increase access and interpretation of our content and services</w:t>
            </w:r>
          </w:p>
          <w:p w:rsidR="00384D79" w:rsidRPr="00DE475B" w:rsidRDefault="00D379B0" w:rsidP="00337D67">
            <w:pPr>
              <w:pStyle w:val="ARText"/>
              <w:numPr>
                <w:ilvl w:val="0"/>
                <w:numId w:val="3"/>
              </w:numPr>
              <w:tabs>
                <w:tab w:val="left" w:pos="317"/>
              </w:tabs>
              <w:spacing w:before="0" w:after="40"/>
              <w:rPr>
                <w:szCs w:val="20"/>
              </w:rPr>
            </w:pPr>
            <w:r w:rsidRPr="00DE475B">
              <w:rPr>
                <w:szCs w:val="20"/>
              </w:rPr>
              <w:t>Partner with local government to enable a thriving network of public libraries and Indigenous Knowledge Centres</w:t>
            </w:r>
          </w:p>
          <w:p w:rsidR="00384D79" w:rsidRPr="00DE475B" w:rsidRDefault="00D379B0" w:rsidP="00D379B0">
            <w:pPr>
              <w:pStyle w:val="ARText"/>
              <w:numPr>
                <w:ilvl w:val="0"/>
                <w:numId w:val="3"/>
              </w:numPr>
              <w:tabs>
                <w:tab w:val="left" w:pos="317"/>
              </w:tabs>
              <w:spacing w:before="0" w:after="120"/>
              <w:ind w:left="714" w:hanging="357"/>
              <w:rPr>
                <w:szCs w:val="20"/>
              </w:rPr>
            </w:pPr>
            <w:r w:rsidRPr="00DE475B">
              <w:rPr>
                <w:szCs w:val="20"/>
              </w:rPr>
              <w:t>Future proof our digital library</w:t>
            </w:r>
          </w:p>
        </w:tc>
      </w:tr>
      <w:tr w:rsidR="00384D79" w:rsidRPr="00DE475B" w:rsidTr="007C5063">
        <w:tc>
          <w:tcPr>
            <w:tcW w:w="9574" w:type="dxa"/>
            <w:shd w:val="clear" w:color="auto" w:fill="CCCCCC"/>
          </w:tcPr>
          <w:p w:rsidR="00384D79" w:rsidRPr="00DE475B" w:rsidRDefault="00384D79" w:rsidP="007C5063">
            <w:pPr>
              <w:spacing w:before="120"/>
              <w:ind w:left="-476"/>
              <w:rPr>
                <w:rFonts w:ascii="Helvetica" w:hAnsi="Helvetica" w:cs="Arial"/>
                <w:b/>
                <w:color w:val="808080"/>
                <w:sz w:val="18"/>
                <w:szCs w:val="18"/>
                <w:shd w:val="clear" w:color="auto" w:fill="FFFF00"/>
              </w:rPr>
            </w:pPr>
            <w:r w:rsidRPr="00DE475B">
              <w:rPr>
                <w:rFonts w:ascii="Helvetica" w:hAnsi="Helvetica" w:cs="Arial"/>
                <w:b/>
                <w:color w:val="808080"/>
                <w:sz w:val="28"/>
                <w:szCs w:val="28"/>
                <w:shd w:val="clear" w:color="auto" w:fill="FFFF00"/>
              </w:rPr>
              <w:t>1.</w:t>
            </w:r>
            <w:r w:rsidRPr="00DE475B">
              <w:rPr>
                <w:rFonts w:ascii="Helvetica" w:hAnsi="Helvetica" w:cs="Arial"/>
                <w:b/>
                <w:color w:val="808080"/>
                <w:sz w:val="28"/>
                <w:szCs w:val="28"/>
              </w:rPr>
              <w:tab/>
            </w:r>
            <w:r w:rsidRPr="00DE475B">
              <w:rPr>
                <w:rFonts w:ascii="Arial" w:hAnsi="Arial" w:cs="Arial"/>
                <w:b/>
                <w:sz w:val="20"/>
                <w:szCs w:val="20"/>
              </w:rPr>
              <w:t>2.</w:t>
            </w:r>
            <w:r w:rsidRPr="00DE475B">
              <w:rPr>
                <w:rFonts w:ascii="Arial" w:hAnsi="Arial" w:cs="Arial"/>
                <w:sz w:val="20"/>
                <w:szCs w:val="20"/>
              </w:rPr>
              <w:t xml:space="preserve"> </w:t>
            </w:r>
            <w:r w:rsidRPr="00DE475B">
              <w:rPr>
                <w:rFonts w:ascii="Arial" w:hAnsi="Arial" w:cs="Arial"/>
                <w:b/>
                <w:sz w:val="20"/>
                <w:szCs w:val="20"/>
              </w:rPr>
              <w:t>Engage Community</w:t>
            </w:r>
          </w:p>
        </w:tc>
      </w:tr>
      <w:tr w:rsidR="00384D79" w:rsidRPr="00DE475B" w:rsidTr="007C5063">
        <w:tc>
          <w:tcPr>
            <w:tcW w:w="9574" w:type="dxa"/>
            <w:shd w:val="clear" w:color="auto" w:fill="auto"/>
          </w:tcPr>
          <w:p w:rsidR="00384D79" w:rsidRPr="00DE475B" w:rsidRDefault="00EE6997" w:rsidP="00337D67">
            <w:pPr>
              <w:pStyle w:val="ARText"/>
              <w:numPr>
                <w:ilvl w:val="0"/>
                <w:numId w:val="3"/>
              </w:numPr>
              <w:tabs>
                <w:tab w:val="left" w:pos="317"/>
              </w:tabs>
              <w:spacing w:before="120" w:after="40"/>
              <w:ind w:left="714" w:hanging="357"/>
              <w:rPr>
                <w:szCs w:val="20"/>
              </w:rPr>
            </w:pPr>
            <w:r w:rsidRPr="00DE475B">
              <w:rPr>
                <w:szCs w:val="20"/>
              </w:rPr>
              <w:t>Build the s</w:t>
            </w:r>
            <w:r w:rsidR="00384D79" w:rsidRPr="00DE475B">
              <w:rPr>
                <w:szCs w:val="20"/>
              </w:rPr>
              <w:t>tate collection of Queensland</w:t>
            </w:r>
            <w:r w:rsidRPr="00DE475B">
              <w:rPr>
                <w:szCs w:val="20"/>
              </w:rPr>
              <w:t>’s documentary</w:t>
            </w:r>
            <w:r w:rsidR="00384D79" w:rsidRPr="00DE475B">
              <w:rPr>
                <w:szCs w:val="20"/>
              </w:rPr>
              <w:t xml:space="preserve"> culture and heritage</w:t>
            </w:r>
          </w:p>
          <w:p w:rsidR="00384D79" w:rsidRPr="00DE475B" w:rsidRDefault="00384D79" w:rsidP="00337D67">
            <w:pPr>
              <w:pStyle w:val="ARText"/>
              <w:numPr>
                <w:ilvl w:val="0"/>
                <w:numId w:val="3"/>
              </w:numPr>
              <w:tabs>
                <w:tab w:val="left" w:pos="317"/>
              </w:tabs>
              <w:spacing w:before="0" w:after="40"/>
              <w:rPr>
                <w:szCs w:val="20"/>
              </w:rPr>
            </w:pPr>
            <w:r w:rsidRPr="00DE475B">
              <w:rPr>
                <w:szCs w:val="20"/>
              </w:rPr>
              <w:t xml:space="preserve">Engage with </w:t>
            </w:r>
            <w:r w:rsidR="00EE6997" w:rsidRPr="00DE475B">
              <w:rPr>
                <w:szCs w:val="20"/>
              </w:rPr>
              <w:t>the community</w:t>
            </w:r>
            <w:r w:rsidRPr="00DE475B">
              <w:rPr>
                <w:szCs w:val="20"/>
              </w:rPr>
              <w:t xml:space="preserve"> through </w:t>
            </w:r>
            <w:r w:rsidR="00EE6997" w:rsidRPr="00DE475B">
              <w:rPr>
                <w:szCs w:val="20"/>
              </w:rPr>
              <w:t>our diverse and inclusive public programs</w:t>
            </w:r>
            <w:r w:rsidRPr="00DE475B">
              <w:rPr>
                <w:szCs w:val="20"/>
              </w:rPr>
              <w:t xml:space="preserve"> </w:t>
            </w:r>
          </w:p>
          <w:p w:rsidR="00384D79" w:rsidRPr="00DE475B" w:rsidRDefault="00592DBD" w:rsidP="00EE6997">
            <w:pPr>
              <w:pStyle w:val="ARText"/>
              <w:numPr>
                <w:ilvl w:val="0"/>
                <w:numId w:val="3"/>
              </w:numPr>
              <w:tabs>
                <w:tab w:val="left" w:pos="317"/>
              </w:tabs>
              <w:spacing w:before="0" w:after="120"/>
              <w:ind w:left="714" w:hanging="357"/>
              <w:rPr>
                <w:szCs w:val="20"/>
              </w:rPr>
            </w:pPr>
            <w:r>
              <w:rPr>
                <w:szCs w:val="20"/>
              </w:rPr>
              <w:t>I</w:t>
            </w:r>
            <w:r w:rsidR="00EE6997" w:rsidRPr="00DE475B">
              <w:rPr>
                <w:szCs w:val="20"/>
              </w:rPr>
              <w:t>nspire</w:t>
            </w:r>
            <w:r w:rsidR="00384D79" w:rsidRPr="00DE475B">
              <w:rPr>
                <w:szCs w:val="20"/>
              </w:rPr>
              <w:t xml:space="preserve"> the community</w:t>
            </w:r>
            <w:r w:rsidR="00EE6997" w:rsidRPr="00DE475B">
              <w:rPr>
                <w:szCs w:val="20"/>
              </w:rPr>
              <w:t xml:space="preserve"> to</w:t>
            </w:r>
            <w:r w:rsidR="00384D79" w:rsidRPr="00DE475B">
              <w:rPr>
                <w:szCs w:val="20"/>
              </w:rPr>
              <w:t xml:space="preserve"> use and interaction with </w:t>
            </w:r>
            <w:r w:rsidR="00EE6997" w:rsidRPr="00DE475B">
              <w:rPr>
                <w:szCs w:val="20"/>
              </w:rPr>
              <w:t xml:space="preserve">our </w:t>
            </w:r>
            <w:r w:rsidR="00384D79" w:rsidRPr="00DE475B">
              <w:rPr>
                <w:szCs w:val="20"/>
              </w:rPr>
              <w:t xml:space="preserve">content </w:t>
            </w:r>
          </w:p>
        </w:tc>
      </w:tr>
      <w:tr w:rsidR="00384D79" w:rsidRPr="00DE475B" w:rsidTr="007C5063">
        <w:tc>
          <w:tcPr>
            <w:tcW w:w="9574" w:type="dxa"/>
            <w:shd w:val="clear" w:color="auto" w:fill="CCCCCC"/>
          </w:tcPr>
          <w:p w:rsidR="00384D79" w:rsidRPr="00DE475B" w:rsidRDefault="00384D79" w:rsidP="007C5063">
            <w:pPr>
              <w:spacing w:before="120"/>
              <w:ind w:left="-476"/>
              <w:rPr>
                <w:rFonts w:ascii="Helvetica" w:hAnsi="Helvetica" w:cs="Arial"/>
                <w:b/>
                <w:color w:val="808080"/>
                <w:sz w:val="18"/>
                <w:szCs w:val="18"/>
                <w:shd w:val="clear" w:color="auto" w:fill="FFFF00"/>
              </w:rPr>
            </w:pPr>
            <w:r w:rsidRPr="00DE475B">
              <w:rPr>
                <w:rFonts w:ascii="Helvetica" w:hAnsi="Helvetica" w:cs="Arial"/>
                <w:b/>
                <w:color w:val="808080"/>
                <w:sz w:val="28"/>
                <w:szCs w:val="28"/>
                <w:shd w:val="clear" w:color="auto" w:fill="FFFF00"/>
              </w:rPr>
              <w:t>1.</w:t>
            </w:r>
            <w:r w:rsidRPr="00DE475B">
              <w:rPr>
                <w:rFonts w:ascii="Helvetica" w:hAnsi="Helvetica" w:cs="Arial"/>
                <w:b/>
                <w:color w:val="808080"/>
                <w:sz w:val="28"/>
                <w:szCs w:val="28"/>
              </w:rPr>
              <w:tab/>
            </w:r>
            <w:r w:rsidRPr="00DE475B">
              <w:rPr>
                <w:rFonts w:ascii="Arial" w:hAnsi="Arial" w:cs="Arial"/>
                <w:b/>
                <w:sz w:val="20"/>
                <w:szCs w:val="20"/>
              </w:rPr>
              <w:t>3. Build Capacity</w:t>
            </w:r>
          </w:p>
        </w:tc>
      </w:tr>
      <w:tr w:rsidR="00384D79" w:rsidRPr="00DE475B" w:rsidTr="007C5063">
        <w:trPr>
          <w:trHeight w:val="1085"/>
        </w:trPr>
        <w:tc>
          <w:tcPr>
            <w:tcW w:w="9574" w:type="dxa"/>
            <w:shd w:val="clear" w:color="auto" w:fill="auto"/>
          </w:tcPr>
          <w:p w:rsidR="00384D79" w:rsidRPr="00DE475B" w:rsidRDefault="00EE6997" w:rsidP="00337D67">
            <w:pPr>
              <w:pStyle w:val="ARText"/>
              <w:numPr>
                <w:ilvl w:val="0"/>
                <w:numId w:val="3"/>
              </w:numPr>
              <w:tabs>
                <w:tab w:val="left" w:pos="317"/>
              </w:tabs>
              <w:spacing w:before="120" w:after="40"/>
              <w:ind w:left="714" w:hanging="357"/>
              <w:rPr>
                <w:szCs w:val="20"/>
              </w:rPr>
            </w:pPr>
            <w:r w:rsidRPr="00DE475B">
              <w:rPr>
                <w:szCs w:val="20"/>
              </w:rPr>
              <w:t>Enable digitally inclusive, literate communities that are skilled for the 21</w:t>
            </w:r>
            <w:r w:rsidRPr="00DE475B">
              <w:rPr>
                <w:szCs w:val="20"/>
                <w:vertAlign w:val="superscript"/>
              </w:rPr>
              <w:t>st</w:t>
            </w:r>
            <w:r w:rsidRPr="00DE475B">
              <w:rPr>
                <w:szCs w:val="20"/>
              </w:rPr>
              <w:t xml:space="preserve"> century</w:t>
            </w:r>
          </w:p>
          <w:p w:rsidR="00384D79" w:rsidRPr="00DE475B" w:rsidRDefault="00EE6997" w:rsidP="00337D67">
            <w:pPr>
              <w:pStyle w:val="ARText"/>
              <w:numPr>
                <w:ilvl w:val="0"/>
                <w:numId w:val="3"/>
              </w:numPr>
              <w:tabs>
                <w:tab w:val="left" w:pos="317"/>
              </w:tabs>
              <w:spacing w:before="0" w:after="40"/>
              <w:rPr>
                <w:szCs w:val="20"/>
              </w:rPr>
            </w:pPr>
            <w:r w:rsidRPr="00DE475B">
              <w:rPr>
                <w:szCs w:val="20"/>
              </w:rPr>
              <w:t xml:space="preserve">Advance the </w:t>
            </w:r>
            <w:r w:rsidR="00592DBD" w:rsidRPr="00DE475B">
              <w:rPr>
                <w:szCs w:val="20"/>
              </w:rPr>
              <w:t>growth</w:t>
            </w:r>
            <w:r w:rsidRPr="00DE475B">
              <w:rPr>
                <w:szCs w:val="20"/>
              </w:rPr>
              <w:t xml:space="preserve"> of business innovation and skills</w:t>
            </w:r>
          </w:p>
          <w:p w:rsidR="00384D79" w:rsidRPr="00DE475B" w:rsidRDefault="00384D79" w:rsidP="00EE6997">
            <w:pPr>
              <w:pStyle w:val="ARText"/>
              <w:numPr>
                <w:ilvl w:val="0"/>
                <w:numId w:val="3"/>
              </w:numPr>
              <w:tabs>
                <w:tab w:val="left" w:pos="317"/>
              </w:tabs>
              <w:spacing w:before="0" w:after="40"/>
              <w:rPr>
                <w:szCs w:val="20"/>
              </w:rPr>
            </w:pPr>
            <w:r w:rsidRPr="00DE475B">
              <w:rPr>
                <w:szCs w:val="20"/>
              </w:rPr>
              <w:t xml:space="preserve">Position our </w:t>
            </w:r>
            <w:r w:rsidR="00EE6997" w:rsidRPr="00DE475B">
              <w:rPr>
                <w:szCs w:val="20"/>
              </w:rPr>
              <w:t>organisation</w:t>
            </w:r>
            <w:r w:rsidRPr="00DE475B">
              <w:rPr>
                <w:szCs w:val="20"/>
              </w:rPr>
              <w:t xml:space="preserve"> for the future</w:t>
            </w:r>
          </w:p>
        </w:tc>
      </w:tr>
    </w:tbl>
    <w:p w:rsidR="00384D79" w:rsidRPr="00DE475B" w:rsidRDefault="00384D79" w:rsidP="00384D79">
      <w:pPr>
        <w:pStyle w:val="ARheading3"/>
        <w:spacing w:before="120" w:after="40"/>
      </w:pPr>
      <w:r w:rsidRPr="00DE475B">
        <w:rPr>
          <w:color w:val="808080"/>
        </w:rPr>
        <w:t>Performance Measures</w:t>
      </w:r>
    </w:p>
    <w:p w:rsidR="001A3909" w:rsidRPr="00DE475B" w:rsidRDefault="001A3909" w:rsidP="00337D67">
      <w:pPr>
        <w:pStyle w:val="ARText"/>
        <w:numPr>
          <w:ilvl w:val="0"/>
          <w:numId w:val="3"/>
        </w:numPr>
        <w:tabs>
          <w:tab w:val="left" w:pos="317"/>
        </w:tabs>
        <w:spacing w:before="0" w:after="40"/>
        <w:rPr>
          <w:szCs w:val="20"/>
        </w:rPr>
      </w:pPr>
      <w:r w:rsidRPr="00DE475B">
        <w:rPr>
          <w:szCs w:val="20"/>
        </w:rPr>
        <w:t>Increase in John Oxley Library collections</w:t>
      </w:r>
    </w:p>
    <w:p w:rsidR="00384D79" w:rsidRPr="00DE475B" w:rsidRDefault="00384D79" w:rsidP="00337D67">
      <w:pPr>
        <w:pStyle w:val="ARText"/>
        <w:numPr>
          <w:ilvl w:val="0"/>
          <w:numId w:val="3"/>
        </w:numPr>
        <w:tabs>
          <w:tab w:val="left" w:pos="317"/>
        </w:tabs>
        <w:spacing w:before="0" w:after="40"/>
        <w:rPr>
          <w:szCs w:val="20"/>
        </w:rPr>
      </w:pPr>
      <w:r w:rsidRPr="00DE475B">
        <w:rPr>
          <w:szCs w:val="20"/>
        </w:rPr>
        <w:t xml:space="preserve">Increased use of content </w:t>
      </w:r>
    </w:p>
    <w:p w:rsidR="001A3909" w:rsidRPr="00DE475B" w:rsidRDefault="001A3909" w:rsidP="00337D67">
      <w:pPr>
        <w:pStyle w:val="ARText"/>
        <w:numPr>
          <w:ilvl w:val="0"/>
          <w:numId w:val="3"/>
        </w:numPr>
        <w:tabs>
          <w:tab w:val="left" w:pos="317"/>
        </w:tabs>
        <w:spacing w:before="0" w:after="40"/>
        <w:rPr>
          <w:szCs w:val="20"/>
        </w:rPr>
      </w:pPr>
      <w:r w:rsidRPr="00DE475B">
        <w:rPr>
          <w:szCs w:val="20"/>
        </w:rPr>
        <w:t>Increased SLQ membership</w:t>
      </w:r>
    </w:p>
    <w:p w:rsidR="001A3909" w:rsidRPr="00DE475B" w:rsidRDefault="001A3909" w:rsidP="00337D67">
      <w:pPr>
        <w:pStyle w:val="ARText"/>
        <w:numPr>
          <w:ilvl w:val="0"/>
          <w:numId w:val="3"/>
        </w:numPr>
        <w:tabs>
          <w:tab w:val="left" w:pos="317"/>
        </w:tabs>
        <w:spacing w:before="0" w:after="40"/>
        <w:rPr>
          <w:szCs w:val="20"/>
        </w:rPr>
      </w:pPr>
      <w:r w:rsidRPr="00DE475B">
        <w:rPr>
          <w:szCs w:val="20"/>
        </w:rPr>
        <w:t>Participation in public programs</w:t>
      </w:r>
    </w:p>
    <w:p w:rsidR="00384D79" w:rsidRPr="00DE475B" w:rsidRDefault="00384D79" w:rsidP="00337D67">
      <w:pPr>
        <w:pStyle w:val="ARText"/>
        <w:numPr>
          <w:ilvl w:val="0"/>
          <w:numId w:val="3"/>
        </w:numPr>
        <w:tabs>
          <w:tab w:val="left" w:pos="317"/>
        </w:tabs>
        <w:spacing w:before="0" w:after="40"/>
        <w:rPr>
          <w:szCs w:val="20"/>
        </w:rPr>
      </w:pPr>
      <w:r w:rsidRPr="00DE475B">
        <w:rPr>
          <w:szCs w:val="20"/>
        </w:rPr>
        <w:t xml:space="preserve">Increase in visitation </w:t>
      </w:r>
      <w:r w:rsidR="001A3909" w:rsidRPr="00DE475B">
        <w:rPr>
          <w:szCs w:val="20"/>
        </w:rPr>
        <w:t>to public libraries</w:t>
      </w:r>
    </w:p>
    <w:p w:rsidR="00384D79" w:rsidRPr="00DE475B" w:rsidRDefault="00384D79" w:rsidP="00337D67">
      <w:pPr>
        <w:pStyle w:val="ARText"/>
        <w:numPr>
          <w:ilvl w:val="0"/>
          <w:numId w:val="3"/>
        </w:numPr>
        <w:tabs>
          <w:tab w:val="left" w:pos="317"/>
        </w:tabs>
        <w:spacing w:before="0" w:after="40"/>
        <w:rPr>
          <w:szCs w:val="20"/>
        </w:rPr>
      </w:pPr>
      <w:r w:rsidRPr="00DE475B">
        <w:rPr>
          <w:szCs w:val="20"/>
        </w:rPr>
        <w:t xml:space="preserve">Increase in self-generated revenue </w:t>
      </w:r>
    </w:p>
    <w:p w:rsidR="00384D79" w:rsidRPr="00DE475B" w:rsidRDefault="00384D79" w:rsidP="00337D67">
      <w:pPr>
        <w:pStyle w:val="ARText"/>
        <w:numPr>
          <w:ilvl w:val="0"/>
          <w:numId w:val="3"/>
        </w:numPr>
        <w:tabs>
          <w:tab w:val="left" w:pos="317"/>
        </w:tabs>
        <w:spacing w:before="0" w:after="40"/>
        <w:rPr>
          <w:szCs w:val="20"/>
        </w:rPr>
      </w:pPr>
      <w:r w:rsidRPr="00DE475B">
        <w:rPr>
          <w:szCs w:val="20"/>
        </w:rPr>
        <w:t xml:space="preserve">Staff engagement </w:t>
      </w:r>
    </w:p>
    <w:p w:rsidR="00384D79" w:rsidRPr="00DE475B" w:rsidRDefault="001A3909" w:rsidP="00337D67">
      <w:pPr>
        <w:pStyle w:val="ARText"/>
        <w:numPr>
          <w:ilvl w:val="0"/>
          <w:numId w:val="3"/>
        </w:numPr>
        <w:tabs>
          <w:tab w:val="left" w:pos="317"/>
        </w:tabs>
        <w:spacing w:before="0" w:after="40"/>
        <w:rPr>
          <w:szCs w:val="20"/>
        </w:rPr>
      </w:pPr>
      <w:r w:rsidRPr="00DE475B">
        <w:rPr>
          <w:szCs w:val="20"/>
        </w:rPr>
        <w:t>Customer</w:t>
      </w:r>
      <w:r w:rsidR="00384D79" w:rsidRPr="00DE475B">
        <w:rPr>
          <w:szCs w:val="20"/>
        </w:rPr>
        <w:t xml:space="preserve"> Satisfaction</w:t>
      </w:r>
    </w:p>
    <w:p w:rsidR="00384D79" w:rsidRPr="00DE475B" w:rsidRDefault="001A3909" w:rsidP="00337D67">
      <w:pPr>
        <w:pStyle w:val="ARText"/>
        <w:numPr>
          <w:ilvl w:val="0"/>
          <w:numId w:val="3"/>
        </w:numPr>
        <w:tabs>
          <w:tab w:val="left" w:pos="317"/>
        </w:tabs>
        <w:spacing w:before="0" w:after="40"/>
        <w:rPr>
          <w:szCs w:val="20"/>
        </w:rPr>
      </w:pPr>
      <w:r w:rsidRPr="00DE475B">
        <w:rPr>
          <w:szCs w:val="20"/>
        </w:rPr>
        <w:t>Increase in efficiency (onsite and online visitation/b</w:t>
      </w:r>
      <w:r w:rsidR="00384D79" w:rsidRPr="00DE475B">
        <w:rPr>
          <w:szCs w:val="20"/>
        </w:rPr>
        <w:t>udget)</w:t>
      </w:r>
    </w:p>
    <w:p w:rsidR="00384D79" w:rsidRPr="00DE475B" w:rsidRDefault="00384D79" w:rsidP="00384D79">
      <w:pPr>
        <w:pStyle w:val="ARheading3"/>
        <w:spacing w:before="240" w:after="40"/>
        <w:rPr>
          <w:color w:val="808080"/>
        </w:rPr>
      </w:pPr>
      <w:r w:rsidRPr="00DE475B">
        <w:rPr>
          <w:color w:val="808080"/>
        </w:rPr>
        <w:t>Our guiding behaviours</w:t>
      </w:r>
    </w:p>
    <w:p w:rsidR="00384D79" w:rsidRPr="00DE475B" w:rsidRDefault="00384D79" w:rsidP="00337D67">
      <w:pPr>
        <w:pStyle w:val="ARText"/>
        <w:numPr>
          <w:ilvl w:val="0"/>
          <w:numId w:val="3"/>
        </w:numPr>
        <w:tabs>
          <w:tab w:val="left" w:pos="317"/>
        </w:tabs>
        <w:spacing w:before="0" w:after="40"/>
        <w:rPr>
          <w:szCs w:val="20"/>
        </w:rPr>
      </w:pPr>
      <w:r w:rsidRPr="00DE475B">
        <w:rPr>
          <w:szCs w:val="20"/>
        </w:rPr>
        <w:t>Customers first</w:t>
      </w:r>
    </w:p>
    <w:p w:rsidR="00384D79" w:rsidRPr="00DE475B" w:rsidRDefault="00384D79" w:rsidP="00337D67">
      <w:pPr>
        <w:pStyle w:val="ARText"/>
        <w:numPr>
          <w:ilvl w:val="0"/>
          <w:numId w:val="3"/>
        </w:numPr>
        <w:tabs>
          <w:tab w:val="left" w:pos="317"/>
        </w:tabs>
        <w:spacing w:before="0" w:after="40"/>
        <w:rPr>
          <w:szCs w:val="20"/>
        </w:rPr>
      </w:pPr>
      <w:r w:rsidRPr="00DE475B">
        <w:rPr>
          <w:szCs w:val="20"/>
        </w:rPr>
        <w:t>Ideas into action</w:t>
      </w:r>
    </w:p>
    <w:p w:rsidR="00384D79" w:rsidRPr="00DE475B" w:rsidRDefault="00384D79" w:rsidP="00337D67">
      <w:pPr>
        <w:pStyle w:val="ARText"/>
        <w:numPr>
          <w:ilvl w:val="0"/>
          <w:numId w:val="3"/>
        </w:numPr>
        <w:tabs>
          <w:tab w:val="left" w:pos="317"/>
        </w:tabs>
        <w:spacing w:before="0" w:after="40"/>
        <w:rPr>
          <w:szCs w:val="20"/>
        </w:rPr>
      </w:pPr>
      <w:r w:rsidRPr="00DE475B">
        <w:rPr>
          <w:szCs w:val="20"/>
        </w:rPr>
        <w:t>Unleash potential</w:t>
      </w:r>
    </w:p>
    <w:p w:rsidR="00384D79" w:rsidRPr="00DE475B" w:rsidRDefault="00384D79" w:rsidP="00337D67">
      <w:pPr>
        <w:pStyle w:val="ARText"/>
        <w:numPr>
          <w:ilvl w:val="0"/>
          <w:numId w:val="3"/>
        </w:numPr>
        <w:tabs>
          <w:tab w:val="left" w:pos="317"/>
        </w:tabs>
        <w:spacing w:before="0" w:after="40"/>
        <w:rPr>
          <w:szCs w:val="20"/>
        </w:rPr>
      </w:pPr>
      <w:r w:rsidRPr="00DE475B">
        <w:rPr>
          <w:szCs w:val="20"/>
        </w:rPr>
        <w:t>Be courageous</w:t>
      </w:r>
    </w:p>
    <w:p w:rsidR="00384D79" w:rsidRPr="00DE475B" w:rsidRDefault="00384D79" w:rsidP="00337D67">
      <w:pPr>
        <w:pStyle w:val="ARText"/>
        <w:numPr>
          <w:ilvl w:val="0"/>
          <w:numId w:val="3"/>
        </w:numPr>
        <w:tabs>
          <w:tab w:val="left" w:pos="317"/>
        </w:tabs>
        <w:spacing w:before="0" w:after="40"/>
        <w:rPr>
          <w:szCs w:val="20"/>
        </w:rPr>
      </w:pPr>
      <w:r w:rsidRPr="00DE475B">
        <w:rPr>
          <w:szCs w:val="20"/>
        </w:rPr>
        <w:t>Empower people</w:t>
      </w:r>
    </w:p>
    <w:p w:rsidR="00384D79" w:rsidRPr="00DE475B" w:rsidRDefault="00384D79" w:rsidP="00384D79">
      <w:pPr>
        <w:pStyle w:val="ARText"/>
        <w:tabs>
          <w:tab w:val="left" w:pos="317"/>
        </w:tabs>
        <w:spacing w:before="0" w:after="40"/>
        <w:rPr>
          <w:szCs w:val="20"/>
        </w:rPr>
      </w:pPr>
    </w:p>
    <w:p w:rsidR="00384D79" w:rsidRPr="00DE475B" w:rsidRDefault="00384D79" w:rsidP="00384D79">
      <w:pPr>
        <w:rPr>
          <w:rFonts w:ascii="Arial" w:hAnsi="Arial" w:cs="Arial"/>
          <w:spacing w:val="-2"/>
          <w:sz w:val="20"/>
          <w:szCs w:val="20"/>
        </w:rPr>
      </w:pPr>
      <w:r w:rsidRPr="00DE475B">
        <w:rPr>
          <w:rFonts w:ascii="Arial" w:hAnsi="Arial" w:cs="Arial"/>
          <w:spacing w:val="-2"/>
          <w:sz w:val="20"/>
          <w:szCs w:val="20"/>
        </w:rPr>
        <w:t>Find the published plan online:</w:t>
      </w:r>
      <w:r w:rsidR="00342906" w:rsidRPr="00DE475B">
        <w:rPr>
          <w:rFonts w:ascii="Arial" w:hAnsi="Arial" w:cs="Arial"/>
          <w:spacing w:val="-2"/>
          <w:sz w:val="20"/>
          <w:szCs w:val="20"/>
        </w:rPr>
        <w:t xml:space="preserve"> </w:t>
      </w:r>
      <w:r w:rsidR="00342906" w:rsidRPr="00DE475B">
        <w:rPr>
          <w:rFonts w:ascii="Arial" w:hAnsi="Arial" w:cs="Arial"/>
          <w:spacing w:val="-2"/>
          <w:sz w:val="20"/>
          <w:szCs w:val="20"/>
        </w:rPr>
        <w:br/>
        <w:t>www.slq.qld.gov.au/about-us/corporate/publications/planning/strategic-plan-2017-2021</w:t>
      </w:r>
    </w:p>
    <w:p w:rsidR="00152C93" w:rsidRDefault="00152C93">
      <w:pPr>
        <w:suppressAutoHyphens w:val="0"/>
        <w:autoSpaceDE/>
        <w:rPr>
          <w:rFonts w:ascii="Arial" w:hAnsi="Arial" w:cs="Arial"/>
          <w:color w:val="808080"/>
          <w:sz w:val="40"/>
          <w:szCs w:val="40"/>
        </w:rPr>
      </w:pPr>
      <w:r>
        <w:rPr>
          <w:color w:val="808080"/>
        </w:rPr>
        <w:br w:type="page"/>
      </w: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jc w:val="center"/>
        <w:rPr>
          <w:rFonts w:ascii="Arial" w:hAnsi="Arial" w:cs="Arial"/>
          <w:color w:val="808080"/>
          <w:sz w:val="40"/>
          <w:szCs w:val="40"/>
        </w:rPr>
      </w:pPr>
      <w:r>
        <w:rPr>
          <w:rFonts w:ascii="Arial" w:hAnsi="Arial" w:cs="Arial"/>
          <w:color w:val="808080"/>
          <w:sz w:val="40"/>
          <w:szCs w:val="40"/>
        </w:rPr>
        <w:t>Collection image to be inserted</w:t>
      </w: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pPr>
        <w:suppressAutoHyphens w:val="0"/>
        <w:autoSpaceDE/>
        <w:rPr>
          <w:rFonts w:ascii="Arial" w:hAnsi="Arial" w:cs="Arial"/>
          <w:color w:val="808080"/>
          <w:sz w:val="40"/>
          <w:szCs w:val="40"/>
        </w:rPr>
      </w:pPr>
      <w:r>
        <w:rPr>
          <w:color w:val="808080"/>
        </w:rPr>
        <w:br w:type="page"/>
      </w:r>
    </w:p>
    <w:p w:rsidR="00D346B4" w:rsidRPr="00DE475B" w:rsidRDefault="00B7056C">
      <w:pPr>
        <w:pStyle w:val="ARHeading1"/>
        <w:pageBreakBefore/>
        <w:rPr>
          <w:color w:val="808080"/>
        </w:rPr>
      </w:pPr>
      <w:r w:rsidRPr="00DE475B">
        <w:rPr>
          <w:color w:val="808080"/>
        </w:rPr>
        <w:lastRenderedPageBreak/>
        <w:t>Part 5</w:t>
      </w:r>
      <w:r w:rsidR="00BA0B65" w:rsidRPr="00DE475B">
        <w:rPr>
          <w:color w:val="808080"/>
        </w:rPr>
        <w:t>: Financial r</w:t>
      </w:r>
      <w:r w:rsidR="00D346B4" w:rsidRPr="00DE475B">
        <w:rPr>
          <w:color w:val="808080"/>
        </w:rPr>
        <w:t>eport</w:t>
      </w:r>
    </w:p>
    <w:p w:rsidR="00D346B4" w:rsidRPr="00DE475B" w:rsidRDefault="00D346B4" w:rsidP="00701922">
      <w:pPr>
        <w:pStyle w:val="ARHeading1"/>
        <w:spacing w:after="120"/>
      </w:pPr>
      <w:r w:rsidRPr="002A40BA">
        <w:t>Financial summary</w:t>
      </w:r>
    </w:p>
    <w:p w:rsidR="001F2B60" w:rsidRPr="00DE475B" w:rsidRDefault="001F2B60" w:rsidP="00B276A8">
      <w:pPr>
        <w:pStyle w:val="ARHeading1"/>
        <w:spacing w:after="120"/>
        <w:rPr>
          <w:rFonts w:eastAsia="Batang"/>
          <w:bCs/>
          <w:spacing w:val="-2"/>
          <w:kern w:val="20"/>
          <w:sz w:val="20"/>
          <w:szCs w:val="22"/>
        </w:rPr>
        <w:sectPr w:rsidR="001F2B60" w:rsidRPr="00DE475B" w:rsidSect="00B53922">
          <w:footerReference w:type="even" r:id="rId21"/>
          <w:footerReference w:type="default" r:id="rId22"/>
          <w:headerReference w:type="first" r:id="rId23"/>
          <w:footerReference w:type="first" r:id="rId24"/>
          <w:type w:val="continuous"/>
          <w:pgSz w:w="11906" w:h="16838"/>
          <w:pgMar w:top="1440" w:right="1701" w:bottom="1440" w:left="1701" w:header="680" w:footer="680" w:gutter="0"/>
          <w:cols w:space="720"/>
          <w:docGrid w:linePitch="360"/>
        </w:sectPr>
      </w:pPr>
    </w:p>
    <w:p w:rsidR="00E62408" w:rsidRPr="002A40BA" w:rsidRDefault="00E62408" w:rsidP="002A40BA">
      <w:pPr>
        <w:pStyle w:val="ARHeading1"/>
        <w:spacing w:after="240"/>
        <w:rPr>
          <w:rFonts w:eastAsia="Batang"/>
          <w:bCs/>
          <w:kern w:val="20"/>
          <w:sz w:val="20"/>
          <w:szCs w:val="22"/>
        </w:rPr>
      </w:pPr>
      <w:r w:rsidRPr="002A40BA">
        <w:rPr>
          <w:rFonts w:eastAsia="Batang"/>
          <w:bCs/>
          <w:kern w:val="20"/>
          <w:sz w:val="20"/>
          <w:szCs w:val="22"/>
        </w:rPr>
        <w:lastRenderedPageBreak/>
        <w:t>This summary provides an overview of the financial performance during 2016–17 and position as at 30 June 2017 for the Library Board of Queensland (the Library Board). The Library Board’s performance is reported as the Parent Entity (the Library Board only) and the Library Board and the Queensland Library Foundation (the Foundation) is reported as the Economic Entity. The Foundation is a controlled entity of the Library Board.</w:t>
      </w:r>
    </w:p>
    <w:p w:rsidR="00E62408" w:rsidRPr="002A40BA" w:rsidRDefault="00E62408" w:rsidP="00E62408">
      <w:pPr>
        <w:pStyle w:val="ARheading3"/>
        <w:tabs>
          <w:tab w:val="left" w:pos="851"/>
        </w:tabs>
        <w:spacing w:after="120"/>
        <w:rPr>
          <w:color w:val="808080"/>
        </w:rPr>
      </w:pPr>
      <w:r w:rsidRPr="002A40BA">
        <w:rPr>
          <w:color w:val="808080"/>
        </w:rPr>
        <w:t>Statement of Comprehensive Income</w:t>
      </w:r>
    </w:p>
    <w:p w:rsidR="00E62408" w:rsidRPr="002A40BA" w:rsidRDefault="00E62408" w:rsidP="00B276A8">
      <w:pPr>
        <w:pStyle w:val="ARHeading1"/>
        <w:spacing w:after="120"/>
        <w:rPr>
          <w:rFonts w:eastAsia="Batang"/>
          <w:bCs/>
          <w:kern w:val="20"/>
          <w:sz w:val="20"/>
          <w:szCs w:val="22"/>
        </w:rPr>
      </w:pPr>
      <w:r w:rsidRPr="002A40BA">
        <w:rPr>
          <w:rFonts w:eastAsia="Batang"/>
          <w:bCs/>
          <w:kern w:val="20"/>
          <w:sz w:val="20"/>
          <w:szCs w:val="22"/>
        </w:rPr>
        <w:t>The Statement of Comprehensive Income for the Economic Entity is set out below.</w:t>
      </w:r>
    </w:p>
    <w:tbl>
      <w:tblPr>
        <w:tblW w:w="8471" w:type="dxa"/>
        <w:tblLayout w:type="fixed"/>
        <w:tblCellMar>
          <w:top w:w="57" w:type="dxa"/>
          <w:bottom w:w="57" w:type="dxa"/>
        </w:tblCellMar>
        <w:tblLook w:val="0000" w:firstRow="0" w:lastRow="0" w:firstColumn="0" w:lastColumn="0" w:noHBand="0" w:noVBand="0"/>
      </w:tblPr>
      <w:tblGrid>
        <w:gridCol w:w="4786"/>
        <w:gridCol w:w="1843"/>
        <w:gridCol w:w="1842"/>
      </w:tblGrid>
      <w:tr w:rsidR="00E62408" w:rsidRPr="00DE475B" w:rsidTr="00E62408">
        <w:tc>
          <w:tcPr>
            <w:tcW w:w="4786" w:type="dxa"/>
            <w:shd w:val="clear" w:color="auto" w:fill="CCCCCC"/>
            <w:vAlign w:val="center"/>
          </w:tcPr>
          <w:p w:rsidR="00E62408" w:rsidRPr="00DE475B" w:rsidRDefault="00E62408" w:rsidP="003414F7">
            <w:pPr>
              <w:rPr>
                <w:rFonts w:ascii="Arial" w:hAnsi="Arial" w:cs="Arial"/>
                <w:b/>
                <w:sz w:val="20"/>
                <w:szCs w:val="20"/>
              </w:rPr>
            </w:pPr>
            <w:r>
              <w:rPr>
                <w:rFonts w:ascii="Arial" w:hAnsi="Arial" w:cs="Arial"/>
                <w:b/>
                <w:sz w:val="20"/>
                <w:szCs w:val="20"/>
              </w:rPr>
              <w:t>Statement of Comprehensive Income</w:t>
            </w:r>
          </w:p>
        </w:tc>
        <w:tc>
          <w:tcPr>
            <w:tcW w:w="1843" w:type="dxa"/>
            <w:shd w:val="clear" w:color="auto" w:fill="CCCCCC"/>
            <w:vAlign w:val="center"/>
          </w:tcPr>
          <w:p w:rsidR="00E62408" w:rsidRPr="00DE475B" w:rsidRDefault="00E62408" w:rsidP="00E62408">
            <w:pPr>
              <w:jc w:val="right"/>
              <w:rPr>
                <w:rFonts w:ascii="Arial" w:hAnsi="Arial" w:cs="Arial"/>
                <w:b/>
                <w:sz w:val="20"/>
                <w:szCs w:val="20"/>
              </w:rPr>
            </w:pPr>
            <w:r>
              <w:rPr>
                <w:rFonts w:ascii="Arial" w:hAnsi="Arial" w:cs="Arial"/>
                <w:b/>
                <w:sz w:val="20"/>
                <w:szCs w:val="20"/>
              </w:rPr>
              <w:t>20</w:t>
            </w:r>
            <w:r w:rsidRPr="00DE475B">
              <w:rPr>
                <w:rFonts w:ascii="Arial" w:hAnsi="Arial" w:cs="Arial"/>
                <w:b/>
                <w:sz w:val="20"/>
                <w:szCs w:val="20"/>
              </w:rPr>
              <w:t xml:space="preserve">17 </w:t>
            </w:r>
            <w:r w:rsidRPr="00DE475B">
              <w:rPr>
                <w:rFonts w:ascii="Arial" w:hAnsi="Arial" w:cs="Arial"/>
                <w:b/>
                <w:sz w:val="20"/>
                <w:szCs w:val="20"/>
              </w:rPr>
              <w:br/>
            </w:r>
            <w:r w:rsidR="00D20789">
              <w:rPr>
                <w:rFonts w:ascii="Arial" w:hAnsi="Arial" w:cs="Arial"/>
                <w:b/>
                <w:sz w:val="20"/>
                <w:szCs w:val="20"/>
              </w:rPr>
              <w:t>$’</w:t>
            </w:r>
            <w:r>
              <w:rPr>
                <w:rFonts w:ascii="Arial" w:hAnsi="Arial" w:cs="Arial"/>
                <w:b/>
                <w:sz w:val="20"/>
                <w:szCs w:val="20"/>
              </w:rPr>
              <w:t>000</w:t>
            </w:r>
          </w:p>
        </w:tc>
        <w:tc>
          <w:tcPr>
            <w:tcW w:w="1842" w:type="dxa"/>
            <w:shd w:val="clear" w:color="auto" w:fill="CCCCCC"/>
            <w:vAlign w:val="center"/>
          </w:tcPr>
          <w:p w:rsidR="00E62408" w:rsidRDefault="00E62408" w:rsidP="00E62408">
            <w:pPr>
              <w:jc w:val="right"/>
              <w:rPr>
                <w:rFonts w:ascii="Arial" w:hAnsi="Arial" w:cs="Arial"/>
                <w:b/>
                <w:sz w:val="20"/>
                <w:szCs w:val="20"/>
              </w:rPr>
            </w:pPr>
            <w:r w:rsidRPr="00DE475B">
              <w:rPr>
                <w:rFonts w:ascii="Arial" w:hAnsi="Arial" w:cs="Arial"/>
                <w:b/>
                <w:sz w:val="20"/>
                <w:szCs w:val="20"/>
              </w:rPr>
              <w:t>2016</w:t>
            </w:r>
          </w:p>
          <w:p w:rsidR="00E62408" w:rsidRPr="00DE475B" w:rsidRDefault="00D20789" w:rsidP="00E62408">
            <w:pPr>
              <w:jc w:val="right"/>
              <w:rPr>
                <w:rFonts w:ascii="Arial" w:hAnsi="Arial" w:cs="Arial"/>
                <w:b/>
                <w:sz w:val="20"/>
                <w:szCs w:val="20"/>
              </w:rPr>
            </w:pPr>
            <w:r>
              <w:rPr>
                <w:rFonts w:ascii="Arial" w:hAnsi="Arial" w:cs="Arial"/>
                <w:b/>
                <w:sz w:val="20"/>
                <w:szCs w:val="20"/>
              </w:rPr>
              <w:t>$’</w:t>
            </w:r>
            <w:r w:rsidR="00E62408">
              <w:rPr>
                <w:rFonts w:ascii="Arial" w:hAnsi="Arial" w:cs="Arial"/>
                <w:b/>
                <w:sz w:val="20"/>
                <w:szCs w:val="20"/>
              </w:rPr>
              <w:t>000</w:t>
            </w:r>
          </w:p>
        </w:tc>
      </w:tr>
      <w:tr w:rsidR="00E62408" w:rsidRPr="00DE475B" w:rsidTr="00E62408">
        <w:trPr>
          <w:trHeight w:val="284"/>
        </w:trPr>
        <w:tc>
          <w:tcPr>
            <w:tcW w:w="4786" w:type="dxa"/>
            <w:tcBorders>
              <w:bottom w:val="single" w:sz="6" w:space="0" w:color="000000"/>
            </w:tcBorders>
            <w:vAlign w:val="center"/>
          </w:tcPr>
          <w:p w:rsidR="00E62408" w:rsidRPr="00A86BD6" w:rsidRDefault="00E62408" w:rsidP="00E62408">
            <w:pPr>
              <w:rPr>
                <w:rFonts w:ascii="Arial" w:hAnsi="Arial" w:cs="Arial"/>
                <w:sz w:val="20"/>
                <w:szCs w:val="20"/>
                <w:lang w:eastAsia="en-AU"/>
              </w:rPr>
            </w:pPr>
            <w:r w:rsidRPr="00A86BD6">
              <w:rPr>
                <w:rFonts w:ascii="Arial" w:hAnsi="Arial" w:cs="Arial"/>
                <w:sz w:val="20"/>
                <w:szCs w:val="20"/>
                <w:lang w:eastAsia="en-AU"/>
              </w:rPr>
              <w:t>Total Income from Continuing Operations</w:t>
            </w:r>
          </w:p>
        </w:tc>
        <w:tc>
          <w:tcPr>
            <w:tcW w:w="1843" w:type="dxa"/>
            <w:tcBorders>
              <w:bottom w:val="single" w:sz="6" w:space="0" w:color="000000"/>
            </w:tcBorders>
            <w:shd w:val="clear" w:color="auto" w:fill="auto"/>
            <w:vAlign w:val="bottom"/>
          </w:tcPr>
          <w:p w:rsidR="00E62408" w:rsidRPr="00A86BD6" w:rsidRDefault="00E62408" w:rsidP="003414F7">
            <w:pPr>
              <w:jc w:val="right"/>
              <w:rPr>
                <w:rFonts w:ascii="Arial" w:hAnsi="Arial" w:cs="Arial"/>
                <w:sz w:val="20"/>
                <w:szCs w:val="20"/>
                <w:lang w:eastAsia="en-AU"/>
              </w:rPr>
            </w:pPr>
            <w:r w:rsidRPr="00A86BD6">
              <w:rPr>
                <w:rFonts w:ascii="Arial" w:hAnsi="Arial" w:cs="Arial"/>
                <w:sz w:val="20"/>
                <w:szCs w:val="20"/>
                <w:lang w:eastAsia="en-AU"/>
              </w:rPr>
              <w:t xml:space="preserve">79,926 </w:t>
            </w:r>
          </w:p>
        </w:tc>
        <w:tc>
          <w:tcPr>
            <w:tcW w:w="1842" w:type="dxa"/>
            <w:tcBorders>
              <w:bottom w:val="single" w:sz="6" w:space="0" w:color="000000"/>
            </w:tcBorders>
            <w:shd w:val="clear" w:color="auto" w:fill="auto"/>
            <w:vAlign w:val="bottom"/>
          </w:tcPr>
          <w:p w:rsidR="00E62408" w:rsidRPr="00A86BD6" w:rsidRDefault="00E62408" w:rsidP="003414F7">
            <w:pPr>
              <w:jc w:val="right"/>
              <w:rPr>
                <w:rFonts w:ascii="Arial" w:hAnsi="Arial" w:cs="Arial"/>
                <w:sz w:val="20"/>
                <w:szCs w:val="20"/>
                <w:lang w:eastAsia="en-AU"/>
              </w:rPr>
            </w:pPr>
            <w:r w:rsidRPr="00A86BD6">
              <w:rPr>
                <w:rFonts w:ascii="Arial" w:hAnsi="Arial" w:cs="Arial"/>
                <w:sz w:val="20"/>
                <w:szCs w:val="20"/>
                <w:lang w:eastAsia="en-AU"/>
              </w:rPr>
              <w:t xml:space="preserve">80,322 </w:t>
            </w:r>
          </w:p>
        </w:tc>
      </w:tr>
      <w:tr w:rsidR="00E62408" w:rsidRPr="00DE475B" w:rsidTr="00E62408">
        <w:trPr>
          <w:trHeight w:val="284"/>
        </w:trPr>
        <w:tc>
          <w:tcPr>
            <w:tcW w:w="4786" w:type="dxa"/>
            <w:tcBorders>
              <w:bottom w:val="single" w:sz="6" w:space="0" w:color="000000"/>
            </w:tcBorders>
            <w:vAlign w:val="center"/>
          </w:tcPr>
          <w:p w:rsidR="00E62408" w:rsidRPr="00A86BD6" w:rsidRDefault="00E62408" w:rsidP="00E62408">
            <w:pPr>
              <w:rPr>
                <w:rFonts w:ascii="Arial" w:hAnsi="Arial" w:cs="Arial"/>
                <w:sz w:val="20"/>
                <w:szCs w:val="20"/>
                <w:lang w:eastAsia="en-AU"/>
              </w:rPr>
            </w:pPr>
            <w:r w:rsidRPr="00A86BD6">
              <w:rPr>
                <w:rFonts w:ascii="Arial" w:hAnsi="Arial" w:cs="Arial"/>
                <w:sz w:val="20"/>
                <w:szCs w:val="20"/>
                <w:lang w:eastAsia="en-AU"/>
              </w:rPr>
              <w:t>Total Expenses from Continuing Operations</w:t>
            </w:r>
          </w:p>
        </w:tc>
        <w:tc>
          <w:tcPr>
            <w:tcW w:w="1843" w:type="dxa"/>
            <w:tcBorders>
              <w:bottom w:val="single" w:sz="6" w:space="0" w:color="000000"/>
            </w:tcBorders>
            <w:shd w:val="clear" w:color="auto" w:fill="auto"/>
            <w:vAlign w:val="bottom"/>
          </w:tcPr>
          <w:p w:rsidR="00E62408" w:rsidRPr="00A86BD6" w:rsidRDefault="00E62408" w:rsidP="003414F7">
            <w:pPr>
              <w:jc w:val="right"/>
              <w:rPr>
                <w:rFonts w:ascii="Arial" w:hAnsi="Arial" w:cs="Arial"/>
                <w:sz w:val="20"/>
                <w:szCs w:val="20"/>
                <w:lang w:eastAsia="en-AU"/>
              </w:rPr>
            </w:pPr>
            <w:r w:rsidRPr="00A86BD6">
              <w:rPr>
                <w:rFonts w:ascii="Arial" w:hAnsi="Arial" w:cs="Arial"/>
                <w:sz w:val="20"/>
                <w:szCs w:val="20"/>
                <w:lang w:eastAsia="en-AU"/>
              </w:rPr>
              <w:t xml:space="preserve">76,714 </w:t>
            </w:r>
          </w:p>
        </w:tc>
        <w:tc>
          <w:tcPr>
            <w:tcW w:w="1842" w:type="dxa"/>
            <w:tcBorders>
              <w:bottom w:val="single" w:sz="6" w:space="0" w:color="000000"/>
            </w:tcBorders>
            <w:shd w:val="clear" w:color="auto" w:fill="auto"/>
            <w:vAlign w:val="bottom"/>
          </w:tcPr>
          <w:p w:rsidR="00E62408" w:rsidRPr="00A86BD6" w:rsidRDefault="00E62408" w:rsidP="003414F7">
            <w:pPr>
              <w:jc w:val="right"/>
              <w:rPr>
                <w:rFonts w:ascii="Arial" w:hAnsi="Arial" w:cs="Arial"/>
                <w:sz w:val="20"/>
                <w:szCs w:val="20"/>
                <w:lang w:eastAsia="en-AU"/>
              </w:rPr>
            </w:pPr>
            <w:r w:rsidRPr="00A86BD6">
              <w:rPr>
                <w:rFonts w:ascii="Arial" w:hAnsi="Arial" w:cs="Arial"/>
                <w:sz w:val="20"/>
                <w:szCs w:val="20"/>
                <w:lang w:eastAsia="en-AU"/>
              </w:rPr>
              <w:t xml:space="preserve">77,861 </w:t>
            </w:r>
          </w:p>
        </w:tc>
      </w:tr>
      <w:tr w:rsidR="00E62408" w:rsidRPr="00DE475B" w:rsidTr="00E62408">
        <w:trPr>
          <w:trHeight w:val="284"/>
        </w:trPr>
        <w:tc>
          <w:tcPr>
            <w:tcW w:w="4786" w:type="dxa"/>
            <w:tcBorders>
              <w:bottom w:val="single" w:sz="6" w:space="0" w:color="000000"/>
            </w:tcBorders>
            <w:vAlign w:val="center"/>
          </w:tcPr>
          <w:p w:rsidR="00E62408" w:rsidRPr="00A86BD6" w:rsidRDefault="00E62408" w:rsidP="00E62408">
            <w:pPr>
              <w:rPr>
                <w:rFonts w:ascii="Arial" w:hAnsi="Arial" w:cs="Arial"/>
                <w:b/>
                <w:bCs/>
                <w:sz w:val="20"/>
                <w:szCs w:val="20"/>
                <w:lang w:eastAsia="en-AU"/>
              </w:rPr>
            </w:pPr>
            <w:r w:rsidRPr="00A86BD6">
              <w:rPr>
                <w:rFonts w:ascii="Arial" w:hAnsi="Arial" w:cs="Arial"/>
                <w:b/>
                <w:bCs/>
                <w:sz w:val="20"/>
                <w:szCs w:val="20"/>
                <w:lang w:eastAsia="en-AU"/>
              </w:rPr>
              <w:t>Operating Result from Continuing Operations</w:t>
            </w:r>
          </w:p>
        </w:tc>
        <w:tc>
          <w:tcPr>
            <w:tcW w:w="1843" w:type="dxa"/>
            <w:tcBorders>
              <w:bottom w:val="single" w:sz="6" w:space="0" w:color="000000"/>
            </w:tcBorders>
            <w:shd w:val="clear" w:color="auto" w:fill="auto"/>
            <w:vAlign w:val="bottom"/>
          </w:tcPr>
          <w:p w:rsidR="00E62408" w:rsidRPr="00A86BD6" w:rsidRDefault="00E62408" w:rsidP="003414F7">
            <w:pPr>
              <w:jc w:val="right"/>
              <w:rPr>
                <w:rFonts w:ascii="Arial" w:hAnsi="Arial" w:cs="Arial"/>
                <w:b/>
                <w:bCs/>
                <w:sz w:val="20"/>
                <w:szCs w:val="20"/>
                <w:lang w:eastAsia="en-AU"/>
              </w:rPr>
            </w:pPr>
            <w:r w:rsidRPr="00A86BD6">
              <w:rPr>
                <w:rFonts w:ascii="Arial" w:hAnsi="Arial" w:cs="Arial"/>
                <w:b/>
                <w:bCs/>
                <w:sz w:val="20"/>
                <w:szCs w:val="20"/>
                <w:lang w:eastAsia="en-AU"/>
              </w:rPr>
              <w:t xml:space="preserve">3,212 </w:t>
            </w:r>
          </w:p>
        </w:tc>
        <w:tc>
          <w:tcPr>
            <w:tcW w:w="1842" w:type="dxa"/>
            <w:tcBorders>
              <w:bottom w:val="single" w:sz="6" w:space="0" w:color="000000"/>
            </w:tcBorders>
            <w:shd w:val="clear" w:color="auto" w:fill="auto"/>
            <w:vAlign w:val="bottom"/>
          </w:tcPr>
          <w:p w:rsidR="00E62408" w:rsidRPr="00A86BD6" w:rsidRDefault="00E62408" w:rsidP="003414F7">
            <w:pPr>
              <w:jc w:val="right"/>
              <w:rPr>
                <w:rFonts w:ascii="Arial" w:hAnsi="Arial" w:cs="Arial"/>
                <w:b/>
                <w:bCs/>
                <w:sz w:val="20"/>
                <w:szCs w:val="20"/>
                <w:lang w:eastAsia="en-AU"/>
              </w:rPr>
            </w:pPr>
            <w:r w:rsidRPr="00A86BD6">
              <w:rPr>
                <w:rFonts w:ascii="Arial" w:hAnsi="Arial" w:cs="Arial"/>
                <w:b/>
                <w:bCs/>
                <w:sz w:val="20"/>
                <w:szCs w:val="20"/>
                <w:lang w:eastAsia="en-AU"/>
              </w:rPr>
              <w:t xml:space="preserve">2,461 </w:t>
            </w:r>
          </w:p>
        </w:tc>
      </w:tr>
      <w:tr w:rsidR="00E62408" w:rsidRPr="00DE475B" w:rsidTr="00E62408">
        <w:trPr>
          <w:trHeight w:val="284"/>
        </w:trPr>
        <w:tc>
          <w:tcPr>
            <w:tcW w:w="4786" w:type="dxa"/>
            <w:tcBorders>
              <w:top w:val="single" w:sz="6" w:space="0" w:color="000000"/>
              <w:bottom w:val="single" w:sz="6" w:space="0" w:color="000000"/>
            </w:tcBorders>
            <w:vAlign w:val="center"/>
          </w:tcPr>
          <w:p w:rsidR="00E62408" w:rsidRPr="00740999" w:rsidRDefault="00E62408" w:rsidP="00E62408">
            <w:pPr>
              <w:rPr>
                <w:rFonts w:ascii="Arial" w:hAnsi="Arial" w:cs="Arial"/>
                <w:sz w:val="20"/>
                <w:szCs w:val="20"/>
                <w:lang w:eastAsia="en-AU"/>
              </w:rPr>
            </w:pPr>
            <w:r w:rsidRPr="00740999">
              <w:rPr>
                <w:rFonts w:ascii="Arial" w:hAnsi="Arial" w:cs="Arial"/>
                <w:sz w:val="20"/>
                <w:szCs w:val="20"/>
                <w:lang w:eastAsia="en-AU"/>
              </w:rPr>
              <w:t>Increase in Asset Revaluation Reserve</w:t>
            </w:r>
          </w:p>
        </w:tc>
        <w:tc>
          <w:tcPr>
            <w:tcW w:w="1843" w:type="dxa"/>
            <w:tcBorders>
              <w:top w:val="single" w:sz="6" w:space="0" w:color="000000"/>
              <w:bottom w:val="single" w:sz="6" w:space="0" w:color="000000"/>
            </w:tcBorders>
            <w:shd w:val="clear" w:color="auto" w:fill="auto"/>
            <w:vAlign w:val="bottom"/>
          </w:tcPr>
          <w:p w:rsidR="00E62408" w:rsidRPr="00A86BD6" w:rsidRDefault="00E62408" w:rsidP="003414F7">
            <w:pPr>
              <w:jc w:val="right"/>
              <w:rPr>
                <w:rFonts w:ascii="Arial" w:hAnsi="Arial" w:cs="Arial"/>
                <w:sz w:val="20"/>
                <w:szCs w:val="20"/>
                <w:lang w:eastAsia="en-AU"/>
              </w:rPr>
            </w:pPr>
            <w:r w:rsidRPr="00A86BD6">
              <w:rPr>
                <w:rFonts w:ascii="Arial" w:hAnsi="Arial" w:cs="Arial"/>
                <w:sz w:val="20"/>
                <w:szCs w:val="20"/>
                <w:lang w:eastAsia="en-AU"/>
              </w:rPr>
              <w:t xml:space="preserve">16,373 </w:t>
            </w:r>
          </w:p>
        </w:tc>
        <w:tc>
          <w:tcPr>
            <w:tcW w:w="1842" w:type="dxa"/>
            <w:tcBorders>
              <w:top w:val="single" w:sz="6" w:space="0" w:color="000000"/>
              <w:bottom w:val="single" w:sz="6" w:space="0" w:color="000000"/>
            </w:tcBorders>
            <w:shd w:val="clear" w:color="auto" w:fill="auto"/>
            <w:vAlign w:val="bottom"/>
          </w:tcPr>
          <w:p w:rsidR="00E62408" w:rsidRPr="00A86BD6" w:rsidRDefault="00E62408" w:rsidP="003414F7">
            <w:pPr>
              <w:jc w:val="right"/>
              <w:rPr>
                <w:rFonts w:ascii="Arial" w:hAnsi="Arial" w:cs="Arial"/>
                <w:sz w:val="20"/>
                <w:szCs w:val="20"/>
                <w:lang w:eastAsia="en-AU"/>
              </w:rPr>
            </w:pPr>
            <w:r w:rsidRPr="00A86BD6">
              <w:rPr>
                <w:rFonts w:ascii="Arial" w:hAnsi="Arial" w:cs="Arial"/>
                <w:sz w:val="20"/>
                <w:szCs w:val="20"/>
                <w:lang w:eastAsia="en-AU"/>
              </w:rPr>
              <w:t>(653)</w:t>
            </w:r>
          </w:p>
        </w:tc>
      </w:tr>
      <w:tr w:rsidR="00E62408" w:rsidRPr="00DE475B" w:rsidTr="00E62408">
        <w:trPr>
          <w:trHeight w:val="284"/>
        </w:trPr>
        <w:tc>
          <w:tcPr>
            <w:tcW w:w="4786" w:type="dxa"/>
            <w:tcBorders>
              <w:top w:val="single" w:sz="6" w:space="0" w:color="000000"/>
              <w:bottom w:val="single" w:sz="6" w:space="0" w:color="000000"/>
            </w:tcBorders>
            <w:vAlign w:val="center"/>
          </w:tcPr>
          <w:p w:rsidR="00E62408" w:rsidRPr="00A86BD6" w:rsidRDefault="00E62408" w:rsidP="00E62408">
            <w:pPr>
              <w:rPr>
                <w:rFonts w:ascii="Arial" w:hAnsi="Arial" w:cs="Arial"/>
                <w:b/>
                <w:bCs/>
                <w:sz w:val="20"/>
                <w:szCs w:val="20"/>
                <w:lang w:eastAsia="en-AU"/>
              </w:rPr>
            </w:pPr>
            <w:r w:rsidRPr="00A86BD6">
              <w:rPr>
                <w:rFonts w:ascii="Arial" w:hAnsi="Arial" w:cs="Arial"/>
                <w:b/>
                <w:bCs/>
                <w:sz w:val="20"/>
                <w:szCs w:val="20"/>
                <w:lang w:eastAsia="en-AU"/>
              </w:rPr>
              <w:t>Total Comprehensive Income</w:t>
            </w:r>
          </w:p>
        </w:tc>
        <w:tc>
          <w:tcPr>
            <w:tcW w:w="1843" w:type="dxa"/>
            <w:tcBorders>
              <w:top w:val="single" w:sz="6" w:space="0" w:color="000000"/>
              <w:bottom w:val="single" w:sz="6" w:space="0" w:color="000000"/>
            </w:tcBorders>
            <w:shd w:val="clear" w:color="auto" w:fill="auto"/>
            <w:vAlign w:val="bottom"/>
          </w:tcPr>
          <w:p w:rsidR="00E62408" w:rsidRPr="00A86BD6" w:rsidRDefault="00E62408" w:rsidP="003414F7">
            <w:pPr>
              <w:jc w:val="right"/>
              <w:rPr>
                <w:rFonts w:ascii="Arial" w:hAnsi="Arial" w:cs="Arial"/>
                <w:b/>
                <w:bCs/>
                <w:sz w:val="20"/>
                <w:szCs w:val="20"/>
                <w:lang w:eastAsia="en-AU"/>
              </w:rPr>
            </w:pPr>
            <w:r w:rsidRPr="00A86BD6">
              <w:rPr>
                <w:rFonts w:ascii="Arial" w:hAnsi="Arial" w:cs="Arial"/>
                <w:b/>
                <w:bCs/>
                <w:sz w:val="20"/>
                <w:szCs w:val="20"/>
                <w:lang w:eastAsia="en-AU"/>
              </w:rPr>
              <w:t xml:space="preserve">19,585 </w:t>
            </w:r>
          </w:p>
        </w:tc>
        <w:tc>
          <w:tcPr>
            <w:tcW w:w="1842" w:type="dxa"/>
            <w:tcBorders>
              <w:top w:val="single" w:sz="6" w:space="0" w:color="000000"/>
              <w:bottom w:val="single" w:sz="6" w:space="0" w:color="000000"/>
            </w:tcBorders>
            <w:shd w:val="clear" w:color="auto" w:fill="auto"/>
            <w:vAlign w:val="bottom"/>
          </w:tcPr>
          <w:p w:rsidR="00E62408" w:rsidRPr="00A86BD6" w:rsidRDefault="00E62408" w:rsidP="003414F7">
            <w:pPr>
              <w:jc w:val="right"/>
              <w:rPr>
                <w:rFonts w:ascii="Arial" w:hAnsi="Arial" w:cs="Arial"/>
                <w:b/>
                <w:bCs/>
                <w:sz w:val="20"/>
                <w:szCs w:val="20"/>
                <w:lang w:eastAsia="en-AU"/>
              </w:rPr>
            </w:pPr>
            <w:r w:rsidRPr="00A86BD6">
              <w:rPr>
                <w:rFonts w:ascii="Arial" w:hAnsi="Arial" w:cs="Arial"/>
                <w:b/>
                <w:bCs/>
                <w:sz w:val="20"/>
                <w:szCs w:val="20"/>
                <w:lang w:eastAsia="en-AU"/>
              </w:rPr>
              <w:t xml:space="preserve">1,808 </w:t>
            </w:r>
          </w:p>
        </w:tc>
      </w:tr>
    </w:tbl>
    <w:p w:rsidR="00E62408" w:rsidRDefault="00E62408" w:rsidP="00B276A8">
      <w:pPr>
        <w:pStyle w:val="ARHeading1"/>
        <w:spacing w:after="120"/>
        <w:rPr>
          <w:rFonts w:eastAsia="Batang"/>
          <w:bCs/>
          <w:spacing w:val="-2"/>
          <w:kern w:val="20"/>
          <w:sz w:val="20"/>
          <w:szCs w:val="22"/>
        </w:rPr>
      </w:pPr>
    </w:p>
    <w:p w:rsidR="00E62408" w:rsidRPr="002A40BA" w:rsidRDefault="00E62408" w:rsidP="00E62408">
      <w:pPr>
        <w:pStyle w:val="ARHeading1"/>
        <w:rPr>
          <w:b/>
          <w:sz w:val="20"/>
          <w:szCs w:val="20"/>
        </w:rPr>
      </w:pPr>
      <w:r w:rsidRPr="002A40BA">
        <w:rPr>
          <w:b/>
          <w:sz w:val="20"/>
          <w:szCs w:val="20"/>
        </w:rPr>
        <w:t>Income</w:t>
      </w:r>
    </w:p>
    <w:p w:rsidR="00E62408" w:rsidRPr="002A40BA" w:rsidRDefault="00E62408" w:rsidP="002A40BA">
      <w:pPr>
        <w:pStyle w:val="ARHeading1"/>
        <w:rPr>
          <w:rFonts w:eastAsia="Batang"/>
          <w:bCs/>
          <w:kern w:val="20"/>
          <w:sz w:val="20"/>
          <w:szCs w:val="22"/>
        </w:rPr>
      </w:pPr>
      <w:r w:rsidRPr="002A40BA">
        <w:rPr>
          <w:rFonts w:eastAsia="Batang"/>
          <w:bCs/>
          <w:kern w:val="20"/>
          <w:sz w:val="20"/>
          <w:szCs w:val="22"/>
        </w:rPr>
        <w:t>Government grants comprise a significant component of the Library Board’s income ($62.8M) in 2016–17 with the next largest contributor being the benefit received free of charge for building rental ($7.2M). Other sources of income include user charges ($4.4M), donations and sponsorships ($2.4M), other non-cash contributions ($2.4M) and interest on funds invested ($0.7M)</w:t>
      </w:r>
      <w:r w:rsidR="003414F7" w:rsidRPr="002A40BA">
        <w:rPr>
          <w:rFonts w:eastAsia="Batang"/>
          <w:bCs/>
          <w:kern w:val="20"/>
          <w:sz w:val="20"/>
          <w:szCs w:val="22"/>
        </w:rPr>
        <w:t>.</w:t>
      </w:r>
    </w:p>
    <w:p w:rsidR="00E62408" w:rsidRDefault="003414F7" w:rsidP="00B276A8">
      <w:pPr>
        <w:pStyle w:val="ARHeading1"/>
        <w:spacing w:after="120"/>
        <w:rPr>
          <w:rFonts w:eastAsia="Batang"/>
          <w:bCs/>
          <w:spacing w:val="-2"/>
          <w:kern w:val="20"/>
          <w:sz w:val="20"/>
          <w:szCs w:val="22"/>
        </w:rPr>
      </w:pPr>
      <w:r>
        <w:rPr>
          <w:noProof/>
          <w:lang w:eastAsia="en-AU"/>
        </w:rPr>
        <w:drawing>
          <wp:inline distT="0" distB="0" distL="0" distR="0" wp14:anchorId="31AEB6AE" wp14:editId="16A2FAB8">
            <wp:extent cx="5510254" cy="2568272"/>
            <wp:effectExtent l="0" t="0" r="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E6108" w:rsidRDefault="00FE6108" w:rsidP="00E62408">
      <w:pPr>
        <w:pStyle w:val="ARHeading1"/>
        <w:rPr>
          <w:b/>
          <w:sz w:val="20"/>
          <w:szCs w:val="20"/>
        </w:rPr>
      </w:pPr>
    </w:p>
    <w:p w:rsidR="00FE6108" w:rsidRDefault="00FE6108" w:rsidP="00E62408">
      <w:pPr>
        <w:pStyle w:val="ARHeading1"/>
        <w:rPr>
          <w:b/>
          <w:sz w:val="20"/>
          <w:szCs w:val="20"/>
        </w:rPr>
      </w:pPr>
    </w:p>
    <w:p w:rsidR="00FE6108" w:rsidRDefault="00FE6108" w:rsidP="00E62408">
      <w:pPr>
        <w:pStyle w:val="ARHeading1"/>
        <w:rPr>
          <w:b/>
          <w:sz w:val="20"/>
          <w:szCs w:val="20"/>
        </w:rPr>
      </w:pPr>
    </w:p>
    <w:p w:rsidR="00FE6108" w:rsidRDefault="00FE6108" w:rsidP="00E62408">
      <w:pPr>
        <w:pStyle w:val="ARHeading1"/>
        <w:rPr>
          <w:b/>
          <w:sz w:val="20"/>
          <w:szCs w:val="20"/>
        </w:rPr>
      </w:pPr>
    </w:p>
    <w:p w:rsidR="00FE6108" w:rsidRDefault="00FE6108" w:rsidP="00E62408">
      <w:pPr>
        <w:pStyle w:val="ARHeading1"/>
        <w:rPr>
          <w:b/>
          <w:sz w:val="20"/>
          <w:szCs w:val="20"/>
        </w:rPr>
      </w:pPr>
    </w:p>
    <w:p w:rsidR="00FE6108" w:rsidRDefault="00FE6108" w:rsidP="00E62408">
      <w:pPr>
        <w:pStyle w:val="ARHeading1"/>
        <w:rPr>
          <w:b/>
          <w:sz w:val="20"/>
          <w:szCs w:val="20"/>
        </w:rPr>
      </w:pPr>
    </w:p>
    <w:p w:rsidR="00FE6108" w:rsidRDefault="00FE6108" w:rsidP="00E62408">
      <w:pPr>
        <w:pStyle w:val="ARHeading1"/>
        <w:rPr>
          <w:b/>
          <w:sz w:val="20"/>
          <w:szCs w:val="20"/>
        </w:rPr>
      </w:pPr>
    </w:p>
    <w:p w:rsidR="00FE6108" w:rsidRDefault="00FE6108" w:rsidP="00E62408">
      <w:pPr>
        <w:pStyle w:val="ARHeading1"/>
        <w:rPr>
          <w:b/>
          <w:sz w:val="20"/>
          <w:szCs w:val="20"/>
        </w:rPr>
      </w:pPr>
    </w:p>
    <w:p w:rsidR="00FE6108" w:rsidRDefault="00FE6108" w:rsidP="00E62408">
      <w:pPr>
        <w:pStyle w:val="ARHeading1"/>
        <w:rPr>
          <w:b/>
          <w:sz w:val="20"/>
          <w:szCs w:val="20"/>
        </w:rPr>
      </w:pPr>
    </w:p>
    <w:p w:rsidR="00FE6108" w:rsidRDefault="00FE6108" w:rsidP="00E62408">
      <w:pPr>
        <w:pStyle w:val="ARHeading1"/>
        <w:rPr>
          <w:b/>
          <w:sz w:val="20"/>
          <w:szCs w:val="20"/>
        </w:rPr>
      </w:pPr>
    </w:p>
    <w:p w:rsidR="00E62408" w:rsidRPr="002A40BA" w:rsidRDefault="00E62408" w:rsidP="00E62408">
      <w:pPr>
        <w:pStyle w:val="ARHeading1"/>
        <w:rPr>
          <w:b/>
          <w:sz w:val="20"/>
          <w:szCs w:val="20"/>
        </w:rPr>
      </w:pPr>
      <w:r w:rsidRPr="002A40BA">
        <w:rPr>
          <w:b/>
          <w:sz w:val="20"/>
          <w:szCs w:val="20"/>
        </w:rPr>
        <w:lastRenderedPageBreak/>
        <w:t>Expenses</w:t>
      </w:r>
    </w:p>
    <w:p w:rsidR="00E62408" w:rsidRPr="002A40BA" w:rsidRDefault="00E62408" w:rsidP="00FE6108">
      <w:pPr>
        <w:pStyle w:val="ARHeading1"/>
        <w:rPr>
          <w:rFonts w:eastAsia="Batang"/>
          <w:bCs/>
          <w:kern w:val="20"/>
          <w:sz w:val="20"/>
          <w:szCs w:val="22"/>
        </w:rPr>
      </w:pPr>
      <w:r w:rsidRPr="002A40BA">
        <w:rPr>
          <w:rFonts w:eastAsia="Batang"/>
          <w:bCs/>
          <w:kern w:val="20"/>
          <w:sz w:val="20"/>
          <w:szCs w:val="22"/>
        </w:rPr>
        <w:t>Expenses for the Library Board were $76.714M in 2016–17. The largest component is salaries (36%), with grants (33%), supplies and services (19%), non-cash costs (11%) and other expenses (1%) completing the total. The grants paid to public libraries include additional funding from the First 5 Forever family literacy initiative.</w:t>
      </w:r>
    </w:p>
    <w:p w:rsidR="00BC249D" w:rsidRDefault="00BC249D" w:rsidP="00B276A8">
      <w:pPr>
        <w:pStyle w:val="ARHeading1"/>
        <w:spacing w:after="120"/>
        <w:rPr>
          <w:rFonts w:eastAsia="Batang"/>
          <w:bCs/>
          <w:spacing w:val="-2"/>
          <w:kern w:val="20"/>
          <w:sz w:val="20"/>
          <w:szCs w:val="22"/>
        </w:rPr>
      </w:pPr>
      <w:r>
        <w:rPr>
          <w:noProof/>
          <w:lang w:eastAsia="en-AU"/>
        </w:rPr>
        <w:drawing>
          <wp:inline distT="0" distB="0" distL="0" distR="0" wp14:anchorId="05791F97" wp14:editId="12BDA6EB">
            <wp:extent cx="5200650" cy="33623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62408" w:rsidRPr="002A40BA" w:rsidRDefault="00E62408" w:rsidP="003414F7">
      <w:pPr>
        <w:pStyle w:val="ARheading3"/>
        <w:tabs>
          <w:tab w:val="left" w:pos="851"/>
        </w:tabs>
        <w:spacing w:after="120"/>
        <w:rPr>
          <w:color w:val="808080"/>
        </w:rPr>
      </w:pPr>
      <w:r w:rsidRPr="002A40BA">
        <w:rPr>
          <w:color w:val="808080"/>
        </w:rPr>
        <w:t>Operating Result from Continuing Operations</w:t>
      </w:r>
    </w:p>
    <w:p w:rsidR="00E62408" w:rsidRPr="002A40BA" w:rsidRDefault="00E62408" w:rsidP="00FE6108">
      <w:pPr>
        <w:pStyle w:val="ARHeading1"/>
        <w:spacing w:after="200"/>
        <w:rPr>
          <w:rFonts w:eastAsia="Batang"/>
          <w:bCs/>
          <w:kern w:val="20"/>
          <w:sz w:val="20"/>
          <w:szCs w:val="22"/>
        </w:rPr>
      </w:pPr>
      <w:r w:rsidRPr="002A40BA">
        <w:rPr>
          <w:rFonts w:eastAsia="Batang"/>
          <w:bCs/>
          <w:kern w:val="20"/>
          <w:sz w:val="20"/>
          <w:szCs w:val="22"/>
        </w:rPr>
        <w:t>The Statement of Comprehensive Income from Continuing Operations shows a $3.2M surplus for the Economic Entity. Of this, $3.0M is the Library Board’s operating result and $0.2M is the</w:t>
      </w:r>
      <w:r w:rsidR="002A40BA" w:rsidRPr="002A40BA">
        <w:rPr>
          <w:rFonts w:eastAsia="Batang"/>
          <w:bCs/>
          <w:kern w:val="20"/>
          <w:sz w:val="20"/>
          <w:szCs w:val="22"/>
        </w:rPr>
        <w:t xml:space="preserve"> Foundation’s operating result.</w:t>
      </w:r>
      <w:r w:rsidRPr="002A40BA">
        <w:rPr>
          <w:rFonts w:eastAsia="Batang"/>
          <w:bCs/>
          <w:kern w:val="20"/>
          <w:sz w:val="20"/>
          <w:szCs w:val="22"/>
        </w:rPr>
        <w:t xml:space="preserve"> The Library Board’s surplus represents the value of funds applied to asset (collection) </w:t>
      </w:r>
      <w:r w:rsidR="00972564">
        <w:rPr>
          <w:rFonts w:eastAsia="Batang"/>
          <w:bCs/>
          <w:kern w:val="20"/>
          <w:sz w:val="20"/>
          <w:szCs w:val="22"/>
        </w:rPr>
        <w:t>additions</w:t>
      </w:r>
      <w:r w:rsidRPr="002A40BA">
        <w:rPr>
          <w:rFonts w:eastAsia="Batang"/>
          <w:bCs/>
          <w:kern w:val="20"/>
          <w:sz w:val="20"/>
          <w:szCs w:val="22"/>
        </w:rPr>
        <w:t xml:space="preserve"> ($2.0M) as well delays to projects funded in 2016</w:t>
      </w:r>
      <w:r w:rsidR="006A310E" w:rsidRPr="002A40BA">
        <w:rPr>
          <w:rFonts w:eastAsia="Batang"/>
          <w:bCs/>
          <w:kern w:val="20"/>
          <w:sz w:val="20"/>
          <w:szCs w:val="22"/>
        </w:rPr>
        <w:t>–</w:t>
      </w:r>
      <w:r w:rsidRPr="002A40BA">
        <w:rPr>
          <w:rFonts w:eastAsia="Batang"/>
          <w:bCs/>
          <w:kern w:val="20"/>
          <w:sz w:val="20"/>
          <w:szCs w:val="22"/>
        </w:rPr>
        <w:t xml:space="preserve">17 </w:t>
      </w:r>
      <w:r w:rsidR="006A310E" w:rsidRPr="002A40BA">
        <w:rPr>
          <w:rFonts w:eastAsia="Batang"/>
          <w:bCs/>
          <w:kern w:val="20"/>
          <w:sz w:val="20"/>
          <w:szCs w:val="22"/>
        </w:rPr>
        <w:t>which will be completed in 2017–</w:t>
      </w:r>
      <w:r w:rsidRPr="002A40BA">
        <w:rPr>
          <w:rFonts w:eastAsia="Batang"/>
          <w:bCs/>
          <w:kern w:val="20"/>
          <w:sz w:val="20"/>
          <w:szCs w:val="22"/>
        </w:rPr>
        <w:t xml:space="preserve">18. </w:t>
      </w:r>
    </w:p>
    <w:p w:rsidR="00E62408" w:rsidRPr="002A40BA" w:rsidRDefault="00E62408" w:rsidP="003414F7">
      <w:pPr>
        <w:pStyle w:val="ARheading3"/>
        <w:tabs>
          <w:tab w:val="left" w:pos="851"/>
        </w:tabs>
        <w:spacing w:after="120"/>
        <w:rPr>
          <w:color w:val="808080"/>
        </w:rPr>
      </w:pPr>
      <w:r w:rsidRPr="002A40BA">
        <w:rPr>
          <w:color w:val="808080"/>
        </w:rPr>
        <w:t xml:space="preserve">Other Comprehensive Income </w:t>
      </w:r>
      <w:r w:rsidR="00972564">
        <w:rPr>
          <w:color w:val="808080"/>
        </w:rPr>
        <w:t>—</w:t>
      </w:r>
      <w:r w:rsidRPr="002A40BA">
        <w:rPr>
          <w:color w:val="808080"/>
        </w:rPr>
        <w:t xml:space="preserve"> increase in asset revaluation reserve</w:t>
      </w:r>
    </w:p>
    <w:p w:rsidR="00E62408" w:rsidRPr="002A40BA" w:rsidRDefault="00E62408" w:rsidP="00FE6108">
      <w:pPr>
        <w:pStyle w:val="ARHeading1"/>
        <w:spacing w:after="200"/>
        <w:rPr>
          <w:rFonts w:eastAsia="Batang"/>
          <w:bCs/>
          <w:kern w:val="20"/>
          <w:sz w:val="20"/>
          <w:szCs w:val="22"/>
        </w:rPr>
      </w:pPr>
      <w:r w:rsidRPr="002A40BA">
        <w:rPr>
          <w:rFonts w:eastAsia="Batang"/>
          <w:bCs/>
          <w:kern w:val="20"/>
          <w:sz w:val="20"/>
          <w:szCs w:val="22"/>
        </w:rPr>
        <w:t>The total comprehensive income for the Economic Income of $19.585M is principally due to an increase of $16.373M in the asset revaluation surplus as a result of the independent revaluation of the Library Board’s Heritage</w:t>
      </w:r>
      <w:r w:rsidR="006A310E" w:rsidRPr="002A40BA">
        <w:rPr>
          <w:rFonts w:eastAsia="Batang"/>
          <w:bCs/>
          <w:kern w:val="20"/>
          <w:sz w:val="20"/>
          <w:szCs w:val="22"/>
        </w:rPr>
        <w:t xml:space="preserve"> Collections undertaken in 2016–</w:t>
      </w:r>
      <w:r w:rsidRPr="002A40BA">
        <w:rPr>
          <w:rFonts w:eastAsia="Batang"/>
          <w:bCs/>
          <w:kern w:val="20"/>
          <w:sz w:val="20"/>
          <w:szCs w:val="22"/>
        </w:rPr>
        <w:t>17. Much of this increase is due to a revision in accounting estimates whereby the fair value of microfilm assets was more accurately represented by valuing the number of rolls of film rather than the titles.</w:t>
      </w:r>
      <w:r w:rsidR="00FE6108" w:rsidRPr="002A40BA">
        <w:rPr>
          <w:rFonts w:eastAsia="Batang"/>
          <w:bCs/>
          <w:kern w:val="20"/>
          <w:sz w:val="20"/>
          <w:szCs w:val="22"/>
        </w:rPr>
        <w:t xml:space="preserve">  </w:t>
      </w:r>
    </w:p>
    <w:p w:rsidR="00E62408" w:rsidRPr="002A40BA" w:rsidRDefault="00E62408" w:rsidP="003414F7">
      <w:pPr>
        <w:pStyle w:val="ARheading3"/>
        <w:tabs>
          <w:tab w:val="left" w:pos="851"/>
        </w:tabs>
        <w:spacing w:after="120"/>
        <w:rPr>
          <w:color w:val="808080"/>
        </w:rPr>
      </w:pPr>
      <w:r w:rsidRPr="002A40BA">
        <w:rPr>
          <w:color w:val="808080"/>
        </w:rPr>
        <w:t>Statement of Financial Position</w:t>
      </w:r>
    </w:p>
    <w:p w:rsidR="00E62408" w:rsidRPr="002A40BA" w:rsidRDefault="00E62408" w:rsidP="00FE6108">
      <w:pPr>
        <w:pStyle w:val="ARHeading1"/>
        <w:spacing w:after="240"/>
        <w:rPr>
          <w:rFonts w:eastAsia="Batang"/>
          <w:bCs/>
          <w:kern w:val="20"/>
          <w:sz w:val="20"/>
          <w:szCs w:val="22"/>
        </w:rPr>
      </w:pPr>
      <w:r w:rsidRPr="002A40BA">
        <w:rPr>
          <w:rFonts w:eastAsia="Batang"/>
          <w:bCs/>
          <w:kern w:val="20"/>
          <w:sz w:val="20"/>
          <w:szCs w:val="22"/>
        </w:rPr>
        <w:t xml:space="preserve">The Statement of Financial Position sets out the net assets and equity of the Library Board. </w:t>
      </w:r>
      <w:proofErr w:type="gramStart"/>
      <w:r w:rsidRPr="002A40BA">
        <w:rPr>
          <w:rFonts w:eastAsia="Batang"/>
          <w:bCs/>
          <w:kern w:val="20"/>
          <w:sz w:val="20"/>
          <w:szCs w:val="22"/>
        </w:rPr>
        <w:t>As at 30 June 2017, the net assets of the Library Board economic entity was $148.4M, an increa</w:t>
      </w:r>
      <w:r w:rsidR="006A310E" w:rsidRPr="002A40BA">
        <w:rPr>
          <w:rFonts w:eastAsia="Batang"/>
          <w:bCs/>
          <w:kern w:val="20"/>
          <w:sz w:val="20"/>
          <w:szCs w:val="22"/>
        </w:rPr>
        <w:t>se of $19.6M (or 15%) over 2015–</w:t>
      </w:r>
      <w:r w:rsidRPr="002A40BA">
        <w:rPr>
          <w:rFonts w:eastAsia="Batang"/>
          <w:bCs/>
          <w:kern w:val="20"/>
          <w:sz w:val="20"/>
          <w:szCs w:val="22"/>
        </w:rPr>
        <w:t>16.</w:t>
      </w:r>
      <w:proofErr w:type="gramEnd"/>
      <w:r w:rsidRPr="002A40BA">
        <w:rPr>
          <w:rFonts w:eastAsia="Batang"/>
          <w:bCs/>
          <w:kern w:val="20"/>
          <w:sz w:val="20"/>
          <w:szCs w:val="22"/>
        </w:rPr>
        <w:t xml:space="preserve"> This increase is principally the result of collection purchases and donations; work performed by staff, volunteers and the National Library of Australia on digitising content from our heritage collection; and the 2017 independent valuation.</w:t>
      </w:r>
    </w:p>
    <w:p w:rsidR="00E62408" w:rsidRPr="002A40BA" w:rsidRDefault="00E62408" w:rsidP="003414F7">
      <w:pPr>
        <w:pStyle w:val="ARheading3"/>
        <w:tabs>
          <w:tab w:val="left" w:pos="851"/>
        </w:tabs>
        <w:spacing w:after="120"/>
        <w:rPr>
          <w:color w:val="808080"/>
        </w:rPr>
      </w:pPr>
      <w:r w:rsidRPr="002A40BA">
        <w:rPr>
          <w:color w:val="808080"/>
        </w:rPr>
        <w:t>Financial Governance</w:t>
      </w:r>
    </w:p>
    <w:p w:rsidR="00E62408" w:rsidRPr="002A40BA" w:rsidRDefault="00E62408" w:rsidP="00E62408">
      <w:pPr>
        <w:pStyle w:val="ARHeading1"/>
        <w:spacing w:after="120"/>
        <w:rPr>
          <w:rFonts w:eastAsia="Batang"/>
          <w:bCs/>
          <w:kern w:val="20"/>
          <w:sz w:val="20"/>
          <w:szCs w:val="22"/>
        </w:rPr>
      </w:pPr>
      <w:r w:rsidRPr="002A40BA">
        <w:rPr>
          <w:rFonts w:eastAsia="Batang"/>
          <w:bCs/>
          <w:kern w:val="20"/>
          <w:sz w:val="20"/>
          <w:szCs w:val="22"/>
        </w:rPr>
        <w:t>Financial performance is monitored internally on a monthly basis and reported to the Library Board at their regular meetings. The Library Board's financial performance is monitored externally by the Queensland Audit Office and in 2016–17 this was through its appointment of William Buck</w:t>
      </w:r>
      <w:r w:rsidR="00660C8E">
        <w:rPr>
          <w:rFonts w:eastAsia="Batang"/>
          <w:bCs/>
          <w:kern w:val="20"/>
          <w:sz w:val="20"/>
          <w:szCs w:val="22"/>
        </w:rPr>
        <w:t>,</w:t>
      </w:r>
      <w:r w:rsidRPr="002A40BA">
        <w:rPr>
          <w:rFonts w:eastAsia="Batang"/>
          <w:bCs/>
          <w:kern w:val="20"/>
          <w:sz w:val="20"/>
          <w:szCs w:val="22"/>
        </w:rPr>
        <w:t xml:space="preserve"> who performed the audit of the financial statements.</w:t>
      </w:r>
    </w:p>
    <w:p w:rsidR="00B44ED8" w:rsidRPr="002A40BA" w:rsidRDefault="00E62408" w:rsidP="00FE6108">
      <w:pPr>
        <w:pStyle w:val="ARHeading1"/>
        <w:spacing w:after="120"/>
        <w:rPr>
          <w:rFonts w:eastAsia="Batang"/>
          <w:bCs/>
          <w:kern w:val="20"/>
          <w:sz w:val="20"/>
          <w:szCs w:val="22"/>
        </w:rPr>
      </w:pPr>
      <w:r w:rsidRPr="002A40BA">
        <w:rPr>
          <w:rFonts w:eastAsia="Batang"/>
          <w:bCs/>
          <w:kern w:val="20"/>
          <w:sz w:val="20"/>
          <w:szCs w:val="22"/>
        </w:rPr>
        <w:t xml:space="preserve">The Library Board’s Audit and Risk Management Committee assists the Library Board in meeting its legislative responsibilities under the </w:t>
      </w:r>
      <w:r w:rsidRPr="002A40BA">
        <w:rPr>
          <w:rFonts w:eastAsia="Batang"/>
          <w:bCs/>
          <w:i/>
          <w:kern w:val="20"/>
          <w:sz w:val="20"/>
          <w:szCs w:val="22"/>
        </w:rPr>
        <w:t>Financial Accountability Act 2009</w:t>
      </w:r>
      <w:r w:rsidRPr="002A40BA">
        <w:rPr>
          <w:rFonts w:eastAsia="Batang"/>
          <w:bCs/>
          <w:kern w:val="20"/>
          <w:sz w:val="20"/>
          <w:szCs w:val="22"/>
        </w:rPr>
        <w:t xml:space="preserve">, the </w:t>
      </w:r>
      <w:r w:rsidRPr="002A40BA">
        <w:rPr>
          <w:rFonts w:eastAsia="Batang"/>
          <w:bCs/>
          <w:i/>
          <w:kern w:val="20"/>
          <w:sz w:val="20"/>
          <w:szCs w:val="22"/>
        </w:rPr>
        <w:t>Financial and Performance Management Standard 2</w:t>
      </w:r>
      <w:r w:rsidR="00FE6108" w:rsidRPr="002A40BA">
        <w:rPr>
          <w:rFonts w:eastAsia="Batang"/>
          <w:bCs/>
          <w:i/>
          <w:kern w:val="20"/>
          <w:sz w:val="20"/>
          <w:szCs w:val="22"/>
        </w:rPr>
        <w:t>009</w:t>
      </w:r>
      <w:r w:rsidR="00FE6108" w:rsidRPr="002A40BA">
        <w:rPr>
          <w:rFonts w:eastAsia="Batang"/>
          <w:bCs/>
          <w:kern w:val="20"/>
          <w:sz w:val="20"/>
          <w:szCs w:val="22"/>
        </w:rPr>
        <w:t xml:space="preserve"> and the </w:t>
      </w:r>
      <w:r w:rsidR="00FE6108" w:rsidRPr="002A40BA">
        <w:rPr>
          <w:rFonts w:eastAsia="Batang"/>
          <w:bCs/>
          <w:i/>
          <w:kern w:val="20"/>
          <w:sz w:val="20"/>
          <w:szCs w:val="22"/>
        </w:rPr>
        <w:t>Libraries Act 1988</w:t>
      </w:r>
      <w:r w:rsidR="00FE6108" w:rsidRPr="002A40BA">
        <w:rPr>
          <w:rFonts w:eastAsia="Batang"/>
          <w:bCs/>
          <w:kern w:val="20"/>
          <w:sz w:val="20"/>
          <w:szCs w:val="22"/>
        </w:rPr>
        <w:t>.</w:t>
      </w:r>
    </w:p>
    <w:p w:rsidR="000D591C" w:rsidRPr="00DE475B" w:rsidRDefault="00D346B4">
      <w:pPr>
        <w:pStyle w:val="ARHeading1"/>
        <w:rPr>
          <w:color w:val="808080"/>
        </w:rPr>
      </w:pPr>
      <w:r w:rsidRPr="00DE475B">
        <w:rPr>
          <w:color w:val="808080"/>
        </w:rPr>
        <w:lastRenderedPageBreak/>
        <w:t>Library Board of Queensland</w:t>
      </w:r>
      <w:r w:rsidR="000D591C" w:rsidRPr="00DE475B">
        <w:rPr>
          <w:color w:val="808080"/>
        </w:rPr>
        <w:t xml:space="preserve"> </w:t>
      </w:r>
      <w:r w:rsidR="000D591C" w:rsidRPr="00DE475B">
        <w:rPr>
          <w:color w:val="808080"/>
        </w:rPr>
        <w:br/>
        <w:t>and controlled entities</w:t>
      </w:r>
    </w:p>
    <w:p w:rsidR="00D346B4" w:rsidRPr="00DE475B" w:rsidRDefault="00D346B4">
      <w:pPr>
        <w:pStyle w:val="ARHeading1"/>
      </w:pPr>
    </w:p>
    <w:p w:rsidR="00D346B4" w:rsidRPr="00A01D98" w:rsidRDefault="00D346B4">
      <w:pPr>
        <w:pStyle w:val="ARHeading1"/>
      </w:pPr>
      <w:r w:rsidRPr="00A01D98">
        <w:t>Financial Statements</w:t>
      </w:r>
    </w:p>
    <w:p w:rsidR="00D346B4" w:rsidRPr="00DE475B" w:rsidRDefault="00D346B4">
      <w:pPr>
        <w:pStyle w:val="ARHeading1"/>
        <w:rPr>
          <w:color w:val="808080"/>
        </w:rPr>
      </w:pPr>
      <w:proofErr w:type="gramStart"/>
      <w:r w:rsidRPr="00A01D98">
        <w:t>for</w:t>
      </w:r>
      <w:proofErr w:type="gramEnd"/>
      <w:r w:rsidRPr="00A01D98">
        <w:t xml:space="preserve"> the f</w:t>
      </w:r>
      <w:r w:rsidR="00836F06" w:rsidRPr="00A01D98">
        <w:t>inancial year ended 30 June 201</w:t>
      </w:r>
      <w:r w:rsidR="006A310E" w:rsidRPr="00A01D98">
        <w:t>7</w:t>
      </w:r>
    </w:p>
    <w:p w:rsidR="00D346B4" w:rsidRPr="00DE475B" w:rsidRDefault="00D346B4">
      <w:pPr>
        <w:pStyle w:val="ARHeading1"/>
        <w:rPr>
          <w:color w:val="808080"/>
        </w:rPr>
      </w:pPr>
    </w:p>
    <w:p w:rsidR="00D346B4" w:rsidRPr="00DE475B" w:rsidRDefault="00D346B4">
      <w:pPr>
        <w:pStyle w:val="ARHeading1"/>
        <w:rPr>
          <w:color w:val="808080"/>
        </w:rPr>
      </w:pPr>
    </w:p>
    <w:p w:rsidR="00D346B4" w:rsidRPr="00DE475B" w:rsidRDefault="00D346B4">
      <w:pPr>
        <w:rPr>
          <w:rFonts w:ascii="Arial" w:hAnsi="Arial" w:cs="Arial"/>
          <w:sz w:val="20"/>
          <w:szCs w:val="20"/>
        </w:rPr>
      </w:pPr>
      <w:r w:rsidRPr="00DE475B">
        <w:rPr>
          <w:rFonts w:ascii="Arial" w:hAnsi="Arial" w:cs="Arial"/>
          <w:b/>
          <w:bCs/>
        </w:rPr>
        <w:t>Contents</w:t>
      </w:r>
    </w:p>
    <w:p w:rsidR="00D346B4" w:rsidRPr="00DE475B" w:rsidRDefault="00D346B4">
      <w:pPr>
        <w:rPr>
          <w:rFonts w:ascii="Arial" w:hAnsi="Arial" w:cs="Arial"/>
          <w:sz w:val="20"/>
          <w:szCs w:val="20"/>
        </w:rPr>
      </w:pPr>
    </w:p>
    <w:p w:rsidR="00D346B4" w:rsidRPr="00DE475B" w:rsidRDefault="00D346B4">
      <w:pPr>
        <w:spacing w:after="40"/>
        <w:rPr>
          <w:rFonts w:ascii="Arial" w:hAnsi="Arial" w:cs="Arial"/>
          <w:sz w:val="20"/>
          <w:szCs w:val="20"/>
          <w:highlight w:val="yellow"/>
        </w:rPr>
      </w:pPr>
      <w:r w:rsidRPr="00DE475B">
        <w:rPr>
          <w:rFonts w:ascii="Arial" w:hAnsi="Arial" w:cs="Arial"/>
          <w:sz w:val="20"/>
          <w:szCs w:val="20"/>
        </w:rPr>
        <w:t>Statement</w:t>
      </w:r>
      <w:r w:rsidR="0002237D" w:rsidRPr="00DE475B">
        <w:rPr>
          <w:rFonts w:ascii="Arial" w:hAnsi="Arial" w:cs="Arial"/>
          <w:sz w:val="20"/>
          <w:szCs w:val="20"/>
        </w:rPr>
        <w:t>s</w:t>
      </w:r>
      <w:r w:rsidRPr="00DE475B">
        <w:rPr>
          <w:rFonts w:ascii="Arial" w:hAnsi="Arial" w:cs="Arial"/>
          <w:sz w:val="20"/>
          <w:szCs w:val="20"/>
        </w:rPr>
        <w:t xml:space="preserve"> of Comprehensive Income </w:t>
      </w:r>
      <w:r w:rsidRPr="00DE475B">
        <w:rPr>
          <w:rFonts w:ascii="Arial" w:hAnsi="Arial" w:cs="Arial"/>
          <w:spacing w:val="20"/>
          <w:sz w:val="16"/>
          <w:szCs w:val="16"/>
        </w:rPr>
        <w:t>. . . . . . . . . . . . . . . . . . . . . . . . . . . . . . . . . . .</w:t>
      </w:r>
      <w:r w:rsidRPr="00DE475B">
        <w:rPr>
          <w:rFonts w:ascii="Arial" w:hAnsi="Arial" w:cs="Arial"/>
          <w:spacing w:val="20"/>
          <w:sz w:val="16"/>
          <w:szCs w:val="16"/>
        </w:rPr>
        <w:tab/>
      </w:r>
      <w:r w:rsidR="00E92F32">
        <w:rPr>
          <w:rFonts w:ascii="Arial" w:hAnsi="Arial" w:cs="Arial"/>
          <w:sz w:val="20"/>
          <w:szCs w:val="20"/>
        </w:rPr>
        <w:t>43</w:t>
      </w:r>
    </w:p>
    <w:p w:rsidR="00D346B4" w:rsidRPr="00DE475B" w:rsidRDefault="00D346B4">
      <w:pPr>
        <w:spacing w:after="40"/>
        <w:rPr>
          <w:rFonts w:ascii="Arial" w:hAnsi="Arial" w:cs="Arial"/>
          <w:sz w:val="20"/>
          <w:szCs w:val="20"/>
        </w:rPr>
      </w:pPr>
      <w:r w:rsidRPr="00DE475B">
        <w:rPr>
          <w:rFonts w:ascii="Arial" w:hAnsi="Arial" w:cs="Arial"/>
          <w:sz w:val="20"/>
          <w:szCs w:val="20"/>
        </w:rPr>
        <w:t>Statement</w:t>
      </w:r>
      <w:r w:rsidR="0002237D" w:rsidRPr="00DE475B">
        <w:rPr>
          <w:rFonts w:ascii="Arial" w:hAnsi="Arial" w:cs="Arial"/>
          <w:sz w:val="20"/>
          <w:szCs w:val="20"/>
        </w:rPr>
        <w:t>s</w:t>
      </w:r>
      <w:r w:rsidRPr="00DE475B">
        <w:rPr>
          <w:rFonts w:ascii="Arial" w:hAnsi="Arial" w:cs="Arial"/>
          <w:sz w:val="20"/>
          <w:szCs w:val="20"/>
        </w:rPr>
        <w:t xml:space="preserve"> of Financial Position </w:t>
      </w:r>
      <w:r w:rsidRPr="00DE475B">
        <w:rPr>
          <w:rFonts w:ascii="Arial" w:hAnsi="Arial" w:cs="Arial"/>
          <w:spacing w:val="20"/>
          <w:sz w:val="16"/>
          <w:szCs w:val="16"/>
        </w:rPr>
        <w:t>. . . . . . . . . . . . . . . . . . . . . . . . . . . . . . . . . . . . . . .</w:t>
      </w:r>
      <w:r w:rsidRPr="00DE475B">
        <w:rPr>
          <w:rFonts w:ascii="Arial" w:hAnsi="Arial" w:cs="Arial"/>
          <w:spacing w:val="20"/>
          <w:sz w:val="16"/>
          <w:szCs w:val="16"/>
        </w:rPr>
        <w:tab/>
      </w:r>
      <w:r w:rsidR="00E92F32">
        <w:rPr>
          <w:rFonts w:ascii="Arial" w:hAnsi="Arial" w:cs="Arial"/>
          <w:sz w:val="20"/>
          <w:szCs w:val="20"/>
        </w:rPr>
        <w:t>44</w:t>
      </w:r>
    </w:p>
    <w:p w:rsidR="00D346B4" w:rsidRPr="00DE475B" w:rsidRDefault="00D346B4">
      <w:pPr>
        <w:spacing w:after="40"/>
        <w:rPr>
          <w:rFonts w:ascii="Arial" w:hAnsi="Arial" w:cs="Arial"/>
          <w:sz w:val="20"/>
          <w:szCs w:val="20"/>
        </w:rPr>
      </w:pPr>
      <w:r w:rsidRPr="00DE475B">
        <w:rPr>
          <w:rFonts w:ascii="Arial" w:hAnsi="Arial" w:cs="Arial"/>
          <w:sz w:val="20"/>
          <w:szCs w:val="20"/>
        </w:rPr>
        <w:t>Statement</w:t>
      </w:r>
      <w:r w:rsidR="0002237D" w:rsidRPr="00DE475B">
        <w:rPr>
          <w:rFonts w:ascii="Arial" w:hAnsi="Arial" w:cs="Arial"/>
          <w:sz w:val="20"/>
          <w:szCs w:val="20"/>
        </w:rPr>
        <w:t>s of Changes in Equity</w:t>
      </w:r>
      <w:r w:rsidRPr="00DE475B">
        <w:rPr>
          <w:rFonts w:ascii="Arial" w:hAnsi="Arial" w:cs="Arial"/>
          <w:spacing w:val="20"/>
          <w:sz w:val="16"/>
          <w:szCs w:val="16"/>
        </w:rPr>
        <w:t xml:space="preserve"> . . . . . . . . . . . . . . . . . . . . . . . . . . . . . . . . . . . . . . </w:t>
      </w:r>
      <w:r w:rsidRPr="00DE475B">
        <w:rPr>
          <w:rFonts w:ascii="Arial" w:hAnsi="Arial" w:cs="Arial"/>
          <w:spacing w:val="20"/>
          <w:sz w:val="16"/>
          <w:szCs w:val="16"/>
        </w:rPr>
        <w:tab/>
      </w:r>
      <w:r w:rsidR="00E92F32">
        <w:rPr>
          <w:rFonts w:ascii="Arial" w:hAnsi="Arial" w:cs="Arial"/>
          <w:sz w:val="20"/>
          <w:szCs w:val="20"/>
        </w:rPr>
        <w:t>45</w:t>
      </w:r>
    </w:p>
    <w:p w:rsidR="00D346B4" w:rsidRPr="00DE475B" w:rsidRDefault="00D346B4">
      <w:pPr>
        <w:spacing w:after="40"/>
        <w:rPr>
          <w:rFonts w:ascii="Arial" w:hAnsi="Arial" w:cs="Arial"/>
          <w:sz w:val="20"/>
          <w:szCs w:val="20"/>
        </w:rPr>
      </w:pPr>
      <w:r w:rsidRPr="00DE475B">
        <w:rPr>
          <w:rFonts w:ascii="Arial" w:hAnsi="Arial" w:cs="Arial"/>
          <w:sz w:val="20"/>
          <w:szCs w:val="20"/>
        </w:rPr>
        <w:t>Statement</w:t>
      </w:r>
      <w:r w:rsidR="0002237D" w:rsidRPr="00DE475B">
        <w:rPr>
          <w:rFonts w:ascii="Arial" w:hAnsi="Arial" w:cs="Arial"/>
          <w:sz w:val="20"/>
          <w:szCs w:val="20"/>
        </w:rPr>
        <w:t>s</w:t>
      </w:r>
      <w:r w:rsidRPr="00DE475B">
        <w:rPr>
          <w:rFonts w:ascii="Arial" w:hAnsi="Arial" w:cs="Arial"/>
          <w:sz w:val="20"/>
          <w:szCs w:val="20"/>
        </w:rPr>
        <w:t xml:space="preserve"> of Cash Flows </w:t>
      </w:r>
      <w:r w:rsidRPr="00DE475B">
        <w:rPr>
          <w:rFonts w:ascii="Arial" w:hAnsi="Arial" w:cs="Arial"/>
          <w:spacing w:val="20"/>
          <w:sz w:val="16"/>
          <w:szCs w:val="16"/>
        </w:rPr>
        <w:t xml:space="preserve">. . . . . . . . . . . . . . . . . . . . . . . . . . . . . . . . . . . . . . . . . . </w:t>
      </w:r>
      <w:r w:rsidRPr="00DE475B">
        <w:rPr>
          <w:rFonts w:ascii="Arial" w:hAnsi="Arial" w:cs="Arial"/>
          <w:spacing w:val="20"/>
          <w:sz w:val="16"/>
          <w:szCs w:val="16"/>
        </w:rPr>
        <w:tab/>
      </w:r>
      <w:r w:rsidR="00E92F32">
        <w:rPr>
          <w:rFonts w:ascii="Arial" w:hAnsi="Arial" w:cs="Arial"/>
          <w:sz w:val="20"/>
          <w:szCs w:val="20"/>
        </w:rPr>
        <w:t>46</w:t>
      </w:r>
    </w:p>
    <w:p w:rsidR="00D346B4" w:rsidRPr="00DE475B" w:rsidRDefault="007349FF">
      <w:pPr>
        <w:spacing w:after="40"/>
        <w:rPr>
          <w:rFonts w:ascii="Arial" w:hAnsi="Arial" w:cs="Arial"/>
          <w:sz w:val="20"/>
          <w:szCs w:val="20"/>
        </w:rPr>
      </w:pPr>
      <w:r w:rsidRPr="00DE475B">
        <w:rPr>
          <w:rFonts w:ascii="Arial" w:hAnsi="Arial" w:cs="Arial"/>
          <w:sz w:val="20"/>
          <w:szCs w:val="20"/>
        </w:rPr>
        <w:t>Notes to and forming p</w:t>
      </w:r>
      <w:r w:rsidR="00D346B4" w:rsidRPr="00DE475B">
        <w:rPr>
          <w:rFonts w:ascii="Arial" w:hAnsi="Arial" w:cs="Arial"/>
          <w:sz w:val="20"/>
          <w:szCs w:val="20"/>
        </w:rPr>
        <w:t xml:space="preserve">art of the Financial Statements </w:t>
      </w:r>
      <w:r w:rsidR="00D346B4" w:rsidRPr="00DE475B">
        <w:rPr>
          <w:rFonts w:ascii="Arial" w:hAnsi="Arial" w:cs="Arial"/>
          <w:spacing w:val="20"/>
          <w:sz w:val="16"/>
          <w:szCs w:val="16"/>
        </w:rPr>
        <w:t>. . . . . . . . . . . . . . . . . . . . . . .</w:t>
      </w:r>
      <w:r w:rsidR="00D346B4" w:rsidRPr="00DE475B">
        <w:rPr>
          <w:rFonts w:ascii="Arial" w:hAnsi="Arial" w:cs="Arial"/>
          <w:spacing w:val="20"/>
          <w:sz w:val="16"/>
          <w:szCs w:val="16"/>
        </w:rPr>
        <w:tab/>
      </w:r>
      <w:r w:rsidR="00E92F32">
        <w:rPr>
          <w:rFonts w:ascii="Arial" w:hAnsi="Arial" w:cs="Arial"/>
          <w:sz w:val="20"/>
          <w:szCs w:val="20"/>
        </w:rPr>
        <w:t>48</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Management Certificate </w:t>
      </w:r>
      <w:r w:rsidRPr="00DE475B">
        <w:rPr>
          <w:rFonts w:ascii="Arial" w:hAnsi="Arial" w:cs="Arial"/>
          <w:spacing w:val="20"/>
          <w:sz w:val="16"/>
          <w:szCs w:val="16"/>
        </w:rPr>
        <w:t xml:space="preserve">. . . . . . . . . . . . . . . . . . . . . . . . . . . . . . . . . . . . . . . . . . . . </w:t>
      </w:r>
      <w:r w:rsidRPr="00DE475B">
        <w:rPr>
          <w:rFonts w:ascii="Arial" w:hAnsi="Arial" w:cs="Arial"/>
          <w:spacing w:val="20"/>
          <w:sz w:val="16"/>
          <w:szCs w:val="16"/>
        </w:rPr>
        <w:tab/>
      </w:r>
      <w:r w:rsidR="00E92F32">
        <w:rPr>
          <w:rFonts w:ascii="Arial" w:hAnsi="Arial" w:cs="Arial"/>
          <w:sz w:val="20"/>
          <w:szCs w:val="20"/>
        </w:rPr>
        <w:t>81</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Audit Certificate </w:t>
      </w:r>
      <w:r w:rsidRPr="00DE475B">
        <w:rPr>
          <w:rFonts w:ascii="Arial" w:hAnsi="Arial" w:cs="Arial"/>
          <w:spacing w:val="20"/>
          <w:sz w:val="16"/>
          <w:szCs w:val="16"/>
        </w:rPr>
        <w:t xml:space="preserve">. . . . . . . . . . . . . . . . . . . . . . . . . . . . . . . . . . . . . . . . . . . . . . . . . . </w:t>
      </w:r>
      <w:r w:rsidRPr="00DE475B">
        <w:rPr>
          <w:rFonts w:ascii="Arial" w:hAnsi="Arial" w:cs="Arial"/>
          <w:spacing w:val="20"/>
          <w:sz w:val="16"/>
          <w:szCs w:val="16"/>
        </w:rPr>
        <w:tab/>
      </w:r>
      <w:r w:rsidR="00E92F32">
        <w:rPr>
          <w:rFonts w:ascii="Arial" w:hAnsi="Arial" w:cs="Arial"/>
          <w:sz w:val="20"/>
          <w:szCs w:val="20"/>
        </w:rPr>
        <w:t>82</w:t>
      </w:r>
    </w:p>
    <w:p w:rsidR="00D346B4" w:rsidRPr="00DE475B" w:rsidRDefault="00D346B4">
      <w:pPr>
        <w:pStyle w:val="ARHeading1"/>
        <w:spacing w:after="40"/>
        <w:rPr>
          <w:color w:val="808080"/>
        </w:rPr>
      </w:pPr>
    </w:p>
    <w:p w:rsidR="00D346B4" w:rsidRPr="00DE475B" w:rsidRDefault="00D346B4">
      <w:pPr>
        <w:pStyle w:val="ARHeading1"/>
        <w:spacing w:after="40"/>
        <w:rPr>
          <w:color w:val="808080"/>
        </w:rPr>
      </w:pPr>
    </w:p>
    <w:p w:rsidR="007B503A" w:rsidRPr="00DE475B" w:rsidRDefault="007B503A">
      <w:pPr>
        <w:pStyle w:val="ARbodytext"/>
      </w:pPr>
    </w:p>
    <w:p w:rsidR="007B503A" w:rsidRPr="00DE475B" w:rsidRDefault="007B503A">
      <w:pPr>
        <w:pStyle w:val="ARbodytext"/>
      </w:pPr>
    </w:p>
    <w:p w:rsidR="007B503A" w:rsidRPr="00DE475B" w:rsidRDefault="007B503A">
      <w:pPr>
        <w:pStyle w:val="ARbodytext"/>
      </w:pPr>
    </w:p>
    <w:p w:rsidR="007B503A" w:rsidRPr="00DE475B" w:rsidRDefault="007B503A">
      <w:pPr>
        <w:pStyle w:val="ARbodytext"/>
      </w:pPr>
    </w:p>
    <w:p w:rsidR="007B503A" w:rsidRPr="00DE475B" w:rsidRDefault="007B503A">
      <w:pPr>
        <w:pStyle w:val="ARbodytext"/>
      </w:pPr>
    </w:p>
    <w:p w:rsidR="007B503A" w:rsidRPr="00DE475B" w:rsidRDefault="007B503A">
      <w:pPr>
        <w:pStyle w:val="ARbodytext"/>
      </w:pPr>
    </w:p>
    <w:p w:rsidR="007B503A" w:rsidRPr="00DE475B" w:rsidRDefault="007B503A">
      <w:pPr>
        <w:pStyle w:val="ARbodytext"/>
      </w:pPr>
    </w:p>
    <w:p w:rsidR="007B503A" w:rsidRPr="00DE475B" w:rsidRDefault="007B503A">
      <w:pPr>
        <w:pStyle w:val="ARbodytext"/>
      </w:pPr>
    </w:p>
    <w:p w:rsidR="007B503A" w:rsidRPr="00DE475B" w:rsidRDefault="007B503A">
      <w:pPr>
        <w:pStyle w:val="ARbodytext"/>
      </w:pPr>
    </w:p>
    <w:p w:rsidR="007B503A" w:rsidRPr="00DE475B" w:rsidRDefault="007B503A">
      <w:pPr>
        <w:pStyle w:val="ARbodytext"/>
      </w:pPr>
    </w:p>
    <w:p w:rsidR="00AB4E0B" w:rsidRPr="00DE475B" w:rsidRDefault="00AB4E0B">
      <w:pPr>
        <w:pStyle w:val="ARbodytext"/>
      </w:pPr>
    </w:p>
    <w:p w:rsidR="00AB4E0B" w:rsidRPr="00DE475B" w:rsidRDefault="00AB4E0B">
      <w:pPr>
        <w:pStyle w:val="ARbodytext"/>
      </w:pPr>
    </w:p>
    <w:p w:rsidR="00AB4E0B" w:rsidRPr="00DE475B" w:rsidRDefault="00AB4E0B">
      <w:pPr>
        <w:pStyle w:val="ARbodytext"/>
      </w:pPr>
    </w:p>
    <w:p w:rsidR="00AB4E0B" w:rsidRPr="00DE475B" w:rsidRDefault="00AB4E0B">
      <w:pPr>
        <w:pStyle w:val="ARbodytext"/>
      </w:pPr>
    </w:p>
    <w:p w:rsidR="00AB4E0B" w:rsidRPr="00DE475B" w:rsidRDefault="00AB4E0B">
      <w:pPr>
        <w:pStyle w:val="ARbodytext"/>
      </w:pPr>
    </w:p>
    <w:p w:rsidR="00AB4E0B" w:rsidRPr="00DE475B" w:rsidRDefault="00AB4E0B">
      <w:pPr>
        <w:pStyle w:val="ARbodytext"/>
      </w:pPr>
    </w:p>
    <w:p w:rsidR="007B503A" w:rsidRPr="00DE475B" w:rsidRDefault="007B503A">
      <w:pPr>
        <w:pStyle w:val="ARbodytext"/>
      </w:pPr>
    </w:p>
    <w:p w:rsidR="006A310E" w:rsidRPr="002A40BA" w:rsidRDefault="006A310E" w:rsidP="006A310E">
      <w:pPr>
        <w:pStyle w:val="ARheading3"/>
        <w:tabs>
          <w:tab w:val="left" w:pos="851"/>
        </w:tabs>
        <w:spacing w:after="120"/>
        <w:rPr>
          <w:color w:val="808080"/>
        </w:rPr>
      </w:pPr>
      <w:r w:rsidRPr="002A40BA">
        <w:rPr>
          <w:color w:val="808080"/>
        </w:rPr>
        <w:t>Chief Finance Officer (CFO) statement</w:t>
      </w:r>
    </w:p>
    <w:p w:rsidR="00291F4E" w:rsidRDefault="006A310E" w:rsidP="006A310E">
      <w:pPr>
        <w:pStyle w:val="ARbodytext"/>
        <w:rPr>
          <w:rFonts w:eastAsia="Batang"/>
          <w:bCs/>
          <w:kern w:val="20"/>
          <w:szCs w:val="22"/>
        </w:rPr>
      </w:pPr>
      <w:r w:rsidRPr="002A40BA">
        <w:rPr>
          <w:rFonts w:eastAsia="Batang"/>
          <w:bCs/>
          <w:kern w:val="20"/>
          <w:szCs w:val="22"/>
        </w:rPr>
        <w:t>The CFO has acknowledged responsibilities under the Financial Accountability Act 2009 (FAA) and full undertakings have been given to both the Audit and Risk Management Committee and the Library Board of Queensland, including undertakings that financial internal controls of SLQ are operating efficiently, effectively and economically in accordance with section 57 of the Financial and Performance Management Standard 2009. The financial statements were reviewed by the Library Board’s Audit and Risk Management Committee prior to presentation to the Library Board.</w:t>
      </w:r>
    </w:p>
    <w:p w:rsidR="00291F4E" w:rsidRDefault="00291F4E" w:rsidP="006A310E">
      <w:pPr>
        <w:pStyle w:val="ARbodytext"/>
        <w:rPr>
          <w:rFonts w:eastAsia="Batang"/>
          <w:bCs/>
          <w:kern w:val="20"/>
          <w:szCs w:val="22"/>
        </w:rPr>
      </w:pPr>
    </w:p>
    <w:p w:rsidR="00291F4E" w:rsidRPr="00A5735E" w:rsidRDefault="00291F4E" w:rsidP="00291F4E">
      <w:pPr>
        <w:rPr>
          <w:rFonts w:ascii="Arial" w:hAnsi="Arial" w:cs="Arial"/>
          <w:sz w:val="16"/>
          <w:szCs w:val="16"/>
        </w:rPr>
      </w:pPr>
      <w:r w:rsidRPr="00A5735E">
        <w:rPr>
          <w:rFonts w:ascii="Arial" w:hAnsi="Arial" w:cs="Arial"/>
          <w:sz w:val="16"/>
          <w:szCs w:val="16"/>
        </w:rPr>
        <w:t>Note: Those viewing an electronic presentation of these financial statements should note that audit does not provide assurance on the integrity of the information presented electronically and does not provide an opinion on any information which may be hyperlinked to or from the financial statements. If users of the financial statements are concerned with the inherent risks arising from electronic presentation of information, they are advised to refer to the printed copy of the audited financial statements to confirm the accuracy of this electronically presented information.</w:t>
      </w:r>
    </w:p>
    <w:p w:rsidR="00D346B4" w:rsidRDefault="00BB4542" w:rsidP="006A310E">
      <w:pPr>
        <w:pStyle w:val="ARbodytext"/>
      </w:pPr>
      <w:r w:rsidRPr="00DE475B">
        <w:br w:type="page"/>
      </w:r>
    </w:p>
    <w:p w:rsidR="00291F4E" w:rsidRPr="00DE475B" w:rsidRDefault="00291F4E" w:rsidP="006A310E">
      <w:pPr>
        <w:pStyle w:val="ARbodytext"/>
        <w:rPr>
          <w:bCs/>
        </w:rPr>
      </w:pPr>
    </w:p>
    <w:p w:rsidR="00D346B4" w:rsidRPr="00DE475B" w:rsidRDefault="00373FFE">
      <w:pPr>
        <w:pStyle w:val="ARbodytext"/>
        <w:rPr>
          <w:b/>
          <w:bCs/>
        </w:rPr>
      </w:pPr>
      <w:r w:rsidRPr="00DE475B">
        <w:rPr>
          <w:noProof/>
          <w:lang w:eastAsia="en-AU"/>
        </w:rPr>
        <mc:AlternateContent>
          <mc:Choice Requires="wps">
            <w:drawing>
              <wp:anchor distT="0" distB="0" distL="114300" distR="114300" simplePos="0" relativeHeight="251615232" behindDoc="0" locked="0" layoutInCell="1" allowOverlap="1" wp14:anchorId="10B94EA7" wp14:editId="300B28DF">
                <wp:simplePos x="0" y="0"/>
                <wp:positionH relativeFrom="column">
                  <wp:posOffset>-76200</wp:posOffset>
                </wp:positionH>
                <wp:positionV relativeFrom="paragraph">
                  <wp:posOffset>-93345</wp:posOffset>
                </wp:positionV>
                <wp:extent cx="5690235" cy="0"/>
                <wp:effectExtent l="13335" t="5080" r="11430" b="13970"/>
                <wp:wrapNone/>
                <wp:docPr id="27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2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35pt" to="442.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RnAIAAHoFAAAOAAAAZHJzL2Uyb0RvYy54bWysVN9v2yAQfp+0/wHx7tpOnF9Wnap1nL10&#10;W6V22jMBHKNh8IDGiab+7ztI4i7dyzQ1kSwO7j6+u/uO65t9K9GOGyu0KnB6lWDEFdVMqG2Bvz2t&#10;ozlG1hHFiNSKF/jALb5Zfvxw3Xc5H+lGS8YNAhBl874rcONcl8expQ1vib3SHVdwWGvTEgem2cbM&#10;kB7QWxmPkmQa99qwzmjKrYXd1fEQLwN+XXPqvta15Q7JAgM3F74mfDf+Gy+vSb41pGsEPdEg/8Gi&#10;JULBpQPUijiCno34C6oV1Gira3dFdRvruhaUhxwgmzR5k81jQzoecoHi2G4ok30/WPpl92CQYAUe&#10;zTKMFGmhSfdCcTRKfXH6zubgU6oH49Oje/XY3Wv6wyKly4aoLQ8knw4dxIWI+CLEG7aDKzb9Z83A&#10;hzw7HSq1r03rIaEGaB8achgawvcOUdicTBfJaDzBiJ7PYpKfAztj3SeuW+QXBZZAOgCT3b11QB1c&#10;zy7+HqXXQsrQb6lQX+DFeAqKoARUZ3+GSKulYN7L+1uz3ZTSoB3x0gk/XxBAvXBrhQMBS9EWeD44&#10;kbzhhFWKhescEfK4hmCpPDgP0jzyBGvvYBn2IfEgm1+LZFHNq3kWZaNpFWXJahXdrsssmq7T2WQ1&#10;XpXlKn3xrNMsbwRjXHniZwmn2b9J5DRMR/ENIh5KFV+ih+yB7CXT2/UkmWXjeTSbTcZRNq6S6G6+&#10;LqPbMp1OZ9VdeVe9YVqF7O37kB1K6VnpZ+jGY8N6xIQXxXiyAB2DASM/mh37g4jcwltFncHIaPdd&#10;uCZo2KvPY1w0fp74/6nxA/qxEOceemvowim311JBz8/9DaPhp+E4VxvNDg/Ga8pPCQx4CDo9Rv4F&#10;+dMOXq9P5vI3AAAA//8DAFBLAwQUAAYACAAAACEAYVFsaeAAAAALAQAADwAAAGRycy9kb3ducmV2&#10;LnhtbEyPQUvDQBCF74L/YRnBi7Sb1GBDzKaIIB4EaatUvG2TMRvMzobdaRP/vVso6G1m3uPN98rV&#10;ZHtxRB86RwrSeQICqXZNR62C97enWQ4isKZG945QwQ8GWFWXF6UuGjfSBo9bbkUMoVBoBYZ5KKQM&#10;tUGrw9wNSFH7ct5qjqtvZeP1GMNtLxdJciet7ih+MHrAR4P19/ZgFbz6sQt8m2Vr5M/d88uHWd/Y&#10;jVLXV9PDPQjGif/McMKP6FBFpr07UBNEr2CWLmIXPg3ZEkR05HmWgtifL7Iq5f8O1S8AAAD//wMA&#10;UEsBAi0AFAAGAAgAAAAhALaDOJL+AAAA4QEAABMAAAAAAAAAAAAAAAAAAAAAAFtDb250ZW50X1R5&#10;cGVzXS54bWxQSwECLQAUAAYACAAAACEAOP0h/9YAAACUAQAACwAAAAAAAAAAAAAAAAAvAQAAX3Jl&#10;bHMvLnJlbHNQSwECLQAUAAYACAAAACEAUgC/kZwCAAB6BQAADgAAAAAAAAAAAAAAAAAuAgAAZHJz&#10;L2Uyb0RvYy54bWxQSwECLQAUAAYACAAAACEAYVFsaeAAAAALAQAADwAAAAAAAAAAAAAAAAD2BAAA&#10;ZHJzL2Rvd25yZXYueG1sUEsFBgAAAAAEAAQA8wAAAAMGAAAAAA==&#10;" strokeweight=".26mm">
                <v:stroke joinstyle="miter" endcap="square"/>
              </v:line>
            </w:pict>
          </mc:Fallback>
        </mc:AlternateContent>
      </w:r>
      <w:r w:rsidR="00D346B4" w:rsidRPr="00DE475B">
        <w:rPr>
          <w:b/>
          <w:bCs/>
          <w:i/>
          <w:iCs/>
        </w:rPr>
        <w:t>Library Board of Queensland</w:t>
      </w:r>
      <w:r w:rsidR="000D591C" w:rsidRPr="00DE475B">
        <w:rPr>
          <w:b/>
          <w:bCs/>
          <w:i/>
          <w:iCs/>
        </w:rPr>
        <w:t xml:space="preserve"> </w:t>
      </w:r>
      <w:r w:rsidR="00704C2E" w:rsidRPr="00DE475B">
        <w:rPr>
          <w:b/>
          <w:bCs/>
          <w:i/>
          <w:iCs/>
        </w:rPr>
        <w:t>and controlled entities</w:t>
      </w:r>
    </w:p>
    <w:p w:rsidR="00D346B4" w:rsidRPr="00DE475B" w:rsidRDefault="00D346B4">
      <w:pPr>
        <w:rPr>
          <w:rFonts w:ascii="Arial" w:hAnsi="Arial" w:cs="Arial"/>
          <w:b/>
          <w:bCs/>
          <w:sz w:val="20"/>
          <w:szCs w:val="20"/>
        </w:rPr>
      </w:pPr>
      <w:r w:rsidRPr="00DE475B">
        <w:rPr>
          <w:rFonts w:ascii="Arial" w:hAnsi="Arial" w:cs="Arial"/>
          <w:b/>
          <w:bCs/>
          <w:sz w:val="20"/>
          <w:szCs w:val="20"/>
        </w:rPr>
        <w:t>STATEMENTS OF COMPREHENSIVE INCOME</w:t>
      </w:r>
    </w:p>
    <w:p w:rsidR="00D346B4" w:rsidRPr="00DE475B" w:rsidRDefault="0071388F">
      <w:r w:rsidRPr="00DE475B">
        <w:rPr>
          <w:rFonts w:ascii="Arial" w:hAnsi="Arial" w:cs="Arial"/>
          <w:b/>
          <w:bCs/>
          <w:sz w:val="20"/>
          <w:szCs w:val="20"/>
        </w:rPr>
        <w:t>For the year ended 30 June 201</w:t>
      </w:r>
      <w:r w:rsidR="00A01D98">
        <w:rPr>
          <w:rFonts w:ascii="Arial" w:hAnsi="Arial" w:cs="Arial"/>
          <w:b/>
          <w:bCs/>
          <w:sz w:val="20"/>
          <w:szCs w:val="20"/>
        </w:rPr>
        <w:t>7</w:t>
      </w:r>
    </w:p>
    <w:p w:rsidR="00D346B4" w:rsidRPr="00DE475B" w:rsidRDefault="00373FFE">
      <w:pPr>
        <w:pStyle w:val="ARbodytext"/>
        <w:rPr>
          <w:lang w:eastAsia="en-AU"/>
        </w:rPr>
      </w:pPr>
      <w:r w:rsidRPr="00DE475B">
        <w:rPr>
          <w:noProof/>
          <w:lang w:eastAsia="en-AU"/>
        </w:rPr>
        <mc:AlternateContent>
          <mc:Choice Requires="wps">
            <w:drawing>
              <wp:anchor distT="0" distB="0" distL="114300" distR="114300" simplePos="0" relativeHeight="251616256" behindDoc="0" locked="0" layoutInCell="1" allowOverlap="1" wp14:anchorId="372BC270" wp14:editId="24CF0AD8">
                <wp:simplePos x="0" y="0"/>
                <wp:positionH relativeFrom="column">
                  <wp:posOffset>-76200</wp:posOffset>
                </wp:positionH>
                <wp:positionV relativeFrom="paragraph">
                  <wp:posOffset>86360</wp:posOffset>
                </wp:positionV>
                <wp:extent cx="5690235" cy="0"/>
                <wp:effectExtent l="13335" t="13335" r="11430" b="5715"/>
                <wp:wrapNone/>
                <wp:docPr id="27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2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8pt" to="44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4dmgIAAHoFAAAOAAAAZHJzL2Uyb0RvYy54bWysVE1v2zAMvQ/YfxB0d/2ZL6NO0TrOLt1W&#10;oB12VmQ5FiZLnqTGCYb+91FK4jXdZRiaAIYokdQj36Oub/adQDumDVeywPFVhBGTVNVcbgv87Wkd&#10;zDEylsiaCCVZgQ/M4Jvlxw/XQ5+zRLVK1EwjSCJNPvQFbq3t8zA0tGUdMVeqZxIOG6U7YsHU27DW&#10;ZIDsnQiTKJqGg9J1rxVlxsDu6niIlz5/0zBqvzaNYRaJAgM267/afzfuGy6vSb7VpG85PcEg/4Gi&#10;I1zCpWOqFbEEPWv+V6qOU62MauwVVV2omoZT5muAauLoTTWPLemZrwWaY/qxTeb90tIvuweNeF3g&#10;ZJZiJEkHJN1zyVCSuOYMvcnBp5QP2pVH9/Kxv1f0h0FSlS2RW+ZBPh16iItdRHgR4gzTwxWb4bOq&#10;wYc8W+U7tW9051JCD9DeE3IYCWF7iyhsTqaLKEknGNHzWUjyc2Cvjf3EVIfcosACQPvEZHdvrANC&#10;8rOLu0eqNRfC8y0kGgq8SKegCEpAdeanjzRK8Np5OX+jt5tSaLQjTjr+58uDk9duHbcgYMG7As9H&#10;J5K3jNSVrP11lnBxXAMkIV1y5qV5xAnW3sLS70PhXja/FtGimlfzLMiSaRVk0WoV3K7LLJiu49lk&#10;la7KchW/ONRxlre8rpl0wM8SjrN/k8hpmI7iG0U8tiq8zO57CmAvkd6uJ9EsS+fBbDZJgyytouBu&#10;vi6D2zKeTmfVXXlXvUFa+erN+4AdW+lQqWdg47GtB1RzJ4p0skhiDAaMfDI78oOI2MJbRa3GSCv7&#10;ndvWa9ipz+W4IH4euf+J+DH7sRFnDp01snCq7U+rgPMzv3403DQc52qj6sODPo8MDLgPOj1G7gV5&#10;bcP69ZO5/A0AAP//AwBQSwMEFAAGAAgAAAAhAO4lPqPfAAAACQEAAA8AAABkcnMvZG93bnJldi54&#10;bWxMj0FLw0AQhe+C/2EZwYu0m7ShhJhNEUE8CNJWsfS2TcZsMDsbdqdN/PeueKjHee/x5nvlerK9&#10;OKMPnSMF6TwBgVS7pqNWwfvb0ywHEVhTo3tHqOAbA6yr66tSF40baYvnHbcillAotALDPBRShtqg&#10;1WHuBqTofTpvNcfTt7LxeozltpeLJFlJqzuKH4we8NFg/bU7WQWvfuwCL7Nsg3z4eH7Zm82d3Sp1&#10;ezM93INgnPgShl/8iA5VZDq6EzVB9Apm6SJu4WgsVyBiIM+zFMTxT5BVKf8vqH4AAAD//wMAUEsB&#10;Ai0AFAAGAAgAAAAhALaDOJL+AAAA4QEAABMAAAAAAAAAAAAAAAAAAAAAAFtDb250ZW50X1R5cGVz&#10;XS54bWxQSwECLQAUAAYACAAAACEAOP0h/9YAAACUAQAACwAAAAAAAAAAAAAAAAAvAQAAX3JlbHMv&#10;LnJlbHNQSwECLQAUAAYACAAAACEAz+MOHZoCAAB6BQAADgAAAAAAAAAAAAAAAAAuAgAAZHJzL2Uy&#10;b0RvYy54bWxQSwECLQAUAAYACAAAACEA7iU+o98AAAAJAQAADwAAAAAAAAAAAAAAAAD0BAAAZHJz&#10;L2Rvd25yZXYueG1sUEsFBgAAAAAEAAQA8wAAAAAGAAAAAA==&#10;" strokeweight=".26mm">
                <v:stroke joinstyle="miter" endcap="square"/>
              </v:line>
            </w:pict>
          </mc:Fallback>
        </mc:AlternateContent>
      </w:r>
    </w:p>
    <w:tbl>
      <w:tblPr>
        <w:tblW w:w="8789" w:type="dxa"/>
        <w:tblInd w:w="108" w:type="dxa"/>
        <w:tblLayout w:type="fixed"/>
        <w:tblLook w:val="0000" w:firstRow="0" w:lastRow="0" w:firstColumn="0" w:lastColumn="0" w:noHBand="0" w:noVBand="0"/>
      </w:tblPr>
      <w:tblGrid>
        <w:gridCol w:w="284"/>
        <w:gridCol w:w="3560"/>
        <w:gridCol w:w="20"/>
        <w:gridCol w:w="985"/>
        <w:gridCol w:w="985"/>
        <w:gridCol w:w="985"/>
        <w:gridCol w:w="985"/>
        <w:gridCol w:w="985"/>
      </w:tblGrid>
      <w:tr w:rsidR="00D346B4" w:rsidRPr="00DE475B" w:rsidTr="008E69D1">
        <w:trPr>
          <w:trHeight w:val="297"/>
        </w:trPr>
        <w:tc>
          <w:tcPr>
            <w:tcW w:w="3864" w:type="dxa"/>
            <w:gridSpan w:val="3"/>
            <w:shd w:val="clear" w:color="auto" w:fill="auto"/>
            <w:vAlign w:val="bottom"/>
          </w:tcPr>
          <w:p w:rsidR="00D346B4" w:rsidRPr="00DE475B" w:rsidRDefault="00D346B4">
            <w:pPr>
              <w:snapToGrid w:val="0"/>
              <w:rPr>
                <w:rFonts w:ascii="Arial" w:hAnsi="Arial" w:cs="Arial"/>
                <w:b/>
                <w:bCs/>
                <w:sz w:val="20"/>
                <w:szCs w:val="20"/>
              </w:rPr>
            </w:pPr>
          </w:p>
        </w:tc>
        <w:tc>
          <w:tcPr>
            <w:tcW w:w="985" w:type="dxa"/>
            <w:shd w:val="clear" w:color="auto" w:fill="auto"/>
            <w:vAlign w:val="bottom"/>
          </w:tcPr>
          <w:p w:rsidR="00D346B4" w:rsidRPr="00DE475B" w:rsidRDefault="00D346B4">
            <w:pPr>
              <w:snapToGrid w:val="0"/>
              <w:jc w:val="center"/>
              <w:rPr>
                <w:rFonts w:ascii="Arial" w:hAnsi="Arial" w:cs="Arial"/>
                <w:b/>
                <w:bCs/>
                <w:sz w:val="20"/>
                <w:szCs w:val="20"/>
              </w:rPr>
            </w:pPr>
          </w:p>
        </w:tc>
        <w:tc>
          <w:tcPr>
            <w:tcW w:w="1970" w:type="dxa"/>
            <w:gridSpan w:val="2"/>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Economic Entity</w:t>
            </w:r>
          </w:p>
        </w:tc>
        <w:tc>
          <w:tcPr>
            <w:tcW w:w="1970" w:type="dxa"/>
            <w:gridSpan w:val="2"/>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Parent Entity</w:t>
            </w:r>
          </w:p>
        </w:tc>
      </w:tr>
      <w:tr w:rsidR="00A01D98" w:rsidRPr="00DE475B" w:rsidTr="008E69D1">
        <w:trPr>
          <w:trHeight w:val="297"/>
        </w:trPr>
        <w:tc>
          <w:tcPr>
            <w:tcW w:w="3864" w:type="dxa"/>
            <w:gridSpan w:val="3"/>
            <w:shd w:val="clear" w:color="auto" w:fill="auto"/>
            <w:vAlign w:val="bottom"/>
          </w:tcPr>
          <w:p w:rsidR="00A01D98" w:rsidRPr="00DE475B" w:rsidRDefault="00A01D98">
            <w:pPr>
              <w:snapToGrid w:val="0"/>
              <w:jc w:val="right"/>
              <w:rPr>
                <w:rFonts w:ascii="Arial" w:hAnsi="Arial" w:cs="Arial"/>
                <w:b/>
                <w:bCs/>
                <w:sz w:val="20"/>
                <w:szCs w:val="20"/>
              </w:rPr>
            </w:pPr>
          </w:p>
        </w:tc>
        <w:tc>
          <w:tcPr>
            <w:tcW w:w="985" w:type="dxa"/>
            <w:shd w:val="clear" w:color="auto" w:fill="auto"/>
            <w:vAlign w:val="bottom"/>
          </w:tcPr>
          <w:p w:rsidR="00A01D98" w:rsidRPr="00DE475B" w:rsidRDefault="00975361">
            <w:pPr>
              <w:snapToGrid w:val="0"/>
              <w:jc w:val="center"/>
              <w:rPr>
                <w:rFonts w:ascii="Arial" w:hAnsi="Arial" w:cs="Arial"/>
                <w:b/>
                <w:bCs/>
                <w:sz w:val="20"/>
                <w:szCs w:val="20"/>
              </w:rPr>
            </w:pPr>
            <w:r w:rsidRPr="00DE475B">
              <w:rPr>
                <w:rFonts w:ascii="Arial" w:hAnsi="Arial" w:cs="Arial"/>
                <w:b/>
                <w:bCs/>
                <w:sz w:val="20"/>
                <w:szCs w:val="20"/>
              </w:rPr>
              <w:t>Notes</w:t>
            </w:r>
          </w:p>
        </w:tc>
        <w:tc>
          <w:tcPr>
            <w:tcW w:w="985" w:type="dxa"/>
            <w:shd w:val="clear" w:color="auto" w:fill="auto"/>
            <w:vAlign w:val="bottom"/>
          </w:tcPr>
          <w:p w:rsidR="00A01D98" w:rsidRPr="00DE475B" w:rsidRDefault="00A01D98" w:rsidP="007113B4">
            <w:pPr>
              <w:jc w:val="right"/>
              <w:rPr>
                <w:rFonts w:ascii="Arial" w:hAnsi="Arial" w:cs="Arial"/>
                <w:b/>
                <w:bCs/>
                <w:sz w:val="20"/>
                <w:szCs w:val="20"/>
              </w:rPr>
            </w:pPr>
            <w:r w:rsidRPr="00DE475B">
              <w:rPr>
                <w:rFonts w:ascii="Arial" w:hAnsi="Arial" w:cs="Arial"/>
                <w:b/>
                <w:bCs/>
                <w:sz w:val="20"/>
                <w:szCs w:val="20"/>
              </w:rPr>
              <w:t>201</w:t>
            </w:r>
            <w:r>
              <w:rPr>
                <w:rFonts w:ascii="Arial" w:hAnsi="Arial" w:cs="Arial"/>
                <w:b/>
                <w:bCs/>
                <w:sz w:val="20"/>
                <w:szCs w:val="20"/>
              </w:rPr>
              <w:t>7</w:t>
            </w:r>
          </w:p>
        </w:tc>
        <w:tc>
          <w:tcPr>
            <w:tcW w:w="985" w:type="dxa"/>
            <w:shd w:val="clear" w:color="auto" w:fill="auto"/>
            <w:vAlign w:val="bottom"/>
          </w:tcPr>
          <w:p w:rsidR="00A01D98" w:rsidRPr="00DE475B" w:rsidRDefault="00A01D98" w:rsidP="007113B4">
            <w:pPr>
              <w:jc w:val="right"/>
              <w:rPr>
                <w:rFonts w:ascii="Arial" w:hAnsi="Arial" w:cs="Arial"/>
                <w:b/>
                <w:bCs/>
                <w:sz w:val="20"/>
                <w:szCs w:val="20"/>
              </w:rPr>
            </w:pPr>
            <w:r w:rsidRPr="00DE475B">
              <w:rPr>
                <w:rFonts w:ascii="Arial" w:hAnsi="Arial" w:cs="Arial"/>
                <w:b/>
                <w:bCs/>
                <w:sz w:val="20"/>
                <w:szCs w:val="20"/>
              </w:rPr>
              <w:t>2016</w:t>
            </w:r>
          </w:p>
        </w:tc>
        <w:tc>
          <w:tcPr>
            <w:tcW w:w="985" w:type="dxa"/>
            <w:shd w:val="clear" w:color="auto" w:fill="auto"/>
            <w:vAlign w:val="bottom"/>
          </w:tcPr>
          <w:p w:rsidR="00A01D98" w:rsidRPr="00DE475B" w:rsidRDefault="00A01D98" w:rsidP="000016DE">
            <w:pPr>
              <w:jc w:val="right"/>
              <w:rPr>
                <w:rFonts w:ascii="Arial" w:hAnsi="Arial" w:cs="Arial"/>
                <w:b/>
                <w:bCs/>
                <w:sz w:val="20"/>
                <w:szCs w:val="20"/>
              </w:rPr>
            </w:pPr>
            <w:r w:rsidRPr="00DE475B">
              <w:rPr>
                <w:rFonts w:ascii="Arial" w:hAnsi="Arial" w:cs="Arial"/>
                <w:b/>
                <w:bCs/>
                <w:sz w:val="20"/>
                <w:szCs w:val="20"/>
              </w:rPr>
              <w:t>201</w:t>
            </w:r>
            <w:r>
              <w:rPr>
                <w:rFonts w:ascii="Arial" w:hAnsi="Arial" w:cs="Arial"/>
                <w:b/>
                <w:bCs/>
                <w:sz w:val="20"/>
                <w:szCs w:val="20"/>
              </w:rPr>
              <w:t>7</w:t>
            </w:r>
          </w:p>
        </w:tc>
        <w:tc>
          <w:tcPr>
            <w:tcW w:w="985" w:type="dxa"/>
            <w:shd w:val="clear" w:color="auto" w:fill="auto"/>
            <w:vAlign w:val="bottom"/>
          </w:tcPr>
          <w:p w:rsidR="00A01D98" w:rsidRPr="00DE475B" w:rsidRDefault="00A01D98" w:rsidP="007113B4">
            <w:pPr>
              <w:jc w:val="right"/>
              <w:rPr>
                <w:rFonts w:ascii="Arial" w:hAnsi="Arial" w:cs="Arial"/>
                <w:b/>
                <w:bCs/>
                <w:sz w:val="20"/>
                <w:szCs w:val="20"/>
              </w:rPr>
            </w:pPr>
            <w:r w:rsidRPr="00DE475B">
              <w:rPr>
                <w:rFonts w:ascii="Arial" w:hAnsi="Arial" w:cs="Arial"/>
                <w:b/>
                <w:bCs/>
                <w:sz w:val="20"/>
                <w:szCs w:val="20"/>
              </w:rPr>
              <w:t>2016</w:t>
            </w:r>
          </w:p>
        </w:tc>
      </w:tr>
      <w:tr w:rsidR="00A01D98" w:rsidRPr="00DE475B" w:rsidTr="008E69D1">
        <w:trPr>
          <w:trHeight w:val="297"/>
        </w:trPr>
        <w:tc>
          <w:tcPr>
            <w:tcW w:w="3864" w:type="dxa"/>
            <w:gridSpan w:val="3"/>
            <w:shd w:val="clear" w:color="auto" w:fill="auto"/>
            <w:vAlign w:val="bottom"/>
          </w:tcPr>
          <w:p w:rsidR="00A01D98" w:rsidRPr="00DE475B" w:rsidRDefault="00A01D98">
            <w:pPr>
              <w:snapToGrid w:val="0"/>
              <w:jc w:val="right"/>
              <w:rPr>
                <w:rFonts w:ascii="Arial" w:hAnsi="Arial" w:cs="Arial"/>
                <w:b/>
                <w:bCs/>
                <w:sz w:val="20"/>
                <w:szCs w:val="20"/>
              </w:rPr>
            </w:pPr>
          </w:p>
        </w:tc>
        <w:tc>
          <w:tcPr>
            <w:tcW w:w="985" w:type="dxa"/>
            <w:shd w:val="clear" w:color="auto" w:fill="auto"/>
            <w:vAlign w:val="bottom"/>
          </w:tcPr>
          <w:p w:rsidR="00A01D98" w:rsidRPr="00DE475B" w:rsidRDefault="00A01D98">
            <w:pPr>
              <w:jc w:val="center"/>
              <w:rPr>
                <w:rFonts w:ascii="Arial" w:hAnsi="Arial" w:cs="Arial"/>
                <w:b/>
                <w:bCs/>
                <w:sz w:val="20"/>
                <w:szCs w:val="20"/>
              </w:rPr>
            </w:pPr>
          </w:p>
        </w:tc>
        <w:tc>
          <w:tcPr>
            <w:tcW w:w="985" w:type="dxa"/>
            <w:shd w:val="clear" w:color="auto" w:fill="auto"/>
            <w:vAlign w:val="bottom"/>
          </w:tcPr>
          <w:p w:rsidR="00A01D98" w:rsidRPr="00DE475B" w:rsidRDefault="00A01D98" w:rsidP="007113B4">
            <w:pPr>
              <w:jc w:val="right"/>
              <w:rPr>
                <w:rFonts w:ascii="Arial" w:hAnsi="Arial" w:cs="Arial"/>
                <w:b/>
                <w:bCs/>
                <w:sz w:val="20"/>
                <w:szCs w:val="20"/>
              </w:rPr>
            </w:pPr>
            <w:r>
              <w:rPr>
                <w:rFonts w:ascii="Arial" w:hAnsi="Arial" w:cs="Arial"/>
                <w:b/>
                <w:bCs/>
                <w:sz w:val="20"/>
                <w:szCs w:val="20"/>
              </w:rPr>
              <w:t>Actual</w:t>
            </w:r>
          </w:p>
        </w:tc>
        <w:tc>
          <w:tcPr>
            <w:tcW w:w="985" w:type="dxa"/>
            <w:shd w:val="clear" w:color="auto" w:fill="auto"/>
            <w:vAlign w:val="bottom"/>
          </w:tcPr>
          <w:p w:rsidR="00A01D98" w:rsidRPr="00DE475B" w:rsidRDefault="00A01D98" w:rsidP="007113B4">
            <w:pPr>
              <w:jc w:val="right"/>
              <w:rPr>
                <w:rFonts w:ascii="Arial" w:hAnsi="Arial" w:cs="Arial"/>
                <w:b/>
                <w:bCs/>
                <w:sz w:val="20"/>
                <w:szCs w:val="20"/>
              </w:rPr>
            </w:pPr>
            <w:r>
              <w:rPr>
                <w:rFonts w:ascii="Arial" w:hAnsi="Arial" w:cs="Arial"/>
                <w:b/>
                <w:bCs/>
                <w:sz w:val="20"/>
                <w:szCs w:val="20"/>
              </w:rPr>
              <w:t>Actual</w:t>
            </w:r>
          </w:p>
        </w:tc>
        <w:tc>
          <w:tcPr>
            <w:tcW w:w="985" w:type="dxa"/>
            <w:shd w:val="clear" w:color="auto" w:fill="auto"/>
            <w:vAlign w:val="bottom"/>
          </w:tcPr>
          <w:p w:rsidR="00A01D98" w:rsidRPr="00DE475B" w:rsidRDefault="00A01D98">
            <w:pPr>
              <w:jc w:val="right"/>
              <w:rPr>
                <w:rFonts w:ascii="Arial" w:hAnsi="Arial" w:cs="Arial"/>
                <w:b/>
                <w:bCs/>
                <w:sz w:val="20"/>
                <w:szCs w:val="20"/>
              </w:rPr>
            </w:pPr>
            <w:r>
              <w:rPr>
                <w:rFonts w:ascii="Arial" w:hAnsi="Arial" w:cs="Arial"/>
                <w:b/>
                <w:bCs/>
                <w:sz w:val="20"/>
                <w:szCs w:val="20"/>
              </w:rPr>
              <w:t>Actual</w:t>
            </w:r>
          </w:p>
        </w:tc>
        <w:tc>
          <w:tcPr>
            <w:tcW w:w="985" w:type="dxa"/>
            <w:shd w:val="clear" w:color="auto" w:fill="auto"/>
            <w:vAlign w:val="bottom"/>
          </w:tcPr>
          <w:p w:rsidR="00A01D98" w:rsidRPr="00DE475B" w:rsidRDefault="00A01D98" w:rsidP="007113B4">
            <w:pPr>
              <w:jc w:val="right"/>
              <w:rPr>
                <w:rFonts w:ascii="Arial" w:hAnsi="Arial" w:cs="Arial"/>
                <w:b/>
                <w:bCs/>
                <w:sz w:val="20"/>
                <w:szCs w:val="20"/>
              </w:rPr>
            </w:pPr>
            <w:r>
              <w:rPr>
                <w:rFonts w:ascii="Arial" w:hAnsi="Arial" w:cs="Arial"/>
                <w:b/>
                <w:bCs/>
                <w:sz w:val="20"/>
                <w:szCs w:val="20"/>
              </w:rPr>
              <w:t>Actual</w:t>
            </w:r>
          </w:p>
        </w:tc>
      </w:tr>
      <w:tr w:rsidR="00A01D98" w:rsidRPr="00DE475B" w:rsidTr="008E69D1">
        <w:trPr>
          <w:trHeight w:val="297"/>
        </w:trPr>
        <w:tc>
          <w:tcPr>
            <w:tcW w:w="3864" w:type="dxa"/>
            <w:gridSpan w:val="3"/>
            <w:shd w:val="clear" w:color="auto" w:fill="auto"/>
            <w:vAlign w:val="bottom"/>
          </w:tcPr>
          <w:p w:rsidR="00A01D98" w:rsidRPr="00DE475B" w:rsidRDefault="00A01D98">
            <w:pPr>
              <w:snapToGrid w:val="0"/>
              <w:jc w:val="right"/>
              <w:rPr>
                <w:rFonts w:ascii="Arial" w:hAnsi="Arial" w:cs="Arial"/>
                <w:b/>
                <w:bCs/>
                <w:sz w:val="20"/>
                <w:szCs w:val="20"/>
              </w:rPr>
            </w:pPr>
          </w:p>
        </w:tc>
        <w:tc>
          <w:tcPr>
            <w:tcW w:w="985" w:type="dxa"/>
            <w:shd w:val="clear" w:color="auto" w:fill="auto"/>
            <w:vAlign w:val="bottom"/>
          </w:tcPr>
          <w:p w:rsidR="00A01D98" w:rsidRPr="00DE475B" w:rsidRDefault="00A01D98">
            <w:pPr>
              <w:jc w:val="center"/>
              <w:rPr>
                <w:rFonts w:ascii="Arial" w:hAnsi="Arial" w:cs="Arial"/>
                <w:b/>
                <w:bCs/>
                <w:sz w:val="20"/>
                <w:szCs w:val="20"/>
              </w:rPr>
            </w:pPr>
          </w:p>
        </w:tc>
        <w:tc>
          <w:tcPr>
            <w:tcW w:w="985" w:type="dxa"/>
            <w:shd w:val="clear" w:color="auto" w:fill="auto"/>
            <w:vAlign w:val="bottom"/>
          </w:tcPr>
          <w:p w:rsidR="00A01D98" w:rsidRPr="00DE475B" w:rsidRDefault="00A01D98" w:rsidP="007113B4">
            <w:pPr>
              <w:jc w:val="right"/>
              <w:rPr>
                <w:rFonts w:ascii="Arial" w:hAnsi="Arial" w:cs="Arial"/>
                <w:b/>
                <w:bCs/>
                <w:sz w:val="20"/>
                <w:szCs w:val="20"/>
              </w:rPr>
            </w:pPr>
            <w:r w:rsidRPr="00DE475B">
              <w:rPr>
                <w:rFonts w:ascii="Arial" w:hAnsi="Arial" w:cs="Arial"/>
                <w:b/>
                <w:bCs/>
                <w:sz w:val="20"/>
                <w:szCs w:val="20"/>
              </w:rPr>
              <w:t>$'000</w:t>
            </w:r>
          </w:p>
        </w:tc>
        <w:tc>
          <w:tcPr>
            <w:tcW w:w="985" w:type="dxa"/>
            <w:shd w:val="clear" w:color="auto" w:fill="auto"/>
            <w:vAlign w:val="bottom"/>
          </w:tcPr>
          <w:p w:rsidR="00A01D98" w:rsidRPr="00DE475B" w:rsidRDefault="00A01D98" w:rsidP="007113B4">
            <w:pPr>
              <w:jc w:val="right"/>
              <w:rPr>
                <w:rFonts w:ascii="Arial" w:hAnsi="Arial" w:cs="Arial"/>
                <w:b/>
                <w:bCs/>
                <w:sz w:val="20"/>
                <w:szCs w:val="20"/>
              </w:rPr>
            </w:pPr>
            <w:r w:rsidRPr="00DE475B">
              <w:rPr>
                <w:rFonts w:ascii="Arial" w:hAnsi="Arial" w:cs="Arial"/>
                <w:b/>
                <w:bCs/>
                <w:sz w:val="20"/>
                <w:szCs w:val="20"/>
              </w:rPr>
              <w:t>$'000</w:t>
            </w:r>
          </w:p>
        </w:tc>
        <w:tc>
          <w:tcPr>
            <w:tcW w:w="985" w:type="dxa"/>
            <w:shd w:val="clear" w:color="auto" w:fill="auto"/>
            <w:vAlign w:val="bottom"/>
          </w:tcPr>
          <w:p w:rsidR="00A01D98" w:rsidRPr="00DE475B" w:rsidRDefault="00A01D98">
            <w:pPr>
              <w:jc w:val="right"/>
              <w:rPr>
                <w:rFonts w:ascii="Arial" w:hAnsi="Arial" w:cs="Arial"/>
                <w:b/>
                <w:bCs/>
                <w:sz w:val="20"/>
                <w:szCs w:val="20"/>
              </w:rPr>
            </w:pPr>
            <w:r w:rsidRPr="00DE475B">
              <w:rPr>
                <w:rFonts w:ascii="Arial" w:hAnsi="Arial" w:cs="Arial"/>
                <w:b/>
                <w:bCs/>
                <w:sz w:val="20"/>
                <w:szCs w:val="20"/>
              </w:rPr>
              <w:t>$'000</w:t>
            </w:r>
          </w:p>
        </w:tc>
        <w:tc>
          <w:tcPr>
            <w:tcW w:w="985" w:type="dxa"/>
            <w:shd w:val="clear" w:color="auto" w:fill="auto"/>
            <w:vAlign w:val="bottom"/>
          </w:tcPr>
          <w:p w:rsidR="00A01D98" w:rsidRPr="00DE475B" w:rsidRDefault="00A01D98" w:rsidP="007113B4">
            <w:pPr>
              <w:jc w:val="right"/>
              <w:rPr>
                <w:rFonts w:ascii="Arial" w:hAnsi="Arial" w:cs="Arial"/>
                <w:b/>
                <w:bCs/>
                <w:sz w:val="20"/>
                <w:szCs w:val="20"/>
              </w:rPr>
            </w:pPr>
            <w:r w:rsidRPr="00DE475B">
              <w:rPr>
                <w:rFonts w:ascii="Arial" w:hAnsi="Arial" w:cs="Arial"/>
                <w:b/>
                <w:bCs/>
                <w:sz w:val="20"/>
                <w:szCs w:val="20"/>
              </w:rPr>
              <w:t>$'000</w:t>
            </w:r>
          </w:p>
        </w:tc>
      </w:tr>
      <w:tr w:rsidR="00A01D98" w:rsidRPr="00DE475B" w:rsidTr="008E69D1">
        <w:trPr>
          <w:trHeight w:val="297"/>
        </w:trPr>
        <w:tc>
          <w:tcPr>
            <w:tcW w:w="3864" w:type="dxa"/>
            <w:gridSpan w:val="3"/>
            <w:shd w:val="clear" w:color="auto" w:fill="auto"/>
            <w:vAlign w:val="bottom"/>
          </w:tcPr>
          <w:p w:rsidR="00A01D98" w:rsidRPr="00DE475B" w:rsidRDefault="00A01D98">
            <w:pPr>
              <w:rPr>
                <w:rFonts w:ascii="Arial" w:hAnsi="Arial" w:cs="Arial"/>
                <w:b/>
                <w:bCs/>
                <w:sz w:val="20"/>
                <w:szCs w:val="20"/>
              </w:rPr>
            </w:pPr>
            <w:r w:rsidRPr="00DE475B">
              <w:rPr>
                <w:rFonts w:ascii="Arial" w:hAnsi="Arial" w:cs="Arial"/>
                <w:b/>
                <w:bCs/>
                <w:sz w:val="20"/>
                <w:szCs w:val="20"/>
              </w:rPr>
              <w:t>Income from Continuing Operations</w:t>
            </w:r>
          </w:p>
        </w:tc>
        <w:tc>
          <w:tcPr>
            <w:tcW w:w="985" w:type="dxa"/>
            <w:shd w:val="clear" w:color="auto" w:fill="auto"/>
            <w:vAlign w:val="bottom"/>
          </w:tcPr>
          <w:p w:rsidR="00A01D98" w:rsidRPr="00DE475B" w:rsidRDefault="00A01D98">
            <w:pPr>
              <w:snapToGrid w:val="0"/>
              <w:jc w:val="center"/>
              <w:rPr>
                <w:rFonts w:ascii="Arial" w:hAnsi="Arial" w:cs="Arial"/>
                <w:b/>
                <w:bCs/>
                <w:sz w:val="20"/>
                <w:szCs w:val="20"/>
              </w:rPr>
            </w:pPr>
          </w:p>
        </w:tc>
        <w:tc>
          <w:tcPr>
            <w:tcW w:w="985" w:type="dxa"/>
            <w:shd w:val="clear" w:color="auto" w:fill="auto"/>
            <w:vAlign w:val="bottom"/>
          </w:tcPr>
          <w:p w:rsidR="00A01D98" w:rsidRPr="00DE475B" w:rsidRDefault="00A01D98">
            <w:pPr>
              <w:snapToGrid w:val="0"/>
              <w:jc w:val="right"/>
              <w:rPr>
                <w:rFonts w:ascii="Arial" w:hAnsi="Arial" w:cs="Arial"/>
                <w:b/>
                <w:bCs/>
                <w:sz w:val="20"/>
                <w:szCs w:val="20"/>
              </w:rPr>
            </w:pPr>
          </w:p>
        </w:tc>
        <w:tc>
          <w:tcPr>
            <w:tcW w:w="985" w:type="dxa"/>
            <w:shd w:val="clear" w:color="auto" w:fill="auto"/>
            <w:vAlign w:val="bottom"/>
          </w:tcPr>
          <w:p w:rsidR="00A01D98" w:rsidRPr="00DE475B" w:rsidRDefault="00A01D98">
            <w:pPr>
              <w:snapToGrid w:val="0"/>
              <w:jc w:val="right"/>
              <w:rPr>
                <w:rFonts w:ascii="Arial" w:hAnsi="Arial" w:cs="Arial"/>
                <w:b/>
                <w:bCs/>
                <w:sz w:val="20"/>
                <w:szCs w:val="20"/>
              </w:rPr>
            </w:pPr>
          </w:p>
        </w:tc>
        <w:tc>
          <w:tcPr>
            <w:tcW w:w="985" w:type="dxa"/>
            <w:shd w:val="clear" w:color="auto" w:fill="auto"/>
            <w:vAlign w:val="bottom"/>
          </w:tcPr>
          <w:p w:rsidR="00A01D98" w:rsidRPr="00DE475B" w:rsidRDefault="00A01D98">
            <w:pPr>
              <w:snapToGrid w:val="0"/>
              <w:jc w:val="right"/>
              <w:rPr>
                <w:rFonts w:ascii="Arial" w:hAnsi="Arial" w:cs="Arial"/>
                <w:b/>
                <w:bCs/>
                <w:sz w:val="20"/>
                <w:szCs w:val="20"/>
              </w:rPr>
            </w:pPr>
          </w:p>
        </w:tc>
        <w:tc>
          <w:tcPr>
            <w:tcW w:w="985" w:type="dxa"/>
            <w:shd w:val="clear" w:color="auto" w:fill="auto"/>
            <w:vAlign w:val="bottom"/>
          </w:tcPr>
          <w:p w:rsidR="00A01D98" w:rsidRPr="00DE475B" w:rsidRDefault="00A01D98">
            <w:pPr>
              <w:snapToGrid w:val="0"/>
              <w:jc w:val="right"/>
              <w:rPr>
                <w:rFonts w:ascii="Arial" w:hAnsi="Arial" w:cs="Arial"/>
                <w:b/>
                <w:bCs/>
                <w:sz w:val="20"/>
                <w:szCs w:val="20"/>
              </w:rPr>
            </w:pPr>
          </w:p>
        </w:tc>
      </w:tr>
      <w:tr w:rsidR="00A01D98" w:rsidRPr="00DE475B" w:rsidTr="008E69D1">
        <w:trPr>
          <w:trHeight w:val="297"/>
        </w:trPr>
        <w:tc>
          <w:tcPr>
            <w:tcW w:w="3864" w:type="dxa"/>
            <w:gridSpan w:val="3"/>
            <w:shd w:val="clear" w:color="auto" w:fill="auto"/>
            <w:vAlign w:val="bottom"/>
          </w:tcPr>
          <w:p w:rsidR="00A01D98" w:rsidRPr="00DE475B" w:rsidRDefault="00A01D98">
            <w:pPr>
              <w:rPr>
                <w:rFonts w:ascii="Arial" w:hAnsi="Arial" w:cs="Arial"/>
                <w:b/>
                <w:bCs/>
                <w:sz w:val="20"/>
                <w:szCs w:val="20"/>
              </w:rPr>
            </w:pPr>
            <w:r w:rsidRPr="00DE475B">
              <w:rPr>
                <w:rFonts w:ascii="Arial" w:hAnsi="Arial" w:cs="Arial"/>
                <w:b/>
                <w:bCs/>
                <w:i/>
                <w:iCs/>
                <w:sz w:val="20"/>
                <w:szCs w:val="20"/>
              </w:rPr>
              <w:t>Revenue</w:t>
            </w:r>
          </w:p>
        </w:tc>
        <w:tc>
          <w:tcPr>
            <w:tcW w:w="985" w:type="dxa"/>
            <w:shd w:val="clear" w:color="auto" w:fill="auto"/>
            <w:vAlign w:val="bottom"/>
          </w:tcPr>
          <w:p w:rsidR="00A01D98" w:rsidRPr="00DE475B" w:rsidRDefault="00A01D98">
            <w:pPr>
              <w:snapToGrid w:val="0"/>
              <w:jc w:val="center"/>
              <w:rPr>
                <w:rFonts w:ascii="Arial" w:hAnsi="Arial" w:cs="Arial"/>
                <w:b/>
                <w:bCs/>
                <w:sz w:val="20"/>
                <w:szCs w:val="20"/>
              </w:rPr>
            </w:pPr>
          </w:p>
        </w:tc>
        <w:tc>
          <w:tcPr>
            <w:tcW w:w="985" w:type="dxa"/>
            <w:shd w:val="clear" w:color="auto" w:fill="auto"/>
            <w:vAlign w:val="bottom"/>
          </w:tcPr>
          <w:p w:rsidR="00A01D98" w:rsidRPr="00DE475B" w:rsidRDefault="00A01D98">
            <w:pPr>
              <w:snapToGrid w:val="0"/>
              <w:rPr>
                <w:rFonts w:ascii="Arial" w:hAnsi="Arial" w:cs="Arial"/>
                <w:sz w:val="20"/>
                <w:szCs w:val="20"/>
              </w:rPr>
            </w:pPr>
          </w:p>
        </w:tc>
        <w:tc>
          <w:tcPr>
            <w:tcW w:w="985" w:type="dxa"/>
            <w:shd w:val="clear" w:color="auto" w:fill="auto"/>
            <w:vAlign w:val="bottom"/>
          </w:tcPr>
          <w:p w:rsidR="00A01D98" w:rsidRPr="00DE475B" w:rsidRDefault="00A01D98">
            <w:pPr>
              <w:snapToGrid w:val="0"/>
              <w:rPr>
                <w:rFonts w:ascii="Arial" w:hAnsi="Arial" w:cs="Arial"/>
                <w:sz w:val="20"/>
                <w:szCs w:val="20"/>
              </w:rPr>
            </w:pPr>
          </w:p>
        </w:tc>
        <w:tc>
          <w:tcPr>
            <w:tcW w:w="985" w:type="dxa"/>
            <w:shd w:val="clear" w:color="auto" w:fill="auto"/>
            <w:vAlign w:val="bottom"/>
          </w:tcPr>
          <w:p w:rsidR="00A01D98" w:rsidRPr="00DE475B" w:rsidRDefault="00A01D98">
            <w:pPr>
              <w:snapToGrid w:val="0"/>
              <w:rPr>
                <w:rFonts w:ascii="Arial" w:hAnsi="Arial" w:cs="Arial"/>
                <w:sz w:val="20"/>
                <w:szCs w:val="20"/>
              </w:rPr>
            </w:pPr>
          </w:p>
        </w:tc>
        <w:tc>
          <w:tcPr>
            <w:tcW w:w="985" w:type="dxa"/>
            <w:shd w:val="clear" w:color="auto" w:fill="auto"/>
            <w:vAlign w:val="bottom"/>
          </w:tcPr>
          <w:p w:rsidR="00A01D98" w:rsidRPr="00DE475B" w:rsidRDefault="00A01D98">
            <w:pPr>
              <w:snapToGrid w:val="0"/>
              <w:rPr>
                <w:rFonts w:ascii="Arial" w:hAnsi="Arial" w:cs="Arial"/>
                <w:sz w:val="20"/>
                <w:szCs w:val="20"/>
              </w:rPr>
            </w:pPr>
          </w:p>
        </w:tc>
      </w:tr>
      <w:tr w:rsidR="0092097C" w:rsidRPr="00DE475B" w:rsidTr="007113B4">
        <w:trPr>
          <w:trHeight w:val="297"/>
        </w:trPr>
        <w:tc>
          <w:tcPr>
            <w:tcW w:w="284" w:type="dxa"/>
            <w:shd w:val="clear" w:color="auto" w:fill="auto"/>
            <w:vAlign w:val="bottom"/>
          </w:tcPr>
          <w:p w:rsidR="0092097C" w:rsidRPr="00DE475B" w:rsidRDefault="0092097C">
            <w:pPr>
              <w:snapToGrid w:val="0"/>
              <w:rPr>
                <w:rFonts w:ascii="Arial" w:hAnsi="Arial" w:cs="Arial"/>
                <w:b/>
                <w:bCs/>
                <w:sz w:val="20"/>
                <w:szCs w:val="20"/>
              </w:rPr>
            </w:pPr>
          </w:p>
        </w:tc>
        <w:tc>
          <w:tcPr>
            <w:tcW w:w="3580" w:type="dxa"/>
            <w:gridSpan w:val="2"/>
            <w:shd w:val="clear" w:color="auto" w:fill="auto"/>
            <w:vAlign w:val="bottom"/>
          </w:tcPr>
          <w:p w:rsidR="0092097C" w:rsidRPr="00DE475B" w:rsidRDefault="0092097C">
            <w:pPr>
              <w:rPr>
                <w:rFonts w:ascii="Arial" w:hAnsi="Arial" w:cs="Arial"/>
                <w:b/>
                <w:bCs/>
                <w:sz w:val="20"/>
                <w:szCs w:val="20"/>
              </w:rPr>
            </w:pPr>
            <w:r w:rsidRPr="00DE475B">
              <w:rPr>
                <w:rFonts w:ascii="Arial" w:hAnsi="Arial" w:cs="Arial"/>
                <w:sz w:val="20"/>
                <w:szCs w:val="20"/>
              </w:rPr>
              <w:t>User charges</w:t>
            </w:r>
          </w:p>
        </w:tc>
        <w:tc>
          <w:tcPr>
            <w:tcW w:w="985" w:type="dxa"/>
            <w:shd w:val="clear" w:color="auto" w:fill="auto"/>
            <w:vAlign w:val="center"/>
          </w:tcPr>
          <w:p w:rsidR="0092097C" w:rsidRPr="00DE475B" w:rsidRDefault="0092097C" w:rsidP="00E470E5">
            <w:pPr>
              <w:jc w:val="center"/>
              <w:rPr>
                <w:rFonts w:ascii="Arial" w:hAnsi="Arial" w:cs="Arial"/>
                <w:sz w:val="20"/>
                <w:szCs w:val="20"/>
              </w:rPr>
            </w:pPr>
            <w:r w:rsidRPr="00DE475B">
              <w:rPr>
                <w:rFonts w:ascii="Arial" w:hAnsi="Arial" w:cs="Arial"/>
                <w:b/>
                <w:bCs/>
                <w:sz w:val="20"/>
                <w:szCs w:val="20"/>
              </w:rPr>
              <w:t>B1</w:t>
            </w:r>
          </w:p>
        </w:tc>
        <w:tc>
          <w:tcPr>
            <w:tcW w:w="985" w:type="dxa"/>
            <w:shd w:val="clear" w:color="auto" w:fill="auto"/>
            <w:vAlign w:val="center"/>
          </w:tcPr>
          <w:p w:rsidR="0092097C" w:rsidRPr="00DE475B" w:rsidRDefault="0092097C" w:rsidP="00167ABB">
            <w:pPr>
              <w:jc w:val="right"/>
              <w:rPr>
                <w:rFonts w:ascii="Arial" w:hAnsi="Arial" w:cs="Arial"/>
                <w:sz w:val="20"/>
                <w:szCs w:val="20"/>
              </w:rPr>
            </w:pPr>
            <w:r>
              <w:rPr>
                <w:rFonts w:ascii="Arial" w:hAnsi="Arial" w:cs="Arial"/>
                <w:sz w:val="20"/>
                <w:szCs w:val="20"/>
              </w:rPr>
              <w:t>4,405</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sidRPr="00DE475B">
              <w:rPr>
                <w:rFonts w:ascii="Arial" w:hAnsi="Arial" w:cs="Arial"/>
                <w:sz w:val="20"/>
                <w:szCs w:val="20"/>
              </w:rPr>
              <w:t>4,183</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Pr>
                <w:rFonts w:ascii="Arial" w:hAnsi="Arial" w:cs="Arial"/>
                <w:sz w:val="20"/>
                <w:szCs w:val="20"/>
              </w:rPr>
              <w:t>4,402</w:t>
            </w:r>
          </w:p>
        </w:tc>
        <w:tc>
          <w:tcPr>
            <w:tcW w:w="985" w:type="dxa"/>
            <w:shd w:val="clear" w:color="auto" w:fill="auto"/>
          </w:tcPr>
          <w:p w:rsidR="0092097C" w:rsidRPr="00DE475B" w:rsidRDefault="0092097C" w:rsidP="007113B4">
            <w:pPr>
              <w:jc w:val="right"/>
              <w:rPr>
                <w:rFonts w:ascii="Arial" w:hAnsi="Arial" w:cs="Arial"/>
                <w:sz w:val="20"/>
                <w:szCs w:val="20"/>
              </w:rPr>
            </w:pPr>
            <w:r w:rsidRPr="00DE475B">
              <w:rPr>
                <w:rFonts w:ascii="Arial" w:hAnsi="Arial" w:cs="Arial"/>
                <w:sz w:val="20"/>
                <w:szCs w:val="20"/>
              </w:rPr>
              <w:t xml:space="preserve">4,183 </w:t>
            </w:r>
          </w:p>
        </w:tc>
      </w:tr>
      <w:tr w:rsidR="0092097C" w:rsidRPr="00DE475B" w:rsidTr="007113B4">
        <w:trPr>
          <w:trHeight w:val="297"/>
        </w:trPr>
        <w:tc>
          <w:tcPr>
            <w:tcW w:w="284" w:type="dxa"/>
            <w:shd w:val="clear" w:color="auto" w:fill="auto"/>
            <w:vAlign w:val="bottom"/>
          </w:tcPr>
          <w:p w:rsidR="0092097C" w:rsidRPr="00DE475B" w:rsidRDefault="0092097C">
            <w:pPr>
              <w:snapToGrid w:val="0"/>
              <w:rPr>
                <w:rFonts w:ascii="Arial" w:hAnsi="Arial" w:cs="Arial"/>
                <w:b/>
                <w:bCs/>
                <w:sz w:val="20"/>
                <w:szCs w:val="20"/>
              </w:rPr>
            </w:pPr>
          </w:p>
        </w:tc>
        <w:tc>
          <w:tcPr>
            <w:tcW w:w="3580" w:type="dxa"/>
            <w:gridSpan w:val="2"/>
            <w:shd w:val="clear" w:color="auto" w:fill="auto"/>
            <w:vAlign w:val="bottom"/>
          </w:tcPr>
          <w:p w:rsidR="0092097C" w:rsidRPr="00DE475B" w:rsidRDefault="0092097C">
            <w:pPr>
              <w:rPr>
                <w:rFonts w:ascii="Arial" w:hAnsi="Arial" w:cs="Arial"/>
                <w:b/>
                <w:bCs/>
                <w:sz w:val="20"/>
                <w:szCs w:val="20"/>
              </w:rPr>
            </w:pPr>
            <w:r w:rsidRPr="00DE475B">
              <w:rPr>
                <w:rFonts w:ascii="Arial" w:hAnsi="Arial" w:cs="Arial"/>
                <w:sz w:val="20"/>
                <w:szCs w:val="20"/>
              </w:rPr>
              <w:t>Grants and other contributions</w:t>
            </w:r>
          </w:p>
        </w:tc>
        <w:tc>
          <w:tcPr>
            <w:tcW w:w="985" w:type="dxa"/>
            <w:shd w:val="clear" w:color="auto" w:fill="auto"/>
            <w:vAlign w:val="center"/>
          </w:tcPr>
          <w:p w:rsidR="0092097C" w:rsidRPr="00DE475B" w:rsidRDefault="0092097C" w:rsidP="00E470E5">
            <w:pPr>
              <w:jc w:val="center"/>
              <w:rPr>
                <w:rFonts w:ascii="Arial" w:hAnsi="Arial" w:cs="Arial"/>
                <w:sz w:val="20"/>
                <w:szCs w:val="20"/>
              </w:rPr>
            </w:pPr>
            <w:r w:rsidRPr="00DE475B">
              <w:rPr>
                <w:rFonts w:ascii="Arial" w:hAnsi="Arial" w:cs="Arial"/>
                <w:b/>
                <w:bCs/>
                <w:sz w:val="20"/>
                <w:szCs w:val="20"/>
              </w:rPr>
              <w:t>B1</w:t>
            </w:r>
          </w:p>
        </w:tc>
        <w:tc>
          <w:tcPr>
            <w:tcW w:w="985" w:type="dxa"/>
            <w:shd w:val="clear" w:color="auto" w:fill="auto"/>
            <w:vAlign w:val="center"/>
          </w:tcPr>
          <w:p w:rsidR="0092097C" w:rsidRPr="00DE475B" w:rsidRDefault="0092097C" w:rsidP="008E69D1">
            <w:pPr>
              <w:jc w:val="right"/>
              <w:rPr>
                <w:rFonts w:ascii="Arial" w:hAnsi="Arial" w:cs="Arial"/>
                <w:sz w:val="20"/>
                <w:szCs w:val="20"/>
              </w:rPr>
            </w:pPr>
            <w:r w:rsidRPr="0092097C">
              <w:rPr>
                <w:rFonts w:ascii="Arial" w:hAnsi="Arial" w:cs="Arial"/>
                <w:color w:val="auto"/>
                <w:sz w:val="20"/>
                <w:szCs w:val="20"/>
                <w:lang w:eastAsia="en-AU"/>
              </w:rPr>
              <w:t>74,785</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sidRPr="00DE475B">
              <w:rPr>
                <w:rFonts w:ascii="Arial" w:hAnsi="Arial" w:cs="Arial"/>
                <w:sz w:val="20"/>
                <w:szCs w:val="20"/>
              </w:rPr>
              <w:t>75,236</w:t>
            </w:r>
          </w:p>
        </w:tc>
        <w:tc>
          <w:tcPr>
            <w:tcW w:w="985" w:type="dxa"/>
            <w:shd w:val="clear" w:color="auto" w:fill="auto"/>
            <w:vAlign w:val="center"/>
          </w:tcPr>
          <w:p w:rsidR="0092097C" w:rsidRPr="00DE475B" w:rsidRDefault="00B148F0" w:rsidP="007113B4">
            <w:pPr>
              <w:jc w:val="right"/>
              <w:rPr>
                <w:rFonts w:ascii="Arial" w:hAnsi="Arial" w:cs="Arial"/>
                <w:sz w:val="20"/>
                <w:szCs w:val="20"/>
              </w:rPr>
            </w:pPr>
            <w:r>
              <w:rPr>
                <w:rFonts w:ascii="Arial" w:hAnsi="Arial" w:cs="Arial"/>
                <w:color w:val="auto"/>
                <w:sz w:val="20"/>
                <w:szCs w:val="20"/>
                <w:lang w:eastAsia="en-AU"/>
              </w:rPr>
              <w:t>74,98</w:t>
            </w:r>
            <w:r w:rsidR="0092097C">
              <w:rPr>
                <w:rFonts w:ascii="Arial" w:hAnsi="Arial" w:cs="Arial"/>
                <w:color w:val="auto"/>
                <w:sz w:val="20"/>
                <w:szCs w:val="20"/>
                <w:lang w:eastAsia="en-AU"/>
              </w:rPr>
              <w:t>7</w:t>
            </w:r>
          </w:p>
        </w:tc>
        <w:tc>
          <w:tcPr>
            <w:tcW w:w="985" w:type="dxa"/>
            <w:shd w:val="clear" w:color="auto" w:fill="auto"/>
          </w:tcPr>
          <w:p w:rsidR="0092097C" w:rsidRPr="00DE475B" w:rsidRDefault="0092097C" w:rsidP="007113B4">
            <w:pPr>
              <w:jc w:val="right"/>
              <w:rPr>
                <w:rFonts w:ascii="Arial" w:hAnsi="Arial" w:cs="Arial"/>
                <w:sz w:val="20"/>
                <w:szCs w:val="20"/>
              </w:rPr>
            </w:pPr>
            <w:r w:rsidRPr="00DE475B">
              <w:rPr>
                <w:rFonts w:ascii="Arial" w:hAnsi="Arial" w:cs="Arial"/>
                <w:sz w:val="20"/>
                <w:szCs w:val="20"/>
              </w:rPr>
              <w:t xml:space="preserve">75,450 </w:t>
            </w:r>
          </w:p>
        </w:tc>
      </w:tr>
      <w:tr w:rsidR="0092097C" w:rsidRPr="00DE475B" w:rsidTr="007113B4">
        <w:trPr>
          <w:trHeight w:val="297"/>
        </w:trPr>
        <w:tc>
          <w:tcPr>
            <w:tcW w:w="284" w:type="dxa"/>
            <w:shd w:val="clear" w:color="auto" w:fill="auto"/>
            <w:vAlign w:val="bottom"/>
          </w:tcPr>
          <w:p w:rsidR="0092097C" w:rsidRPr="00DE475B" w:rsidRDefault="0092097C">
            <w:pPr>
              <w:snapToGrid w:val="0"/>
              <w:rPr>
                <w:rFonts w:ascii="Arial" w:hAnsi="Arial" w:cs="Arial"/>
                <w:b/>
                <w:bCs/>
                <w:sz w:val="20"/>
                <w:szCs w:val="20"/>
              </w:rPr>
            </w:pPr>
          </w:p>
        </w:tc>
        <w:tc>
          <w:tcPr>
            <w:tcW w:w="3580" w:type="dxa"/>
            <w:gridSpan w:val="2"/>
            <w:shd w:val="clear" w:color="auto" w:fill="auto"/>
            <w:vAlign w:val="bottom"/>
          </w:tcPr>
          <w:p w:rsidR="0092097C" w:rsidRPr="00DE475B" w:rsidRDefault="0092097C">
            <w:pPr>
              <w:rPr>
                <w:rFonts w:ascii="Arial" w:hAnsi="Arial" w:cs="Arial"/>
                <w:b/>
                <w:bCs/>
                <w:sz w:val="20"/>
                <w:szCs w:val="20"/>
              </w:rPr>
            </w:pPr>
            <w:r w:rsidRPr="00DE475B">
              <w:rPr>
                <w:rFonts w:ascii="Arial" w:hAnsi="Arial" w:cs="Arial"/>
                <w:sz w:val="20"/>
                <w:szCs w:val="20"/>
              </w:rPr>
              <w:t>Interest</w:t>
            </w:r>
          </w:p>
        </w:tc>
        <w:tc>
          <w:tcPr>
            <w:tcW w:w="985" w:type="dxa"/>
            <w:shd w:val="clear" w:color="auto" w:fill="auto"/>
            <w:vAlign w:val="bottom"/>
          </w:tcPr>
          <w:p w:rsidR="0092097C" w:rsidRPr="00DE475B" w:rsidRDefault="0092097C">
            <w:pPr>
              <w:jc w:val="center"/>
              <w:rPr>
                <w:rFonts w:ascii="Arial" w:hAnsi="Arial" w:cs="Arial"/>
                <w:sz w:val="20"/>
                <w:szCs w:val="20"/>
              </w:rPr>
            </w:pPr>
          </w:p>
        </w:tc>
        <w:tc>
          <w:tcPr>
            <w:tcW w:w="985" w:type="dxa"/>
            <w:shd w:val="clear" w:color="auto" w:fill="auto"/>
            <w:vAlign w:val="center"/>
          </w:tcPr>
          <w:p w:rsidR="0092097C" w:rsidRPr="00DE475B" w:rsidRDefault="0092097C" w:rsidP="00167ABB">
            <w:pPr>
              <w:jc w:val="right"/>
              <w:rPr>
                <w:rFonts w:ascii="Arial" w:hAnsi="Arial" w:cs="Arial"/>
                <w:sz w:val="20"/>
                <w:szCs w:val="20"/>
              </w:rPr>
            </w:pPr>
            <w:r w:rsidRPr="0092097C">
              <w:rPr>
                <w:rFonts w:ascii="Arial" w:hAnsi="Arial" w:cs="Arial"/>
                <w:color w:val="auto"/>
                <w:sz w:val="20"/>
                <w:szCs w:val="20"/>
                <w:lang w:eastAsia="en-AU"/>
              </w:rPr>
              <w:t>73</w:t>
            </w:r>
            <w:r>
              <w:rPr>
                <w:rFonts w:ascii="Arial" w:hAnsi="Arial" w:cs="Arial"/>
                <w:color w:val="auto"/>
                <w:sz w:val="20"/>
                <w:szCs w:val="20"/>
                <w:lang w:eastAsia="en-AU"/>
              </w:rPr>
              <w:t>6</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sidRPr="00DE475B">
              <w:rPr>
                <w:rFonts w:ascii="Arial" w:hAnsi="Arial" w:cs="Arial"/>
                <w:sz w:val="20"/>
                <w:szCs w:val="20"/>
              </w:rPr>
              <w:t>903</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Pr>
                <w:rFonts w:ascii="Arial" w:hAnsi="Arial" w:cs="Arial"/>
                <w:color w:val="auto"/>
                <w:sz w:val="20"/>
                <w:szCs w:val="20"/>
                <w:lang w:eastAsia="en-AU"/>
              </w:rPr>
              <w:t>587</w:t>
            </w:r>
          </w:p>
        </w:tc>
        <w:tc>
          <w:tcPr>
            <w:tcW w:w="985" w:type="dxa"/>
            <w:shd w:val="clear" w:color="auto" w:fill="auto"/>
          </w:tcPr>
          <w:p w:rsidR="0092097C" w:rsidRPr="00DE475B" w:rsidRDefault="0092097C" w:rsidP="007113B4">
            <w:pPr>
              <w:jc w:val="right"/>
              <w:rPr>
                <w:rFonts w:ascii="Arial" w:hAnsi="Arial" w:cs="Arial"/>
                <w:sz w:val="20"/>
                <w:szCs w:val="20"/>
              </w:rPr>
            </w:pPr>
            <w:r w:rsidRPr="00DE475B">
              <w:rPr>
                <w:rFonts w:ascii="Arial" w:hAnsi="Arial" w:cs="Arial"/>
                <w:sz w:val="20"/>
                <w:szCs w:val="20"/>
              </w:rPr>
              <w:t xml:space="preserve">740 </w:t>
            </w:r>
          </w:p>
        </w:tc>
      </w:tr>
      <w:tr w:rsidR="0092097C" w:rsidRPr="00DE475B" w:rsidTr="008E69D1">
        <w:trPr>
          <w:trHeight w:val="162"/>
        </w:trPr>
        <w:tc>
          <w:tcPr>
            <w:tcW w:w="284" w:type="dxa"/>
            <w:shd w:val="clear" w:color="auto" w:fill="auto"/>
            <w:vAlign w:val="bottom"/>
          </w:tcPr>
          <w:p w:rsidR="0092097C" w:rsidRPr="00DE475B" w:rsidRDefault="0092097C">
            <w:pPr>
              <w:snapToGrid w:val="0"/>
              <w:rPr>
                <w:rFonts w:ascii="Arial" w:hAnsi="Arial" w:cs="Arial"/>
                <w:b/>
                <w:bCs/>
                <w:sz w:val="20"/>
                <w:szCs w:val="20"/>
              </w:rPr>
            </w:pPr>
          </w:p>
        </w:tc>
        <w:tc>
          <w:tcPr>
            <w:tcW w:w="3580" w:type="dxa"/>
            <w:gridSpan w:val="2"/>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jc w:val="center"/>
              <w:rPr>
                <w:rFonts w:ascii="Arial" w:hAnsi="Arial" w:cs="Arial"/>
                <w:b/>
                <w:bCs/>
                <w:sz w:val="20"/>
                <w:szCs w:val="20"/>
              </w:rPr>
            </w:pPr>
          </w:p>
        </w:tc>
        <w:tc>
          <w:tcPr>
            <w:tcW w:w="985" w:type="dxa"/>
            <w:tcBorders>
              <w:bottom w:val="single" w:sz="4" w:space="0" w:color="000000"/>
            </w:tcBorders>
            <w:shd w:val="clear" w:color="auto" w:fill="auto"/>
            <w:vAlign w:val="bottom"/>
          </w:tcPr>
          <w:p w:rsidR="0092097C" w:rsidRPr="00DE475B" w:rsidRDefault="0092097C">
            <w:pPr>
              <w:rPr>
                <w:rFonts w:ascii="Arial" w:hAnsi="Arial" w:cs="Arial"/>
                <w:sz w:val="20"/>
                <w:szCs w:val="20"/>
              </w:rPr>
            </w:pPr>
          </w:p>
        </w:tc>
        <w:tc>
          <w:tcPr>
            <w:tcW w:w="985" w:type="dxa"/>
            <w:tcBorders>
              <w:bottom w:val="single" w:sz="4" w:space="0" w:color="000000"/>
            </w:tcBorders>
            <w:shd w:val="clear" w:color="auto" w:fill="auto"/>
            <w:vAlign w:val="bottom"/>
          </w:tcPr>
          <w:p w:rsidR="0092097C" w:rsidRPr="00DE475B" w:rsidRDefault="0092097C">
            <w:pPr>
              <w:rPr>
                <w:rFonts w:ascii="Arial" w:hAnsi="Arial" w:cs="Arial"/>
                <w:sz w:val="20"/>
                <w:szCs w:val="20"/>
              </w:rPr>
            </w:pPr>
            <w:r w:rsidRPr="00DE475B">
              <w:rPr>
                <w:rFonts w:ascii="Arial" w:hAnsi="Arial" w:cs="Arial"/>
                <w:sz w:val="20"/>
                <w:szCs w:val="20"/>
              </w:rPr>
              <w:t> </w:t>
            </w:r>
          </w:p>
        </w:tc>
        <w:tc>
          <w:tcPr>
            <w:tcW w:w="985" w:type="dxa"/>
            <w:tcBorders>
              <w:bottom w:val="single" w:sz="4" w:space="0" w:color="000000"/>
            </w:tcBorders>
            <w:shd w:val="clear" w:color="auto" w:fill="auto"/>
            <w:vAlign w:val="bottom"/>
          </w:tcPr>
          <w:p w:rsidR="0092097C" w:rsidRPr="00DE475B" w:rsidRDefault="0092097C">
            <w:pPr>
              <w:rPr>
                <w:rFonts w:ascii="Arial" w:hAnsi="Arial" w:cs="Arial"/>
                <w:sz w:val="20"/>
                <w:szCs w:val="20"/>
              </w:rPr>
            </w:pPr>
            <w:r w:rsidRPr="00DE475B">
              <w:rPr>
                <w:rFonts w:ascii="Arial" w:hAnsi="Arial" w:cs="Arial"/>
                <w:sz w:val="20"/>
                <w:szCs w:val="20"/>
              </w:rPr>
              <w:t> </w:t>
            </w:r>
          </w:p>
        </w:tc>
        <w:tc>
          <w:tcPr>
            <w:tcW w:w="985" w:type="dxa"/>
            <w:tcBorders>
              <w:bottom w:val="single" w:sz="4" w:space="0" w:color="000000"/>
            </w:tcBorders>
            <w:shd w:val="clear" w:color="auto" w:fill="auto"/>
            <w:vAlign w:val="bottom"/>
          </w:tcPr>
          <w:p w:rsidR="0092097C" w:rsidRPr="00DE475B" w:rsidRDefault="0092097C">
            <w:pPr>
              <w:rPr>
                <w:rFonts w:ascii="Arial" w:hAnsi="Arial" w:cs="Arial"/>
                <w:b/>
                <w:bCs/>
                <w:sz w:val="20"/>
                <w:szCs w:val="20"/>
              </w:rPr>
            </w:pPr>
            <w:r w:rsidRPr="00DE475B">
              <w:rPr>
                <w:rFonts w:ascii="Arial" w:hAnsi="Arial" w:cs="Arial"/>
                <w:sz w:val="20"/>
                <w:szCs w:val="20"/>
              </w:rPr>
              <w:t> </w:t>
            </w:r>
          </w:p>
        </w:tc>
      </w:tr>
      <w:tr w:rsidR="0092097C" w:rsidRPr="00DE475B" w:rsidTr="008E69D1">
        <w:trPr>
          <w:trHeight w:val="297"/>
        </w:trPr>
        <w:tc>
          <w:tcPr>
            <w:tcW w:w="4849" w:type="dxa"/>
            <w:gridSpan w:val="4"/>
            <w:shd w:val="clear" w:color="auto" w:fill="auto"/>
            <w:vAlign w:val="bottom"/>
          </w:tcPr>
          <w:p w:rsidR="0092097C" w:rsidRPr="00DE475B" w:rsidRDefault="0092097C">
            <w:pPr>
              <w:rPr>
                <w:rFonts w:ascii="Arial" w:hAnsi="Arial" w:cs="Arial"/>
                <w:sz w:val="20"/>
                <w:szCs w:val="20"/>
              </w:rPr>
            </w:pPr>
            <w:r w:rsidRPr="00DE475B">
              <w:rPr>
                <w:rFonts w:ascii="Arial" w:hAnsi="Arial" w:cs="Arial"/>
                <w:b/>
                <w:bCs/>
                <w:sz w:val="20"/>
                <w:szCs w:val="20"/>
              </w:rPr>
              <w:t>Total Income from Continuing Operations</w:t>
            </w:r>
          </w:p>
        </w:tc>
        <w:tc>
          <w:tcPr>
            <w:tcW w:w="985" w:type="dxa"/>
            <w:tcBorders>
              <w:top w:val="single" w:sz="8" w:space="0" w:color="000000"/>
              <w:bottom w:val="single" w:sz="8" w:space="0" w:color="000000"/>
            </w:tcBorders>
            <w:shd w:val="clear" w:color="auto" w:fill="auto"/>
            <w:vAlign w:val="center"/>
          </w:tcPr>
          <w:p w:rsidR="0092097C" w:rsidRPr="00DE475B" w:rsidRDefault="0092097C" w:rsidP="008E69D1">
            <w:pPr>
              <w:jc w:val="right"/>
              <w:rPr>
                <w:rFonts w:ascii="Arial" w:hAnsi="Arial" w:cs="Arial"/>
                <w:sz w:val="20"/>
                <w:szCs w:val="20"/>
              </w:rPr>
            </w:pPr>
            <w:r>
              <w:rPr>
                <w:rFonts w:ascii="Arial" w:hAnsi="Arial" w:cs="Arial"/>
                <w:sz w:val="20"/>
                <w:szCs w:val="20"/>
              </w:rPr>
              <w:t>79,926</w:t>
            </w:r>
          </w:p>
        </w:tc>
        <w:tc>
          <w:tcPr>
            <w:tcW w:w="985" w:type="dxa"/>
            <w:tcBorders>
              <w:top w:val="single" w:sz="8" w:space="0" w:color="000000"/>
              <w:bottom w:val="single" w:sz="8" w:space="0" w:color="000000"/>
            </w:tcBorders>
            <w:shd w:val="clear" w:color="auto" w:fill="auto"/>
            <w:vAlign w:val="center"/>
          </w:tcPr>
          <w:p w:rsidR="0092097C" w:rsidRPr="00DE475B" w:rsidRDefault="0092097C" w:rsidP="0004451F">
            <w:pPr>
              <w:jc w:val="right"/>
              <w:rPr>
                <w:rFonts w:ascii="Arial" w:hAnsi="Arial" w:cs="Arial"/>
                <w:sz w:val="20"/>
                <w:szCs w:val="20"/>
              </w:rPr>
            </w:pPr>
            <w:r w:rsidRPr="00DE475B">
              <w:rPr>
                <w:rFonts w:ascii="Arial" w:hAnsi="Arial" w:cs="Arial"/>
                <w:sz w:val="20"/>
                <w:szCs w:val="20"/>
              </w:rPr>
              <w:t>80,322</w:t>
            </w:r>
          </w:p>
        </w:tc>
        <w:tc>
          <w:tcPr>
            <w:tcW w:w="985" w:type="dxa"/>
            <w:tcBorders>
              <w:top w:val="single" w:sz="8" w:space="0" w:color="000000"/>
              <w:bottom w:val="single" w:sz="8" w:space="0" w:color="000000"/>
            </w:tcBorders>
            <w:shd w:val="clear" w:color="auto" w:fill="auto"/>
            <w:vAlign w:val="center"/>
          </w:tcPr>
          <w:p w:rsidR="0092097C" w:rsidRPr="00DE475B" w:rsidRDefault="0092097C" w:rsidP="0092097C">
            <w:pPr>
              <w:jc w:val="right"/>
              <w:rPr>
                <w:rFonts w:ascii="Arial" w:hAnsi="Arial" w:cs="Arial"/>
                <w:sz w:val="20"/>
                <w:szCs w:val="20"/>
              </w:rPr>
            </w:pPr>
            <w:r>
              <w:rPr>
                <w:rFonts w:ascii="Arial" w:hAnsi="Arial" w:cs="Arial"/>
                <w:sz w:val="20"/>
                <w:szCs w:val="20"/>
              </w:rPr>
              <w:t>79,976</w:t>
            </w:r>
          </w:p>
        </w:tc>
        <w:tc>
          <w:tcPr>
            <w:tcW w:w="985" w:type="dxa"/>
            <w:tcBorders>
              <w:top w:val="single" w:sz="8" w:space="0" w:color="000000"/>
              <w:bottom w:val="single" w:sz="8" w:space="0" w:color="000000"/>
            </w:tcBorders>
            <w:shd w:val="clear" w:color="auto" w:fill="auto"/>
            <w:vAlign w:val="center"/>
          </w:tcPr>
          <w:p w:rsidR="0092097C" w:rsidRPr="00DE475B" w:rsidRDefault="0092097C" w:rsidP="0004451F">
            <w:pPr>
              <w:jc w:val="right"/>
              <w:rPr>
                <w:rFonts w:ascii="Arial" w:hAnsi="Arial" w:cs="Arial"/>
                <w:sz w:val="20"/>
                <w:szCs w:val="20"/>
              </w:rPr>
            </w:pPr>
            <w:r w:rsidRPr="00DE475B">
              <w:rPr>
                <w:rFonts w:ascii="Arial" w:hAnsi="Arial" w:cs="Arial"/>
                <w:sz w:val="20"/>
                <w:szCs w:val="20"/>
              </w:rPr>
              <w:t>80,373</w:t>
            </w:r>
          </w:p>
        </w:tc>
      </w:tr>
      <w:tr w:rsidR="0092097C" w:rsidRPr="00DE475B" w:rsidTr="008E69D1">
        <w:trPr>
          <w:trHeight w:val="162"/>
        </w:trPr>
        <w:tc>
          <w:tcPr>
            <w:tcW w:w="3844" w:type="dxa"/>
            <w:gridSpan w:val="2"/>
            <w:shd w:val="clear" w:color="auto" w:fill="auto"/>
            <w:vAlign w:val="bottom"/>
          </w:tcPr>
          <w:p w:rsidR="0092097C" w:rsidRPr="00DE475B" w:rsidRDefault="0092097C">
            <w:pPr>
              <w:snapToGrid w:val="0"/>
              <w:rPr>
                <w:rFonts w:ascii="Arial" w:hAnsi="Arial" w:cs="Arial"/>
                <w:sz w:val="20"/>
                <w:szCs w:val="20"/>
              </w:rPr>
            </w:pPr>
          </w:p>
        </w:tc>
        <w:tc>
          <w:tcPr>
            <w:tcW w:w="1005" w:type="dxa"/>
            <w:gridSpan w:val="2"/>
            <w:shd w:val="clear" w:color="auto" w:fill="auto"/>
            <w:vAlign w:val="bottom"/>
          </w:tcPr>
          <w:p w:rsidR="0092097C" w:rsidRPr="00DE475B" w:rsidRDefault="0092097C">
            <w:pPr>
              <w:snapToGrid w:val="0"/>
              <w:jc w:val="center"/>
              <w:rPr>
                <w:rFonts w:ascii="Arial" w:hAnsi="Arial" w:cs="Arial"/>
                <w:b/>
                <w:bCs/>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r>
      <w:tr w:rsidR="0092097C" w:rsidRPr="00DE475B" w:rsidTr="008E69D1">
        <w:trPr>
          <w:trHeight w:val="162"/>
        </w:trPr>
        <w:tc>
          <w:tcPr>
            <w:tcW w:w="3844" w:type="dxa"/>
            <w:gridSpan w:val="2"/>
            <w:shd w:val="clear" w:color="auto" w:fill="auto"/>
            <w:vAlign w:val="bottom"/>
          </w:tcPr>
          <w:p w:rsidR="0092097C" w:rsidRPr="00DE475B" w:rsidRDefault="0092097C">
            <w:pPr>
              <w:snapToGrid w:val="0"/>
              <w:rPr>
                <w:rFonts w:ascii="Arial" w:hAnsi="Arial" w:cs="Arial"/>
                <w:sz w:val="20"/>
                <w:szCs w:val="20"/>
              </w:rPr>
            </w:pPr>
          </w:p>
        </w:tc>
        <w:tc>
          <w:tcPr>
            <w:tcW w:w="1005" w:type="dxa"/>
            <w:gridSpan w:val="2"/>
            <w:shd w:val="clear" w:color="auto" w:fill="auto"/>
            <w:vAlign w:val="bottom"/>
          </w:tcPr>
          <w:p w:rsidR="0092097C" w:rsidRPr="00DE475B" w:rsidRDefault="0092097C">
            <w:pPr>
              <w:snapToGrid w:val="0"/>
              <w:jc w:val="center"/>
              <w:rPr>
                <w:rFonts w:ascii="Arial" w:hAnsi="Arial" w:cs="Arial"/>
                <w:b/>
                <w:bCs/>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r>
      <w:tr w:rsidR="0092097C" w:rsidRPr="00DE475B" w:rsidTr="008E69D1">
        <w:trPr>
          <w:trHeight w:val="297"/>
        </w:trPr>
        <w:tc>
          <w:tcPr>
            <w:tcW w:w="4849" w:type="dxa"/>
            <w:gridSpan w:val="4"/>
            <w:shd w:val="clear" w:color="auto" w:fill="auto"/>
            <w:vAlign w:val="center"/>
          </w:tcPr>
          <w:p w:rsidR="0092097C" w:rsidRPr="00DE475B" w:rsidRDefault="0092097C" w:rsidP="0066123F">
            <w:pPr>
              <w:rPr>
                <w:rFonts w:ascii="Arial" w:hAnsi="Arial" w:cs="Arial"/>
                <w:sz w:val="20"/>
                <w:szCs w:val="20"/>
              </w:rPr>
            </w:pPr>
            <w:r w:rsidRPr="00DE475B">
              <w:rPr>
                <w:rFonts w:ascii="Arial" w:hAnsi="Arial" w:cs="Arial"/>
                <w:b/>
                <w:bCs/>
                <w:sz w:val="20"/>
                <w:szCs w:val="20"/>
              </w:rPr>
              <w:t>Expenses from Continuing Operations</w:t>
            </w: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r>
      <w:tr w:rsidR="0092097C" w:rsidRPr="00DE475B" w:rsidTr="008E69D1">
        <w:trPr>
          <w:trHeight w:val="297"/>
        </w:trPr>
        <w:tc>
          <w:tcPr>
            <w:tcW w:w="284" w:type="dxa"/>
            <w:shd w:val="clear" w:color="auto" w:fill="auto"/>
            <w:vAlign w:val="bottom"/>
          </w:tcPr>
          <w:p w:rsidR="0092097C" w:rsidRPr="00DE475B" w:rsidRDefault="0092097C">
            <w:pPr>
              <w:snapToGrid w:val="0"/>
              <w:rPr>
                <w:rFonts w:ascii="Arial" w:hAnsi="Arial" w:cs="Arial"/>
                <w:b/>
                <w:bCs/>
                <w:sz w:val="20"/>
                <w:szCs w:val="20"/>
              </w:rPr>
            </w:pPr>
          </w:p>
        </w:tc>
        <w:tc>
          <w:tcPr>
            <w:tcW w:w="3580" w:type="dxa"/>
            <w:gridSpan w:val="2"/>
            <w:shd w:val="clear" w:color="auto" w:fill="auto"/>
            <w:vAlign w:val="bottom"/>
          </w:tcPr>
          <w:p w:rsidR="0092097C" w:rsidRPr="00DE475B" w:rsidRDefault="0092097C">
            <w:pPr>
              <w:rPr>
                <w:rFonts w:ascii="Arial" w:hAnsi="Arial" w:cs="Arial"/>
                <w:b/>
                <w:bCs/>
                <w:sz w:val="20"/>
                <w:szCs w:val="20"/>
              </w:rPr>
            </w:pPr>
            <w:r w:rsidRPr="00DE475B">
              <w:rPr>
                <w:rFonts w:ascii="Arial" w:hAnsi="Arial" w:cs="Arial"/>
                <w:sz w:val="20"/>
                <w:szCs w:val="20"/>
              </w:rPr>
              <w:t>Employee expenses</w:t>
            </w:r>
          </w:p>
        </w:tc>
        <w:tc>
          <w:tcPr>
            <w:tcW w:w="985" w:type="dxa"/>
            <w:shd w:val="clear" w:color="auto" w:fill="auto"/>
            <w:vAlign w:val="center"/>
          </w:tcPr>
          <w:p w:rsidR="0092097C" w:rsidRPr="00DE475B" w:rsidRDefault="0092097C" w:rsidP="00E470E5">
            <w:pPr>
              <w:jc w:val="center"/>
              <w:rPr>
                <w:rFonts w:ascii="Arial" w:hAnsi="Arial" w:cs="Arial"/>
                <w:sz w:val="20"/>
                <w:szCs w:val="20"/>
              </w:rPr>
            </w:pPr>
            <w:r w:rsidRPr="00DE475B">
              <w:rPr>
                <w:rFonts w:ascii="Arial" w:hAnsi="Arial" w:cs="Arial"/>
                <w:b/>
                <w:bCs/>
                <w:sz w:val="20"/>
                <w:szCs w:val="20"/>
              </w:rPr>
              <w:t>B2</w:t>
            </w:r>
          </w:p>
        </w:tc>
        <w:tc>
          <w:tcPr>
            <w:tcW w:w="985" w:type="dxa"/>
            <w:shd w:val="clear" w:color="auto" w:fill="auto"/>
            <w:vAlign w:val="center"/>
          </w:tcPr>
          <w:p w:rsidR="0092097C" w:rsidRPr="00DE475B" w:rsidRDefault="0092097C" w:rsidP="0092097C">
            <w:pPr>
              <w:jc w:val="right"/>
              <w:rPr>
                <w:rFonts w:ascii="Arial" w:hAnsi="Arial" w:cs="Arial"/>
                <w:sz w:val="20"/>
                <w:szCs w:val="20"/>
              </w:rPr>
            </w:pPr>
            <w:r>
              <w:rPr>
                <w:rFonts w:ascii="Arial" w:hAnsi="Arial" w:cs="Arial"/>
                <w:sz w:val="20"/>
                <w:szCs w:val="20"/>
              </w:rPr>
              <w:t xml:space="preserve">27,690 </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sidRPr="00DE475B">
              <w:rPr>
                <w:rFonts w:ascii="Arial" w:hAnsi="Arial" w:cs="Arial"/>
                <w:sz w:val="20"/>
                <w:szCs w:val="20"/>
              </w:rPr>
              <w:t xml:space="preserve">28,269 </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Pr>
                <w:rFonts w:ascii="Arial" w:hAnsi="Arial" w:cs="Arial"/>
                <w:sz w:val="20"/>
                <w:szCs w:val="20"/>
              </w:rPr>
              <w:t xml:space="preserve">27,690 </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sidRPr="00DE475B">
              <w:rPr>
                <w:rFonts w:ascii="Arial" w:hAnsi="Arial" w:cs="Arial"/>
                <w:sz w:val="20"/>
                <w:szCs w:val="20"/>
              </w:rPr>
              <w:t xml:space="preserve">28,269 </w:t>
            </w:r>
          </w:p>
        </w:tc>
      </w:tr>
      <w:tr w:rsidR="0092097C" w:rsidRPr="00DE475B" w:rsidTr="008E69D1">
        <w:trPr>
          <w:trHeight w:val="297"/>
        </w:trPr>
        <w:tc>
          <w:tcPr>
            <w:tcW w:w="284" w:type="dxa"/>
            <w:shd w:val="clear" w:color="auto" w:fill="auto"/>
            <w:vAlign w:val="bottom"/>
          </w:tcPr>
          <w:p w:rsidR="0092097C" w:rsidRPr="00DE475B" w:rsidRDefault="0092097C">
            <w:pPr>
              <w:snapToGrid w:val="0"/>
              <w:rPr>
                <w:rFonts w:ascii="Arial" w:hAnsi="Arial" w:cs="Arial"/>
                <w:b/>
                <w:bCs/>
                <w:sz w:val="20"/>
                <w:szCs w:val="20"/>
              </w:rPr>
            </w:pPr>
          </w:p>
        </w:tc>
        <w:tc>
          <w:tcPr>
            <w:tcW w:w="3580" w:type="dxa"/>
            <w:gridSpan w:val="2"/>
            <w:shd w:val="clear" w:color="auto" w:fill="auto"/>
            <w:vAlign w:val="bottom"/>
          </w:tcPr>
          <w:p w:rsidR="0092097C" w:rsidRPr="00DE475B" w:rsidRDefault="0092097C">
            <w:pPr>
              <w:rPr>
                <w:rFonts w:ascii="Arial" w:hAnsi="Arial" w:cs="Arial"/>
                <w:b/>
                <w:bCs/>
                <w:sz w:val="20"/>
                <w:szCs w:val="20"/>
              </w:rPr>
            </w:pPr>
            <w:r w:rsidRPr="00DE475B">
              <w:rPr>
                <w:rFonts w:ascii="Arial" w:hAnsi="Arial" w:cs="Arial"/>
                <w:sz w:val="20"/>
                <w:szCs w:val="20"/>
              </w:rPr>
              <w:t>Supplies and services</w:t>
            </w:r>
          </w:p>
        </w:tc>
        <w:tc>
          <w:tcPr>
            <w:tcW w:w="985" w:type="dxa"/>
            <w:shd w:val="clear" w:color="auto" w:fill="auto"/>
            <w:vAlign w:val="center"/>
          </w:tcPr>
          <w:p w:rsidR="0092097C" w:rsidRPr="00DE475B" w:rsidRDefault="0092097C" w:rsidP="00E470E5">
            <w:pPr>
              <w:jc w:val="center"/>
              <w:rPr>
                <w:rFonts w:ascii="Arial" w:hAnsi="Arial" w:cs="Arial"/>
                <w:sz w:val="20"/>
                <w:szCs w:val="20"/>
              </w:rPr>
            </w:pPr>
            <w:r w:rsidRPr="00DE475B">
              <w:rPr>
                <w:rFonts w:ascii="Arial" w:hAnsi="Arial" w:cs="Arial"/>
                <w:b/>
                <w:bCs/>
                <w:sz w:val="20"/>
                <w:szCs w:val="20"/>
              </w:rPr>
              <w:t>B2</w:t>
            </w:r>
          </w:p>
        </w:tc>
        <w:tc>
          <w:tcPr>
            <w:tcW w:w="985" w:type="dxa"/>
            <w:shd w:val="clear" w:color="auto" w:fill="auto"/>
            <w:vAlign w:val="center"/>
          </w:tcPr>
          <w:p w:rsidR="0092097C" w:rsidRPr="00DE475B" w:rsidRDefault="0092097C" w:rsidP="0092097C">
            <w:pPr>
              <w:jc w:val="right"/>
              <w:rPr>
                <w:rFonts w:ascii="Arial" w:hAnsi="Arial" w:cs="Arial"/>
                <w:sz w:val="20"/>
                <w:szCs w:val="20"/>
              </w:rPr>
            </w:pPr>
            <w:r>
              <w:rPr>
                <w:rFonts w:ascii="Arial" w:hAnsi="Arial" w:cs="Arial"/>
                <w:sz w:val="20"/>
                <w:szCs w:val="20"/>
              </w:rPr>
              <w:t xml:space="preserve">23,123 </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sidRPr="00DE475B">
              <w:rPr>
                <w:rFonts w:ascii="Arial" w:hAnsi="Arial" w:cs="Arial"/>
                <w:sz w:val="20"/>
                <w:szCs w:val="20"/>
              </w:rPr>
              <w:t xml:space="preserve">23,887 </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Pr>
                <w:rFonts w:ascii="Arial" w:hAnsi="Arial" w:cs="Arial"/>
                <w:sz w:val="20"/>
                <w:szCs w:val="20"/>
              </w:rPr>
              <w:t xml:space="preserve">23,131 </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sidRPr="00DE475B">
              <w:rPr>
                <w:rFonts w:ascii="Arial" w:hAnsi="Arial" w:cs="Arial"/>
                <w:sz w:val="20"/>
                <w:szCs w:val="20"/>
              </w:rPr>
              <w:t xml:space="preserve">23,884 </w:t>
            </w:r>
          </w:p>
        </w:tc>
      </w:tr>
      <w:tr w:rsidR="0092097C" w:rsidRPr="00DE475B" w:rsidTr="008E69D1">
        <w:trPr>
          <w:trHeight w:val="297"/>
        </w:trPr>
        <w:tc>
          <w:tcPr>
            <w:tcW w:w="284" w:type="dxa"/>
            <w:shd w:val="clear" w:color="auto" w:fill="auto"/>
            <w:vAlign w:val="bottom"/>
          </w:tcPr>
          <w:p w:rsidR="0092097C" w:rsidRPr="00DE475B" w:rsidRDefault="0092097C">
            <w:pPr>
              <w:snapToGrid w:val="0"/>
              <w:rPr>
                <w:rFonts w:ascii="Arial" w:hAnsi="Arial" w:cs="Arial"/>
                <w:b/>
                <w:bCs/>
                <w:sz w:val="20"/>
                <w:szCs w:val="20"/>
              </w:rPr>
            </w:pPr>
          </w:p>
        </w:tc>
        <w:tc>
          <w:tcPr>
            <w:tcW w:w="3580" w:type="dxa"/>
            <w:gridSpan w:val="2"/>
            <w:shd w:val="clear" w:color="auto" w:fill="auto"/>
            <w:vAlign w:val="bottom"/>
          </w:tcPr>
          <w:p w:rsidR="0092097C" w:rsidRPr="00DE475B" w:rsidRDefault="0092097C">
            <w:pPr>
              <w:rPr>
                <w:rFonts w:ascii="Arial" w:hAnsi="Arial" w:cs="Arial"/>
                <w:b/>
                <w:bCs/>
                <w:sz w:val="20"/>
                <w:szCs w:val="20"/>
              </w:rPr>
            </w:pPr>
            <w:r w:rsidRPr="00DE475B">
              <w:rPr>
                <w:rFonts w:ascii="Arial" w:hAnsi="Arial" w:cs="Arial"/>
                <w:sz w:val="20"/>
                <w:szCs w:val="20"/>
              </w:rPr>
              <w:t>Grants and subsidies</w:t>
            </w:r>
          </w:p>
        </w:tc>
        <w:tc>
          <w:tcPr>
            <w:tcW w:w="985" w:type="dxa"/>
            <w:shd w:val="clear" w:color="auto" w:fill="auto"/>
            <w:vAlign w:val="center"/>
          </w:tcPr>
          <w:p w:rsidR="0092097C" w:rsidRPr="00DE475B" w:rsidRDefault="0092097C" w:rsidP="00E470E5">
            <w:pPr>
              <w:jc w:val="center"/>
              <w:rPr>
                <w:rFonts w:ascii="Arial" w:hAnsi="Arial" w:cs="Arial"/>
                <w:sz w:val="20"/>
                <w:szCs w:val="20"/>
              </w:rPr>
            </w:pPr>
            <w:r w:rsidRPr="00DE475B">
              <w:rPr>
                <w:rFonts w:ascii="Arial" w:hAnsi="Arial" w:cs="Arial"/>
                <w:b/>
                <w:bCs/>
                <w:sz w:val="20"/>
                <w:szCs w:val="20"/>
              </w:rPr>
              <w:t>B2</w:t>
            </w:r>
          </w:p>
        </w:tc>
        <w:tc>
          <w:tcPr>
            <w:tcW w:w="985" w:type="dxa"/>
            <w:shd w:val="clear" w:color="auto" w:fill="auto"/>
            <w:vAlign w:val="center"/>
          </w:tcPr>
          <w:p w:rsidR="0092097C" w:rsidRPr="00DE475B" w:rsidRDefault="0092097C" w:rsidP="0092097C">
            <w:pPr>
              <w:jc w:val="right"/>
              <w:rPr>
                <w:rFonts w:ascii="Arial" w:hAnsi="Arial" w:cs="Arial"/>
                <w:sz w:val="20"/>
                <w:szCs w:val="20"/>
              </w:rPr>
            </w:pPr>
            <w:r>
              <w:rPr>
                <w:rFonts w:ascii="Arial" w:hAnsi="Arial" w:cs="Arial"/>
                <w:sz w:val="20"/>
                <w:szCs w:val="20"/>
              </w:rPr>
              <w:t xml:space="preserve">25,017 </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sidRPr="00DE475B">
              <w:rPr>
                <w:rFonts w:ascii="Arial" w:hAnsi="Arial" w:cs="Arial"/>
                <w:sz w:val="20"/>
                <w:szCs w:val="20"/>
              </w:rPr>
              <w:t xml:space="preserve">24,850 </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Pr>
                <w:rFonts w:ascii="Arial" w:hAnsi="Arial" w:cs="Arial"/>
                <w:sz w:val="20"/>
                <w:szCs w:val="20"/>
              </w:rPr>
              <w:t xml:space="preserve">25,267 </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sidRPr="00DE475B">
              <w:rPr>
                <w:rFonts w:ascii="Arial" w:hAnsi="Arial" w:cs="Arial"/>
                <w:sz w:val="20"/>
                <w:szCs w:val="20"/>
              </w:rPr>
              <w:t xml:space="preserve">25,100 </w:t>
            </w:r>
          </w:p>
        </w:tc>
      </w:tr>
      <w:tr w:rsidR="0092097C" w:rsidRPr="00DE475B" w:rsidTr="008E69D1">
        <w:trPr>
          <w:trHeight w:val="297"/>
        </w:trPr>
        <w:tc>
          <w:tcPr>
            <w:tcW w:w="284" w:type="dxa"/>
            <w:shd w:val="clear" w:color="auto" w:fill="auto"/>
            <w:vAlign w:val="bottom"/>
          </w:tcPr>
          <w:p w:rsidR="0092097C" w:rsidRPr="00DE475B" w:rsidRDefault="0092097C">
            <w:pPr>
              <w:snapToGrid w:val="0"/>
              <w:rPr>
                <w:rFonts w:ascii="Arial" w:hAnsi="Arial" w:cs="Arial"/>
                <w:b/>
                <w:bCs/>
                <w:sz w:val="20"/>
                <w:szCs w:val="20"/>
              </w:rPr>
            </w:pPr>
          </w:p>
        </w:tc>
        <w:tc>
          <w:tcPr>
            <w:tcW w:w="3580" w:type="dxa"/>
            <w:gridSpan w:val="2"/>
            <w:shd w:val="clear" w:color="auto" w:fill="auto"/>
            <w:vAlign w:val="bottom"/>
          </w:tcPr>
          <w:p w:rsidR="0092097C" w:rsidRPr="00DE475B" w:rsidRDefault="0092097C">
            <w:pPr>
              <w:rPr>
                <w:rFonts w:ascii="Arial" w:hAnsi="Arial" w:cs="Arial"/>
                <w:b/>
                <w:bCs/>
                <w:sz w:val="20"/>
                <w:szCs w:val="20"/>
              </w:rPr>
            </w:pPr>
            <w:r w:rsidRPr="00DE475B">
              <w:rPr>
                <w:rFonts w:ascii="Arial" w:hAnsi="Arial" w:cs="Arial"/>
                <w:sz w:val="20"/>
                <w:szCs w:val="20"/>
              </w:rPr>
              <w:t>Depreciation and amortisation</w:t>
            </w:r>
          </w:p>
        </w:tc>
        <w:tc>
          <w:tcPr>
            <w:tcW w:w="985" w:type="dxa"/>
            <w:shd w:val="clear" w:color="auto" w:fill="auto"/>
            <w:vAlign w:val="center"/>
          </w:tcPr>
          <w:p w:rsidR="0092097C" w:rsidRPr="00A01D98" w:rsidRDefault="0092097C" w:rsidP="00E470E5">
            <w:pPr>
              <w:jc w:val="center"/>
              <w:rPr>
                <w:rFonts w:ascii="Arial" w:hAnsi="Arial" w:cs="Arial"/>
                <w:b/>
                <w:sz w:val="20"/>
                <w:szCs w:val="20"/>
              </w:rPr>
            </w:pPr>
            <w:r w:rsidRPr="00A01D98">
              <w:rPr>
                <w:rFonts w:ascii="Arial" w:hAnsi="Arial" w:cs="Arial"/>
                <w:b/>
                <w:sz w:val="20"/>
                <w:szCs w:val="20"/>
              </w:rPr>
              <w:t>C4</w:t>
            </w:r>
          </w:p>
        </w:tc>
        <w:tc>
          <w:tcPr>
            <w:tcW w:w="985" w:type="dxa"/>
            <w:shd w:val="clear" w:color="auto" w:fill="auto"/>
            <w:vAlign w:val="center"/>
          </w:tcPr>
          <w:p w:rsidR="0092097C" w:rsidRPr="00DE475B" w:rsidRDefault="0092097C" w:rsidP="0004451F">
            <w:pPr>
              <w:jc w:val="right"/>
              <w:rPr>
                <w:rFonts w:ascii="Arial" w:hAnsi="Arial" w:cs="Arial"/>
                <w:sz w:val="20"/>
                <w:szCs w:val="20"/>
              </w:rPr>
            </w:pPr>
            <w:r w:rsidRPr="0092097C">
              <w:rPr>
                <w:rFonts w:ascii="Arial" w:hAnsi="Arial" w:cs="Arial"/>
                <w:sz w:val="20"/>
                <w:szCs w:val="20"/>
              </w:rPr>
              <w:t>517</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sidRPr="00DE475B">
              <w:rPr>
                <w:rFonts w:ascii="Arial" w:hAnsi="Arial" w:cs="Arial"/>
                <w:sz w:val="20"/>
                <w:szCs w:val="20"/>
              </w:rPr>
              <w:t xml:space="preserve">475 </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sidRPr="0092097C">
              <w:rPr>
                <w:rFonts w:ascii="Arial" w:hAnsi="Arial" w:cs="Arial"/>
                <w:sz w:val="20"/>
                <w:szCs w:val="20"/>
              </w:rPr>
              <w:t>517</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sidRPr="00DE475B">
              <w:rPr>
                <w:rFonts w:ascii="Arial" w:hAnsi="Arial" w:cs="Arial"/>
                <w:sz w:val="20"/>
                <w:szCs w:val="20"/>
              </w:rPr>
              <w:t xml:space="preserve">475 </w:t>
            </w:r>
          </w:p>
        </w:tc>
      </w:tr>
      <w:tr w:rsidR="0092097C" w:rsidRPr="00DE475B" w:rsidTr="008E69D1">
        <w:trPr>
          <w:trHeight w:val="297"/>
        </w:trPr>
        <w:tc>
          <w:tcPr>
            <w:tcW w:w="284" w:type="dxa"/>
            <w:shd w:val="clear" w:color="auto" w:fill="auto"/>
            <w:vAlign w:val="bottom"/>
          </w:tcPr>
          <w:p w:rsidR="0092097C" w:rsidRPr="00DE475B" w:rsidRDefault="0092097C">
            <w:pPr>
              <w:snapToGrid w:val="0"/>
              <w:rPr>
                <w:rFonts w:ascii="Arial" w:hAnsi="Arial" w:cs="Arial"/>
                <w:b/>
                <w:bCs/>
                <w:sz w:val="20"/>
                <w:szCs w:val="20"/>
              </w:rPr>
            </w:pPr>
          </w:p>
        </w:tc>
        <w:tc>
          <w:tcPr>
            <w:tcW w:w="3580" w:type="dxa"/>
            <w:gridSpan w:val="2"/>
            <w:shd w:val="clear" w:color="auto" w:fill="auto"/>
            <w:vAlign w:val="bottom"/>
          </w:tcPr>
          <w:p w:rsidR="0092097C" w:rsidRPr="00DE475B" w:rsidRDefault="0092097C">
            <w:pPr>
              <w:rPr>
                <w:rFonts w:ascii="Arial" w:hAnsi="Arial" w:cs="Arial"/>
                <w:b/>
                <w:bCs/>
                <w:sz w:val="20"/>
                <w:szCs w:val="20"/>
              </w:rPr>
            </w:pPr>
            <w:r w:rsidRPr="00DE475B">
              <w:rPr>
                <w:rFonts w:ascii="Arial" w:hAnsi="Arial" w:cs="Arial"/>
                <w:sz w:val="20"/>
                <w:szCs w:val="20"/>
              </w:rPr>
              <w:t>Other expenses</w:t>
            </w:r>
          </w:p>
        </w:tc>
        <w:tc>
          <w:tcPr>
            <w:tcW w:w="985" w:type="dxa"/>
            <w:shd w:val="clear" w:color="auto" w:fill="auto"/>
            <w:vAlign w:val="center"/>
          </w:tcPr>
          <w:p w:rsidR="0092097C" w:rsidRPr="00DE475B" w:rsidRDefault="0092097C" w:rsidP="00E470E5">
            <w:pPr>
              <w:jc w:val="center"/>
              <w:rPr>
                <w:rFonts w:ascii="Arial" w:hAnsi="Arial" w:cs="Arial"/>
                <w:sz w:val="20"/>
                <w:szCs w:val="20"/>
              </w:rPr>
            </w:pPr>
            <w:r w:rsidRPr="00DE475B">
              <w:rPr>
                <w:rFonts w:ascii="Arial" w:hAnsi="Arial" w:cs="Arial"/>
                <w:b/>
                <w:bCs/>
                <w:sz w:val="20"/>
                <w:szCs w:val="20"/>
              </w:rPr>
              <w:t>B2</w:t>
            </w:r>
          </w:p>
        </w:tc>
        <w:tc>
          <w:tcPr>
            <w:tcW w:w="985" w:type="dxa"/>
            <w:shd w:val="clear" w:color="auto" w:fill="auto"/>
            <w:vAlign w:val="center"/>
          </w:tcPr>
          <w:p w:rsidR="0092097C" w:rsidRPr="00DE475B" w:rsidRDefault="0092097C" w:rsidP="0004451F">
            <w:pPr>
              <w:jc w:val="right"/>
              <w:rPr>
                <w:rFonts w:ascii="Arial" w:hAnsi="Arial" w:cs="Arial"/>
                <w:sz w:val="20"/>
                <w:szCs w:val="20"/>
              </w:rPr>
            </w:pPr>
            <w:r w:rsidRPr="0092097C">
              <w:rPr>
                <w:rFonts w:ascii="Arial" w:hAnsi="Arial" w:cs="Arial"/>
                <w:sz w:val="20"/>
                <w:szCs w:val="20"/>
              </w:rPr>
              <w:t>367</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sidRPr="00DE475B">
              <w:rPr>
                <w:rFonts w:ascii="Arial" w:hAnsi="Arial" w:cs="Arial"/>
                <w:sz w:val="20"/>
                <w:szCs w:val="20"/>
              </w:rPr>
              <w:t xml:space="preserve">380 </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Pr>
                <w:rFonts w:ascii="Arial" w:hAnsi="Arial" w:cs="Arial"/>
                <w:sz w:val="20"/>
                <w:szCs w:val="20"/>
              </w:rPr>
              <w:t>353</w:t>
            </w:r>
          </w:p>
        </w:tc>
        <w:tc>
          <w:tcPr>
            <w:tcW w:w="985" w:type="dxa"/>
            <w:shd w:val="clear" w:color="auto" w:fill="auto"/>
            <w:vAlign w:val="center"/>
          </w:tcPr>
          <w:p w:rsidR="0092097C" w:rsidRPr="00DE475B" w:rsidRDefault="0092097C" w:rsidP="007113B4">
            <w:pPr>
              <w:jc w:val="right"/>
              <w:rPr>
                <w:rFonts w:ascii="Arial" w:hAnsi="Arial" w:cs="Arial"/>
                <w:sz w:val="20"/>
                <w:szCs w:val="20"/>
              </w:rPr>
            </w:pPr>
            <w:r w:rsidRPr="00DE475B">
              <w:rPr>
                <w:rFonts w:ascii="Arial" w:hAnsi="Arial" w:cs="Arial"/>
                <w:sz w:val="20"/>
                <w:szCs w:val="20"/>
              </w:rPr>
              <w:t xml:space="preserve">370 </w:t>
            </w:r>
          </w:p>
        </w:tc>
      </w:tr>
      <w:tr w:rsidR="0092097C" w:rsidRPr="00DE475B" w:rsidTr="008E69D1">
        <w:trPr>
          <w:trHeight w:val="162"/>
        </w:trPr>
        <w:tc>
          <w:tcPr>
            <w:tcW w:w="284" w:type="dxa"/>
            <w:shd w:val="clear" w:color="auto" w:fill="auto"/>
            <w:vAlign w:val="bottom"/>
          </w:tcPr>
          <w:p w:rsidR="0092097C" w:rsidRPr="00DE475B" w:rsidRDefault="0092097C">
            <w:pPr>
              <w:snapToGrid w:val="0"/>
              <w:rPr>
                <w:rFonts w:ascii="Arial" w:hAnsi="Arial" w:cs="Arial"/>
                <w:b/>
                <w:bCs/>
                <w:sz w:val="20"/>
                <w:szCs w:val="20"/>
              </w:rPr>
            </w:pPr>
          </w:p>
        </w:tc>
        <w:tc>
          <w:tcPr>
            <w:tcW w:w="3580" w:type="dxa"/>
            <w:gridSpan w:val="2"/>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jc w:val="center"/>
              <w:rPr>
                <w:rFonts w:ascii="Arial" w:hAnsi="Arial" w:cs="Arial"/>
                <w:b/>
                <w:bCs/>
                <w:sz w:val="20"/>
                <w:szCs w:val="20"/>
              </w:rPr>
            </w:pPr>
          </w:p>
        </w:tc>
        <w:tc>
          <w:tcPr>
            <w:tcW w:w="985" w:type="dxa"/>
            <w:tcBorders>
              <w:bottom w:val="single" w:sz="4" w:space="0" w:color="000000"/>
            </w:tcBorders>
            <w:shd w:val="clear" w:color="auto" w:fill="auto"/>
            <w:vAlign w:val="bottom"/>
          </w:tcPr>
          <w:p w:rsidR="0092097C" w:rsidRPr="00DE475B" w:rsidRDefault="0092097C">
            <w:pPr>
              <w:rPr>
                <w:rFonts w:ascii="Arial" w:hAnsi="Arial" w:cs="Arial"/>
                <w:sz w:val="20"/>
                <w:szCs w:val="20"/>
              </w:rPr>
            </w:pPr>
          </w:p>
        </w:tc>
        <w:tc>
          <w:tcPr>
            <w:tcW w:w="985" w:type="dxa"/>
            <w:tcBorders>
              <w:bottom w:val="single" w:sz="4" w:space="0" w:color="000000"/>
            </w:tcBorders>
            <w:shd w:val="clear" w:color="auto" w:fill="auto"/>
            <w:vAlign w:val="bottom"/>
          </w:tcPr>
          <w:p w:rsidR="0092097C" w:rsidRPr="00DE475B" w:rsidRDefault="0092097C" w:rsidP="00704C2E">
            <w:pPr>
              <w:rPr>
                <w:rFonts w:ascii="Arial" w:hAnsi="Arial" w:cs="Arial"/>
                <w:sz w:val="20"/>
                <w:szCs w:val="20"/>
              </w:rPr>
            </w:pPr>
            <w:r w:rsidRPr="00DE475B">
              <w:rPr>
                <w:rFonts w:ascii="Arial" w:hAnsi="Arial" w:cs="Arial"/>
                <w:sz w:val="20"/>
                <w:szCs w:val="20"/>
              </w:rPr>
              <w:t> </w:t>
            </w:r>
          </w:p>
        </w:tc>
        <w:tc>
          <w:tcPr>
            <w:tcW w:w="985" w:type="dxa"/>
            <w:tcBorders>
              <w:bottom w:val="single" w:sz="4" w:space="0" w:color="000000"/>
            </w:tcBorders>
            <w:shd w:val="clear" w:color="auto" w:fill="auto"/>
            <w:vAlign w:val="bottom"/>
          </w:tcPr>
          <w:p w:rsidR="0092097C" w:rsidRPr="00DE475B" w:rsidRDefault="0092097C">
            <w:pPr>
              <w:rPr>
                <w:rFonts w:ascii="Arial" w:hAnsi="Arial" w:cs="Arial"/>
                <w:sz w:val="20"/>
                <w:szCs w:val="20"/>
              </w:rPr>
            </w:pPr>
          </w:p>
        </w:tc>
        <w:tc>
          <w:tcPr>
            <w:tcW w:w="985" w:type="dxa"/>
            <w:tcBorders>
              <w:bottom w:val="single" w:sz="4" w:space="0" w:color="000000"/>
            </w:tcBorders>
            <w:shd w:val="clear" w:color="auto" w:fill="auto"/>
            <w:vAlign w:val="bottom"/>
          </w:tcPr>
          <w:p w:rsidR="0092097C" w:rsidRPr="00DE475B" w:rsidRDefault="0092097C" w:rsidP="00704C2E">
            <w:pPr>
              <w:rPr>
                <w:rFonts w:ascii="Arial" w:hAnsi="Arial" w:cs="Arial"/>
                <w:sz w:val="20"/>
                <w:szCs w:val="20"/>
              </w:rPr>
            </w:pPr>
            <w:r w:rsidRPr="00DE475B">
              <w:rPr>
                <w:rFonts w:ascii="Arial" w:hAnsi="Arial" w:cs="Arial"/>
                <w:sz w:val="20"/>
                <w:szCs w:val="20"/>
              </w:rPr>
              <w:t> </w:t>
            </w:r>
          </w:p>
        </w:tc>
      </w:tr>
      <w:tr w:rsidR="0092097C" w:rsidRPr="00DE475B" w:rsidTr="008E69D1">
        <w:trPr>
          <w:trHeight w:val="499"/>
        </w:trPr>
        <w:tc>
          <w:tcPr>
            <w:tcW w:w="4849" w:type="dxa"/>
            <w:gridSpan w:val="4"/>
            <w:shd w:val="clear" w:color="auto" w:fill="auto"/>
            <w:tcMar>
              <w:right w:w="28" w:type="dxa"/>
            </w:tcMar>
            <w:vAlign w:val="center"/>
          </w:tcPr>
          <w:p w:rsidR="0092097C" w:rsidRPr="00DE475B" w:rsidRDefault="0092097C" w:rsidP="00BA67AA">
            <w:pPr>
              <w:rPr>
                <w:rFonts w:ascii="Arial" w:hAnsi="Arial" w:cs="Arial"/>
                <w:sz w:val="20"/>
                <w:szCs w:val="20"/>
              </w:rPr>
            </w:pPr>
            <w:r w:rsidRPr="00DE475B">
              <w:rPr>
                <w:rFonts w:ascii="Arial" w:hAnsi="Arial" w:cs="Arial"/>
                <w:b/>
                <w:bCs/>
                <w:sz w:val="20"/>
                <w:szCs w:val="20"/>
              </w:rPr>
              <w:t>Total Expenses from Continuing Operations</w:t>
            </w:r>
          </w:p>
        </w:tc>
        <w:tc>
          <w:tcPr>
            <w:tcW w:w="985" w:type="dxa"/>
            <w:tcBorders>
              <w:top w:val="single" w:sz="8" w:space="0" w:color="000000"/>
              <w:bottom w:val="single" w:sz="8" w:space="0" w:color="000000"/>
            </w:tcBorders>
            <w:shd w:val="clear" w:color="auto" w:fill="auto"/>
            <w:vAlign w:val="center"/>
          </w:tcPr>
          <w:p w:rsidR="0092097C" w:rsidRPr="00DE475B" w:rsidRDefault="0092097C" w:rsidP="0004451F">
            <w:pPr>
              <w:jc w:val="right"/>
              <w:rPr>
                <w:rFonts w:ascii="Arial" w:hAnsi="Arial" w:cs="Arial"/>
                <w:sz w:val="20"/>
                <w:szCs w:val="20"/>
              </w:rPr>
            </w:pPr>
            <w:r>
              <w:rPr>
                <w:rFonts w:ascii="Arial" w:hAnsi="Arial" w:cs="Arial"/>
                <w:sz w:val="20"/>
                <w:szCs w:val="20"/>
              </w:rPr>
              <w:t>76,714</w:t>
            </w:r>
          </w:p>
        </w:tc>
        <w:tc>
          <w:tcPr>
            <w:tcW w:w="985" w:type="dxa"/>
            <w:tcBorders>
              <w:top w:val="single" w:sz="8" w:space="0" w:color="000000"/>
              <w:bottom w:val="single" w:sz="8" w:space="0" w:color="000000"/>
            </w:tcBorders>
            <w:shd w:val="clear" w:color="auto" w:fill="auto"/>
            <w:vAlign w:val="center"/>
          </w:tcPr>
          <w:p w:rsidR="0092097C" w:rsidRPr="00DE475B" w:rsidRDefault="0092097C" w:rsidP="007113B4">
            <w:pPr>
              <w:jc w:val="right"/>
              <w:rPr>
                <w:rFonts w:ascii="Arial" w:hAnsi="Arial" w:cs="Arial"/>
                <w:sz w:val="20"/>
                <w:szCs w:val="20"/>
              </w:rPr>
            </w:pPr>
            <w:r w:rsidRPr="00DE475B">
              <w:rPr>
                <w:rFonts w:ascii="Arial" w:hAnsi="Arial" w:cs="Arial"/>
                <w:sz w:val="20"/>
                <w:szCs w:val="20"/>
              </w:rPr>
              <w:t xml:space="preserve">77,861 </w:t>
            </w:r>
          </w:p>
        </w:tc>
        <w:tc>
          <w:tcPr>
            <w:tcW w:w="985" w:type="dxa"/>
            <w:tcBorders>
              <w:top w:val="single" w:sz="8" w:space="0" w:color="000000"/>
              <w:bottom w:val="single" w:sz="8" w:space="0" w:color="000000"/>
            </w:tcBorders>
            <w:shd w:val="clear" w:color="auto" w:fill="auto"/>
            <w:vAlign w:val="center"/>
          </w:tcPr>
          <w:p w:rsidR="0092097C" w:rsidRPr="00DE475B" w:rsidRDefault="0092097C" w:rsidP="001F1C7C">
            <w:pPr>
              <w:jc w:val="right"/>
              <w:rPr>
                <w:rFonts w:ascii="Arial" w:hAnsi="Arial" w:cs="Arial"/>
                <w:sz w:val="20"/>
                <w:szCs w:val="20"/>
              </w:rPr>
            </w:pPr>
            <w:r>
              <w:rPr>
                <w:rFonts w:ascii="Arial" w:hAnsi="Arial" w:cs="Arial"/>
                <w:sz w:val="20"/>
                <w:szCs w:val="20"/>
              </w:rPr>
              <w:t>76,958</w:t>
            </w:r>
          </w:p>
        </w:tc>
        <w:tc>
          <w:tcPr>
            <w:tcW w:w="985" w:type="dxa"/>
            <w:tcBorders>
              <w:top w:val="single" w:sz="8" w:space="0" w:color="000000"/>
              <w:bottom w:val="single" w:sz="8" w:space="0" w:color="000000"/>
            </w:tcBorders>
            <w:shd w:val="clear" w:color="auto" w:fill="auto"/>
            <w:vAlign w:val="center"/>
          </w:tcPr>
          <w:p w:rsidR="0092097C" w:rsidRPr="00DE475B" w:rsidRDefault="0092097C" w:rsidP="007113B4">
            <w:pPr>
              <w:jc w:val="right"/>
              <w:rPr>
                <w:rFonts w:ascii="Arial" w:hAnsi="Arial" w:cs="Arial"/>
                <w:sz w:val="20"/>
                <w:szCs w:val="20"/>
              </w:rPr>
            </w:pPr>
            <w:r w:rsidRPr="00DE475B">
              <w:rPr>
                <w:rFonts w:ascii="Arial" w:hAnsi="Arial" w:cs="Arial"/>
                <w:sz w:val="20"/>
                <w:szCs w:val="20"/>
              </w:rPr>
              <w:t xml:space="preserve">78,098 </w:t>
            </w:r>
          </w:p>
        </w:tc>
      </w:tr>
      <w:tr w:rsidR="0092097C" w:rsidRPr="00DE475B" w:rsidTr="008E69D1">
        <w:trPr>
          <w:trHeight w:val="406"/>
        </w:trPr>
        <w:tc>
          <w:tcPr>
            <w:tcW w:w="4849" w:type="dxa"/>
            <w:gridSpan w:val="4"/>
            <w:shd w:val="clear" w:color="auto" w:fill="auto"/>
            <w:tcMar>
              <w:right w:w="28" w:type="dxa"/>
            </w:tcMar>
            <w:vAlign w:val="center"/>
          </w:tcPr>
          <w:p w:rsidR="0092097C" w:rsidRPr="00DE475B" w:rsidRDefault="0092097C" w:rsidP="00BA67AA">
            <w:pPr>
              <w:rPr>
                <w:rFonts w:ascii="Arial" w:hAnsi="Arial" w:cs="Arial"/>
                <w:sz w:val="20"/>
                <w:szCs w:val="20"/>
              </w:rPr>
            </w:pPr>
            <w:r w:rsidRPr="00DE475B">
              <w:rPr>
                <w:rFonts w:ascii="Arial" w:hAnsi="Arial" w:cs="Arial"/>
                <w:b/>
                <w:bCs/>
                <w:sz w:val="20"/>
                <w:szCs w:val="20"/>
              </w:rPr>
              <w:t>Operating Result from Continuing Operations</w:t>
            </w:r>
          </w:p>
        </w:tc>
        <w:tc>
          <w:tcPr>
            <w:tcW w:w="985" w:type="dxa"/>
            <w:tcBorders>
              <w:top w:val="single" w:sz="8" w:space="0" w:color="000000"/>
              <w:bottom w:val="single" w:sz="18" w:space="0" w:color="000000"/>
            </w:tcBorders>
            <w:shd w:val="clear" w:color="auto" w:fill="auto"/>
            <w:vAlign w:val="center"/>
          </w:tcPr>
          <w:p w:rsidR="0092097C" w:rsidRPr="00DE475B" w:rsidRDefault="0092097C" w:rsidP="0004451F">
            <w:pPr>
              <w:jc w:val="right"/>
              <w:rPr>
                <w:rFonts w:ascii="Arial" w:hAnsi="Arial" w:cs="Arial"/>
                <w:sz w:val="20"/>
                <w:szCs w:val="20"/>
              </w:rPr>
            </w:pPr>
            <w:r>
              <w:rPr>
                <w:rFonts w:ascii="Arial" w:hAnsi="Arial" w:cs="Arial"/>
                <w:sz w:val="20"/>
                <w:szCs w:val="20"/>
              </w:rPr>
              <w:t>3,212</w:t>
            </w:r>
          </w:p>
        </w:tc>
        <w:tc>
          <w:tcPr>
            <w:tcW w:w="985" w:type="dxa"/>
            <w:tcBorders>
              <w:top w:val="single" w:sz="8" w:space="0" w:color="000000"/>
              <w:bottom w:val="single" w:sz="18" w:space="0" w:color="000000"/>
            </w:tcBorders>
            <w:shd w:val="clear" w:color="auto" w:fill="auto"/>
            <w:vAlign w:val="center"/>
          </w:tcPr>
          <w:p w:rsidR="0092097C" w:rsidRPr="00DE475B" w:rsidRDefault="0092097C" w:rsidP="007113B4">
            <w:pPr>
              <w:jc w:val="right"/>
              <w:rPr>
                <w:rFonts w:ascii="Arial" w:hAnsi="Arial" w:cs="Arial"/>
                <w:sz w:val="20"/>
                <w:szCs w:val="20"/>
              </w:rPr>
            </w:pPr>
            <w:r w:rsidRPr="00DE475B">
              <w:rPr>
                <w:rFonts w:ascii="Arial" w:hAnsi="Arial" w:cs="Arial"/>
                <w:sz w:val="20"/>
                <w:szCs w:val="20"/>
              </w:rPr>
              <w:t xml:space="preserve">2,461 </w:t>
            </w:r>
          </w:p>
        </w:tc>
        <w:tc>
          <w:tcPr>
            <w:tcW w:w="985" w:type="dxa"/>
            <w:tcBorders>
              <w:top w:val="single" w:sz="8" w:space="0" w:color="000000"/>
              <w:bottom w:val="single" w:sz="18" w:space="0" w:color="000000"/>
            </w:tcBorders>
            <w:shd w:val="clear" w:color="auto" w:fill="auto"/>
            <w:vAlign w:val="center"/>
          </w:tcPr>
          <w:p w:rsidR="0092097C" w:rsidRPr="00DE475B" w:rsidRDefault="0092097C" w:rsidP="0004451F">
            <w:pPr>
              <w:jc w:val="right"/>
              <w:rPr>
                <w:rFonts w:ascii="Arial" w:hAnsi="Arial" w:cs="Arial"/>
                <w:sz w:val="20"/>
                <w:szCs w:val="20"/>
              </w:rPr>
            </w:pPr>
            <w:r>
              <w:rPr>
                <w:rFonts w:ascii="Arial" w:hAnsi="Arial" w:cs="Arial"/>
                <w:sz w:val="20"/>
                <w:szCs w:val="20"/>
              </w:rPr>
              <w:t>3,018</w:t>
            </w:r>
          </w:p>
        </w:tc>
        <w:tc>
          <w:tcPr>
            <w:tcW w:w="985" w:type="dxa"/>
            <w:tcBorders>
              <w:top w:val="single" w:sz="8" w:space="0" w:color="000000"/>
              <w:bottom w:val="single" w:sz="18" w:space="0" w:color="000000"/>
            </w:tcBorders>
            <w:shd w:val="clear" w:color="auto" w:fill="auto"/>
            <w:vAlign w:val="center"/>
          </w:tcPr>
          <w:p w:rsidR="0092097C" w:rsidRPr="00DE475B" w:rsidRDefault="0092097C" w:rsidP="007113B4">
            <w:pPr>
              <w:jc w:val="right"/>
              <w:rPr>
                <w:rFonts w:ascii="Arial" w:hAnsi="Arial" w:cs="Arial"/>
                <w:sz w:val="20"/>
                <w:szCs w:val="20"/>
              </w:rPr>
            </w:pPr>
            <w:r w:rsidRPr="00DE475B">
              <w:rPr>
                <w:rFonts w:ascii="Arial" w:hAnsi="Arial" w:cs="Arial"/>
                <w:sz w:val="20"/>
                <w:szCs w:val="20"/>
              </w:rPr>
              <w:t xml:space="preserve">2,275 </w:t>
            </w:r>
          </w:p>
        </w:tc>
      </w:tr>
      <w:tr w:rsidR="0092097C" w:rsidRPr="00DE475B" w:rsidTr="008E69D1">
        <w:trPr>
          <w:trHeight w:val="498"/>
        </w:trPr>
        <w:tc>
          <w:tcPr>
            <w:tcW w:w="284" w:type="dxa"/>
            <w:shd w:val="clear" w:color="auto" w:fill="auto"/>
            <w:vAlign w:val="bottom"/>
          </w:tcPr>
          <w:p w:rsidR="0092097C" w:rsidRPr="00DE475B" w:rsidRDefault="0092097C">
            <w:pPr>
              <w:snapToGrid w:val="0"/>
              <w:rPr>
                <w:rFonts w:ascii="Arial" w:hAnsi="Arial" w:cs="Arial"/>
                <w:b/>
                <w:bCs/>
                <w:sz w:val="20"/>
                <w:szCs w:val="20"/>
              </w:rPr>
            </w:pPr>
          </w:p>
        </w:tc>
        <w:tc>
          <w:tcPr>
            <w:tcW w:w="4565" w:type="dxa"/>
            <w:gridSpan w:val="3"/>
            <w:shd w:val="clear" w:color="auto" w:fill="auto"/>
            <w:vAlign w:val="bottom"/>
          </w:tcPr>
          <w:p w:rsidR="0092097C" w:rsidRPr="00DE475B" w:rsidRDefault="0092097C">
            <w:pPr>
              <w:snapToGrid w:val="0"/>
              <w:jc w:val="center"/>
              <w:rPr>
                <w:rFonts w:ascii="Arial" w:hAnsi="Arial" w:cs="Arial"/>
                <w:b/>
                <w:bCs/>
                <w:sz w:val="20"/>
                <w:szCs w:val="20"/>
              </w:rPr>
            </w:pPr>
          </w:p>
        </w:tc>
        <w:tc>
          <w:tcPr>
            <w:tcW w:w="985" w:type="dxa"/>
            <w:tcBorders>
              <w:top w:val="single" w:sz="18" w:space="0" w:color="000000"/>
            </w:tcBorders>
            <w:shd w:val="clear" w:color="auto" w:fill="auto"/>
            <w:vAlign w:val="bottom"/>
          </w:tcPr>
          <w:p w:rsidR="0092097C" w:rsidRPr="00DE475B" w:rsidRDefault="0092097C">
            <w:pPr>
              <w:rPr>
                <w:rFonts w:ascii="Arial" w:hAnsi="Arial" w:cs="Arial"/>
                <w:sz w:val="20"/>
                <w:szCs w:val="20"/>
              </w:rPr>
            </w:pPr>
            <w:r w:rsidRPr="00DE475B">
              <w:rPr>
                <w:rFonts w:ascii="Arial" w:hAnsi="Arial" w:cs="Arial"/>
                <w:sz w:val="20"/>
                <w:szCs w:val="20"/>
              </w:rPr>
              <w:t> </w:t>
            </w:r>
          </w:p>
        </w:tc>
        <w:tc>
          <w:tcPr>
            <w:tcW w:w="985" w:type="dxa"/>
            <w:tcBorders>
              <w:top w:val="single" w:sz="18" w:space="0" w:color="000000"/>
            </w:tcBorders>
            <w:shd w:val="clear" w:color="auto" w:fill="auto"/>
            <w:vAlign w:val="bottom"/>
          </w:tcPr>
          <w:p w:rsidR="0092097C" w:rsidRPr="00DE475B" w:rsidRDefault="0092097C">
            <w:pPr>
              <w:rPr>
                <w:rFonts w:ascii="Arial" w:hAnsi="Arial" w:cs="Arial"/>
                <w:sz w:val="20"/>
                <w:szCs w:val="20"/>
              </w:rPr>
            </w:pPr>
            <w:r w:rsidRPr="00DE475B">
              <w:rPr>
                <w:rFonts w:ascii="Arial" w:hAnsi="Arial" w:cs="Arial"/>
                <w:sz w:val="20"/>
                <w:szCs w:val="20"/>
              </w:rPr>
              <w:t> </w:t>
            </w:r>
          </w:p>
        </w:tc>
        <w:tc>
          <w:tcPr>
            <w:tcW w:w="985" w:type="dxa"/>
            <w:tcBorders>
              <w:top w:val="single" w:sz="18" w:space="0" w:color="000000"/>
            </w:tcBorders>
            <w:shd w:val="clear" w:color="auto" w:fill="auto"/>
            <w:vAlign w:val="bottom"/>
          </w:tcPr>
          <w:p w:rsidR="0092097C" w:rsidRPr="00DE475B" w:rsidRDefault="0092097C">
            <w:pPr>
              <w:rPr>
                <w:rFonts w:ascii="Arial" w:hAnsi="Arial" w:cs="Arial"/>
                <w:sz w:val="20"/>
                <w:szCs w:val="20"/>
              </w:rPr>
            </w:pPr>
            <w:r w:rsidRPr="00DE475B">
              <w:rPr>
                <w:rFonts w:ascii="Arial" w:hAnsi="Arial" w:cs="Arial"/>
                <w:sz w:val="20"/>
                <w:szCs w:val="20"/>
              </w:rPr>
              <w:t> </w:t>
            </w:r>
          </w:p>
        </w:tc>
        <w:tc>
          <w:tcPr>
            <w:tcW w:w="985" w:type="dxa"/>
            <w:tcBorders>
              <w:top w:val="single" w:sz="18" w:space="0" w:color="000000"/>
            </w:tcBorders>
            <w:shd w:val="clear" w:color="auto" w:fill="auto"/>
            <w:vAlign w:val="bottom"/>
          </w:tcPr>
          <w:p w:rsidR="0092097C" w:rsidRPr="00DE475B" w:rsidRDefault="0092097C">
            <w:pPr>
              <w:rPr>
                <w:rFonts w:ascii="Arial" w:hAnsi="Arial" w:cs="Arial"/>
                <w:b/>
                <w:bCs/>
                <w:sz w:val="20"/>
                <w:szCs w:val="20"/>
              </w:rPr>
            </w:pPr>
            <w:r w:rsidRPr="00DE475B">
              <w:rPr>
                <w:rFonts w:ascii="Arial" w:hAnsi="Arial" w:cs="Arial"/>
                <w:sz w:val="20"/>
                <w:szCs w:val="20"/>
              </w:rPr>
              <w:t> </w:t>
            </w:r>
          </w:p>
        </w:tc>
      </w:tr>
      <w:tr w:rsidR="0092097C" w:rsidRPr="00DE475B" w:rsidTr="008E69D1">
        <w:trPr>
          <w:trHeight w:val="297"/>
        </w:trPr>
        <w:tc>
          <w:tcPr>
            <w:tcW w:w="4849" w:type="dxa"/>
            <w:gridSpan w:val="4"/>
            <w:shd w:val="clear" w:color="auto" w:fill="auto"/>
            <w:vAlign w:val="bottom"/>
          </w:tcPr>
          <w:p w:rsidR="0092097C" w:rsidRPr="00DE475B" w:rsidRDefault="0092097C">
            <w:pPr>
              <w:rPr>
                <w:rFonts w:ascii="Arial" w:hAnsi="Arial" w:cs="Arial"/>
                <w:sz w:val="20"/>
                <w:szCs w:val="20"/>
              </w:rPr>
            </w:pPr>
            <w:r w:rsidRPr="00DE475B">
              <w:rPr>
                <w:rFonts w:ascii="Arial" w:hAnsi="Arial" w:cs="Arial"/>
                <w:b/>
                <w:bCs/>
                <w:sz w:val="20"/>
                <w:szCs w:val="20"/>
              </w:rPr>
              <w:t>Other Comprehensive Income</w:t>
            </w: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r>
      <w:tr w:rsidR="0092097C" w:rsidRPr="00DE475B" w:rsidTr="008E69D1">
        <w:trPr>
          <w:trHeight w:val="297"/>
        </w:trPr>
        <w:tc>
          <w:tcPr>
            <w:tcW w:w="284" w:type="dxa"/>
            <w:shd w:val="clear" w:color="auto" w:fill="auto"/>
            <w:vAlign w:val="bottom"/>
          </w:tcPr>
          <w:p w:rsidR="0092097C" w:rsidRPr="00DE475B" w:rsidRDefault="0092097C">
            <w:pPr>
              <w:snapToGrid w:val="0"/>
              <w:rPr>
                <w:rFonts w:ascii="Arial" w:hAnsi="Arial" w:cs="Arial"/>
                <w:b/>
                <w:bCs/>
                <w:sz w:val="20"/>
                <w:szCs w:val="20"/>
              </w:rPr>
            </w:pPr>
          </w:p>
        </w:tc>
        <w:tc>
          <w:tcPr>
            <w:tcW w:w="4565" w:type="dxa"/>
            <w:gridSpan w:val="3"/>
            <w:vMerge w:val="restart"/>
            <w:shd w:val="clear" w:color="auto" w:fill="auto"/>
            <w:vAlign w:val="bottom"/>
          </w:tcPr>
          <w:p w:rsidR="0092097C" w:rsidRPr="00DE475B" w:rsidRDefault="0092097C" w:rsidP="007349FF">
            <w:pPr>
              <w:rPr>
                <w:rFonts w:ascii="Arial" w:hAnsi="Arial" w:cs="Arial"/>
                <w:sz w:val="20"/>
                <w:szCs w:val="20"/>
              </w:rPr>
            </w:pPr>
            <w:r w:rsidRPr="00DE475B">
              <w:rPr>
                <w:rFonts w:ascii="Arial" w:hAnsi="Arial" w:cs="Arial"/>
                <w:sz w:val="20"/>
                <w:szCs w:val="20"/>
                <w:u w:val="single"/>
              </w:rPr>
              <w:t xml:space="preserve">Items that will not be reclassified to </w:t>
            </w:r>
            <w:r w:rsidRPr="00DE475B">
              <w:rPr>
                <w:rFonts w:ascii="Arial" w:hAnsi="Arial" w:cs="Arial"/>
                <w:sz w:val="20"/>
                <w:szCs w:val="20"/>
                <w:u w:val="single"/>
              </w:rPr>
              <w:br/>
              <w:t>Operating Result:</w:t>
            </w: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r>
      <w:tr w:rsidR="0092097C" w:rsidRPr="00DE475B" w:rsidTr="008E69D1">
        <w:trPr>
          <w:trHeight w:val="297"/>
        </w:trPr>
        <w:tc>
          <w:tcPr>
            <w:tcW w:w="284" w:type="dxa"/>
            <w:shd w:val="clear" w:color="auto" w:fill="auto"/>
            <w:vAlign w:val="bottom"/>
          </w:tcPr>
          <w:p w:rsidR="0092097C" w:rsidRPr="00DE475B" w:rsidRDefault="0092097C">
            <w:pPr>
              <w:snapToGrid w:val="0"/>
              <w:rPr>
                <w:rFonts w:ascii="Arial" w:hAnsi="Arial" w:cs="Arial"/>
                <w:b/>
                <w:bCs/>
                <w:sz w:val="20"/>
                <w:szCs w:val="20"/>
              </w:rPr>
            </w:pPr>
          </w:p>
        </w:tc>
        <w:tc>
          <w:tcPr>
            <w:tcW w:w="4565" w:type="dxa"/>
            <w:gridSpan w:val="3"/>
            <w:vMerge/>
            <w:shd w:val="clear" w:color="auto" w:fill="auto"/>
            <w:vAlign w:val="bottom"/>
          </w:tcPr>
          <w:p w:rsidR="0092097C" w:rsidRPr="00DE475B" w:rsidRDefault="0092097C">
            <w:pPr>
              <w:snapToGrid w:val="0"/>
              <w:jc w:val="center"/>
              <w:rPr>
                <w:rFonts w:ascii="Arial" w:hAnsi="Arial" w:cs="Arial"/>
                <w:b/>
                <w:bCs/>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r>
      <w:tr w:rsidR="0092097C" w:rsidRPr="00DE475B" w:rsidTr="008E69D1">
        <w:trPr>
          <w:trHeight w:val="156"/>
        </w:trPr>
        <w:tc>
          <w:tcPr>
            <w:tcW w:w="284" w:type="dxa"/>
            <w:shd w:val="clear" w:color="auto" w:fill="auto"/>
            <w:vAlign w:val="bottom"/>
          </w:tcPr>
          <w:p w:rsidR="0092097C" w:rsidRPr="00DE475B" w:rsidRDefault="0092097C">
            <w:pPr>
              <w:snapToGrid w:val="0"/>
              <w:rPr>
                <w:rFonts w:ascii="Arial" w:hAnsi="Arial" w:cs="Arial"/>
                <w:b/>
                <w:bCs/>
                <w:sz w:val="20"/>
                <w:szCs w:val="20"/>
              </w:rPr>
            </w:pPr>
          </w:p>
        </w:tc>
        <w:tc>
          <w:tcPr>
            <w:tcW w:w="4565" w:type="dxa"/>
            <w:gridSpan w:val="3"/>
            <w:shd w:val="clear" w:color="auto" w:fill="auto"/>
            <w:vAlign w:val="bottom"/>
          </w:tcPr>
          <w:p w:rsidR="0092097C" w:rsidRPr="00DE475B" w:rsidRDefault="0092097C">
            <w:pPr>
              <w:snapToGrid w:val="0"/>
              <w:jc w:val="center"/>
              <w:rPr>
                <w:rFonts w:ascii="Arial" w:hAnsi="Arial" w:cs="Arial"/>
                <w:b/>
                <w:bCs/>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c>
          <w:tcPr>
            <w:tcW w:w="985" w:type="dxa"/>
            <w:shd w:val="clear" w:color="auto" w:fill="auto"/>
            <w:vAlign w:val="bottom"/>
          </w:tcPr>
          <w:p w:rsidR="0092097C" w:rsidRPr="00DE475B" w:rsidRDefault="0092097C">
            <w:pPr>
              <w:snapToGrid w:val="0"/>
              <w:rPr>
                <w:rFonts w:ascii="Arial" w:hAnsi="Arial" w:cs="Arial"/>
                <w:sz w:val="20"/>
                <w:szCs w:val="20"/>
              </w:rPr>
            </w:pPr>
          </w:p>
        </w:tc>
      </w:tr>
      <w:tr w:rsidR="0092097C" w:rsidRPr="00DE475B" w:rsidTr="008E69D1">
        <w:trPr>
          <w:trHeight w:val="297"/>
        </w:trPr>
        <w:tc>
          <w:tcPr>
            <w:tcW w:w="284" w:type="dxa"/>
            <w:shd w:val="clear" w:color="auto" w:fill="auto"/>
            <w:vAlign w:val="bottom"/>
          </w:tcPr>
          <w:p w:rsidR="0092097C" w:rsidRPr="00DE475B" w:rsidRDefault="0092097C">
            <w:pPr>
              <w:snapToGrid w:val="0"/>
              <w:rPr>
                <w:rFonts w:ascii="Arial" w:hAnsi="Arial" w:cs="Arial"/>
                <w:b/>
                <w:bCs/>
                <w:sz w:val="20"/>
                <w:szCs w:val="20"/>
              </w:rPr>
            </w:pPr>
          </w:p>
        </w:tc>
        <w:tc>
          <w:tcPr>
            <w:tcW w:w="3580" w:type="dxa"/>
            <w:gridSpan w:val="2"/>
            <w:shd w:val="clear" w:color="auto" w:fill="auto"/>
            <w:vAlign w:val="bottom"/>
          </w:tcPr>
          <w:p w:rsidR="0092097C" w:rsidRPr="00DE475B" w:rsidRDefault="0092097C" w:rsidP="007349FF">
            <w:pPr>
              <w:rPr>
                <w:rFonts w:ascii="Arial" w:hAnsi="Arial" w:cs="Arial"/>
                <w:b/>
                <w:bCs/>
                <w:sz w:val="20"/>
                <w:szCs w:val="20"/>
              </w:rPr>
            </w:pPr>
            <w:r>
              <w:rPr>
                <w:rFonts w:ascii="Arial" w:hAnsi="Arial" w:cs="Arial"/>
                <w:sz w:val="20"/>
                <w:szCs w:val="20"/>
              </w:rPr>
              <w:t>Increase/(</w:t>
            </w:r>
            <w:r w:rsidRPr="00DE475B">
              <w:rPr>
                <w:rFonts w:ascii="Arial" w:hAnsi="Arial" w:cs="Arial"/>
                <w:sz w:val="20"/>
                <w:szCs w:val="20"/>
              </w:rPr>
              <w:t>Decrease</w:t>
            </w:r>
            <w:r>
              <w:rPr>
                <w:rFonts w:ascii="Arial" w:hAnsi="Arial" w:cs="Arial"/>
                <w:sz w:val="20"/>
                <w:szCs w:val="20"/>
              </w:rPr>
              <w:t>)</w:t>
            </w:r>
            <w:r w:rsidRPr="00DE475B">
              <w:rPr>
                <w:rFonts w:ascii="Arial" w:hAnsi="Arial" w:cs="Arial"/>
                <w:sz w:val="20"/>
                <w:szCs w:val="20"/>
              </w:rPr>
              <w:t xml:space="preserve"> in asset revaluation surplus</w:t>
            </w:r>
          </w:p>
        </w:tc>
        <w:tc>
          <w:tcPr>
            <w:tcW w:w="985" w:type="dxa"/>
            <w:shd w:val="clear" w:color="auto" w:fill="auto"/>
            <w:vAlign w:val="center"/>
          </w:tcPr>
          <w:p w:rsidR="0092097C" w:rsidRPr="00DE475B" w:rsidRDefault="0092097C" w:rsidP="008E69D1">
            <w:pPr>
              <w:jc w:val="center"/>
              <w:rPr>
                <w:rFonts w:ascii="Arial" w:hAnsi="Arial" w:cs="Arial"/>
                <w:sz w:val="20"/>
                <w:szCs w:val="20"/>
              </w:rPr>
            </w:pPr>
            <w:r w:rsidRPr="00DE475B">
              <w:rPr>
                <w:rFonts w:ascii="Arial" w:hAnsi="Arial" w:cs="Arial"/>
                <w:b/>
                <w:bCs/>
                <w:sz w:val="20"/>
                <w:szCs w:val="20"/>
              </w:rPr>
              <w:t>C7</w:t>
            </w:r>
          </w:p>
        </w:tc>
        <w:tc>
          <w:tcPr>
            <w:tcW w:w="985" w:type="dxa"/>
            <w:shd w:val="clear" w:color="auto" w:fill="auto"/>
            <w:vAlign w:val="center"/>
          </w:tcPr>
          <w:p w:rsidR="0092097C" w:rsidRPr="00DE475B" w:rsidRDefault="00C93F27" w:rsidP="00E470E5">
            <w:pPr>
              <w:jc w:val="right"/>
              <w:rPr>
                <w:rFonts w:ascii="Arial" w:hAnsi="Arial" w:cs="Arial"/>
                <w:sz w:val="20"/>
                <w:szCs w:val="20"/>
              </w:rPr>
            </w:pPr>
            <w:r>
              <w:rPr>
                <w:rFonts w:ascii="Arial" w:hAnsi="Arial" w:cs="Arial"/>
                <w:sz w:val="20"/>
                <w:szCs w:val="20"/>
              </w:rPr>
              <w:t>16,373</w:t>
            </w:r>
          </w:p>
        </w:tc>
        <w:tc>
          <w:tcPr>
            <w:tcW w:w="985" w:type="dxa"/>
            <w:shd w:val="clear" w:color="auto" w:fill="auto"/>
            <w:vAlign w:val="center"/>
          </w:tcPr>
          <w:p w:rsidR="0092097C" w:rsidRPr="00DE475B" w:rsidRDefault="0092097C" w:rsidP="00E470E5">
            <w:pPr>
              <w:jc w:val="right"/>
              <w:rPr>
                <w:rFonts w:ascii="Arial" w:hAnsi="Arial" w:cs="Arial"/>
                <w:sz w:val="20"/>
                <w:szCs w:val="20"/>
              </w:rPr>
            </w:pPr>
            <w:r w:rsidRPr="00DE475B">
              <w:rPr>
                <w:rFonts w:ascii="Arial" w:hAnsi="Arial" w:cs="Arial"/>
                <w:sz w:val="20"/>
                <w:szCs w:val="20"/>
              </w:rPr>
              <w:t>(653)</w:t>
            </w:r>
          </w:p>
        </w:tc>
        <w:tc>
          <w:tcPr>
            <w:tcW w:w="985" w:type="dxa"/>
            <w:shd w:val="clear" w:color="auto" w:fill="auto"/>
            <w:vAlign w:val="center"/>
          </w:tcPr>
          <w:p w:rsidR="0092097C" w:rsidRPr="00DE475B" w:rsidRDefault="00C93F27" w:rsidP="00E470E5">
            <w:pPr>
              <w:jc w:val="right"/>
              <w:rPr>
                <w:rFonts w:ascii="Arial" w:hAnsi="Arial" w:cs="Arial"/>
                <w:sz w:val="20"/>
                <w:szCs w:val="20"/>
              </w:rPr>
            </w:pPr>
            <w:r>
              <w:rPr>
                <w:rFonts w:ascii="Arial" w:hAnsi="Arial" w:cs="Arial"/>
                <w:sz w:val="20"/>
                <w:szCs w:val="20"/>
              </w:rPr>
              <w:t>16,373</w:t>
            </w:r>
          </w:p>
        </w:tc>
        <w:tc>
          <w:tcPr>
            <w:tcW w:w="985" w:type="dxa"/>
            <w:shd w:val="clear" w:color="auto" w:fill="auto"/>
            <w:vAlign w:val="center"/>
          </w:tcPr>
          <w:p w:rsidR="0092097C" w:rsidRPr="00DE475B" w:rsidRDefault="0092097C" w:rsidP="00E470E5">
            <w:pPr>
              <w:jc w:val="right"/>
              <w:rPr>
                <w:rFonts w:ascii="Arial" w:hAnsi="Arial" w:cs="Arial"/>
                <w:b/>
                <w:bCs/>
                <w:sz w:val="20"/>
                <w:szCs w:val="20"/>
              </w:rPr>
            </w:pPr>
            <w:r w:rsidRPr="00DE475B">
              <w:rPr>
                <w:rFonts w:ascii="Arial" w:hAnsi="Arial" w:cs="Arial"/>
                <w:sz w:val="20"/>
                <w:szCs w:val="20"/>
              </w:rPr>
              <w:t>(653)</w:t>
            </w:r>
          </w:p>
        </w:tc>
      </w:tr>
      <w:tr w:rsidR="0092097C" w:rsidRPr="00DE475B" w:rsidTr="008E69D1">
        <w:trPr>
          <w:trHeight w:val="162"/>
        </w:trPr>
        <w:tc>
          <w:tcPr>
            <w:tcW w:w="284" w:type="dxa"/>
            <w:shd w:val="clear" w:color="auto" w:fill="auto"/>
            <w:vAlign w:val="bottom"/>
          </w:tcPr>
          <w:p w:rsidR="0092097C" w:rsidRPr="00DE475B" w:rsidRDefault="0092097C">
            <w:pPr>
              <w:snapToGrid w:val="0"/>
              <w:rPr>
                <w:rFonts w:ascii="Arial" w:hAnsi="Arial" w:cs="Arial"/>
                <w:b/>
                <w:bCs/>
                <w:sz w:val="20"/>
                <w:szCs w:val="20"/>
              </w:rPr>
            </w:pPr>
          </w:p>
        </w:tc>
        <w:tc>
          <w:tcPr>
            <w:tcW w:w="4565" w:type="dxa"/>
            <w:gridSpan w:val="3"/>
            <w:shd w:val="clear" w:color="auto" w:fill="auto"/>
            <w:vAlign w:val="bottom"/>
          </w:tcPr>
          <w:p w:rsidR="0092097C" w:rsidRPr="00DE475B" w:rsidRDefault="0092097C">
            <w:pPr>
              <w:snapToGrid w:val="0"/>
              <w:rPr>
                <w:rFonts w:ascii="Arial" w:hAnsi="Arial" w:cs="Arial"/>
                <w:b/>
                <w:bCs/>
                <w:sz w:val="20"/>
                <w:szCs w:val="20"/>
              </w:rPr>
            </w:pPr>
          </w:p>
        </w:tc>
        <w:tc>
          <w:tcPr>
            <w:tcW w:w="985" w:type="dxa"/>
            <w:tcBorders>
              <w:bottom w:val="single" w:sz="4" w:space="0" w:color="000000"/>
            </w:tcBorders>
            <w:shd w:val="clear" w:color="auto" w:fill="auto"/>
            <w:vAlign w:val="center"/>
          </w:tcPr>
          <w:p w:rsidR="0092097C" w:rsidRPr="00DE475B" w:rsidRDefault="0092097C" w:rsidP="00E470E5">
            <w:pPr>
              <w:jc w:val="right"/>
              <w:rPr>
                <w:rFonts w:ascii="Arial" w:hAnsi="Arial" w:cs="Arial"/>
                <w:sz w:val="20"/>
                <w:szCs w:val="20"/>
              </w:rPr>
            </w:pPr>
          </w:p>
        </w:tc>
        <w:tc>
          <w:tcPr>
            <w:tcW w:w="985" w:type="dxa"/>
            <w:tcBorders>
              <w:bottom w:val="single" w:sz="4" w:space="0" w:color="000000"/>
            </w:tcBorders>
            <w:shd w:val="clear" w:color="auto" w:fill="auto"/>
            <w:vAlign w:val="center"/>
          </w:tcPr>
          <w:p w:rsidR="0092097C" w:rsidRPr="00DE475B" w:rsidRDefault="0092097C" w:rsidP="00E470E5">
            <w:pPr>
              <w:jc w:val="right"/>
              <w:rPr>
                <w:rFonts w:ascii="Arial" w:hAnsi="Arial" w:cs="Arial"/>
                <w:sz w:val="20"/>
                <w:szCs w:val="20"/>
              </w:rPr>
            </w:pPr>
            <w:r w:rsidRPr="00DE475B">
              <w:rPr>
                <w:rFonts w:ascii="Arial" w:hAnsi="Arial" w:cs="Arial"/>
                <w:sz w:val="20"/>
                <w:szCs w:val="20"/>
              </w:rPr>
              <w:t> </w:t>
            </w:r>
          </w:p>
        </w:tc>
        <w:tc>
          <w:tcPr>
            <w:tcW w:w="985" w:type="dxa"/>
            <w:tcBorders>
              <w:bottom w:val="single" w:sz="4" w:space="0" w:color="000000"/>
            </w:tcBorders>
            <w:shd w:val="clear" w:color="auto" w:fill="auto"/>
            <w:vAlign w:val="center"/>
          </w:tcPr>
          <w:p w:rsidR="0092097C" w:rsidRPr="00DE475B" w:rsidRDefault="0092097C" w:rsidP="00E470E5">
            <w:pPr>
              <w:jc w:val="right"/>
              <w:rPr>
                <w:rFonts w:ascii="Arial" w:hAnsi="Arial" w:cs="Arial"/>
                <w:sz w:val="20"/>
                <w:szCs w:val="20"/>
              </w:rPr>
            </w:pPr>
          </w:p>
        </w:tc>
        <w:tc>
          <w:tcPr>
            <w:tcW w:w="985" w:type="dxa"/>
            <w:tcBorders>
              <w:bottom w:val="single" w:sz="4" w:space="0" w:color="000000"/>
            </w:tcBorders>
            <w:shd w:val="clear" w:color="auto" w:fill="auto"/>
            <w:vAlign w:val="center"/>
          </w:tcPr>
          <w:p w:rsidR="0092097C" w:rsidRPr="00DE475B" w:rsidRDefault="0092097C" w:rsidP="00E470E5">
            <w:pPr>
              <w:jc w:val="right"/>
              <w:rPr>
                <w:rFonts w:ascii="Arial" w:hAnsi="Arial" w:cs="Arial"/>
                <w:b/>
                <w:bCs/>
                <w:sz w:val="20"/>
                <w:szCs w:val="20"/>
              </w:rPr>
            </w:pPr>
            <w:r w:rsidRPr="00DE475B">
              <w:rPr>
                <w:rFonts w:ascii="Arial" w:hAnsi="Arial" w:cs="Arial"/>
                <w:sz w:val="20"/>
                <w:szCs w:val="20"/>
              </w:rPr>
              <w:t> </w:t>
            </w:r>
          </w:p>
        </w:tc>
      </w:tr>
      <w:tr w:rsidR="0092097C" w:rsidRPr="00DE475B" w:rsidTr="008E69D1">
        <w:trPr>
          <w:trHeight w:val="162"/>
        </w:trPr>
        <w:tc>
          <w:tcPr>
            <w:tcW w:w="284" w:type="dxa"/>
            <w:shd w:val="clear" w:color="auto" w:fill="auto"/>
            <w:vAlign w:val="bottom"/>
          </w:tcPr>
          <w:p w:rsidR="0092097C" w:rsidRPr="00DE475B" w:rsidRDefault="0092097C">
            <w:pPr>
              <w:snapToGrid w:val="0"/>
              <w:rPr>
                <w:rFonts w:ascii="Arial" w:hAnsi="Arial" w:cs="Arial"/>
                <w:sz w:val="20"/>
                <w:szCs w:val="20"/>
              </w:rPr>
            </w:pPr>
          </w:p>
        </w:tc>
        <w:tc>
          <w:tcPr>
            <w:tcW w:w="4565" w:type="dxa"/>
            <w:gridSpan w:val="3"/>
            <w:shd w:val="clear" w:color="auto" w:fill="auto"/>
            <w:vAlign w:val="bottom"/>
          </w:tcPr>
          <w:p w:rsidR="0092097C" w:rsidRPr="00DE475B" w:rsidRDefault="0092097C">
            <w:pPr>
              <w:snapToGrid w:val="0"/>
              <w:rPr>
                <w:rFonts w:ascii="Arial" w:hAnsi="Arial" w:cs="Arial"/>
                <w:b/>
                <w:bCs/>
                <w:sz w:val="20"/>
                <w:szCs w:val="20"/>
              </w:rPr>
            </w:pPr>
          </w:p>
        </w:tc>
        <w:tc>
          <w:tcPr>
            <w:tcW w:w="985" w:type="dxa"/>
            <w:shd w:val="clear" w:color="auto" w:fill="auto"/>
            <w:vAlign w:val="center"/>
          </w:tcPr>
          <w:p w:rsidR="0092097C" w:rsidRPr="00DE475B" w:rsidRDefault="0092097C" w:rsidP="00E470E5">
            <w:pPr>
              <w:snapToGrid w:val="0"/>
              <w:jc w:val="right"/>
              <w:rPr>
                <w:rFonts w:ascii="Arial" w:hAnsi="Arial" w:cs="Arial"/>
                <w:sz w:val="20"/>
                <w:szCs w:val="20"/>
              </w:rPr>
            </w:pPr>
          </w:p>
        </w:tc>
        <w:tc>
          <w:tcPr>
            <w:tcW w:w="985" w:type="dxa"/>
            <w:shd w:val="clear" w:color="auto" w:fill="auto"/>
            <w:vAlign w:val="center"/>
          </w:tcPr>
          <w:p w:rsidR="0092097C" w:rsidRPr="00DE475B" w:rsidRDefault="0092097C" w:rsidP="00E470E5">
            <w:pPr>
              <w:snapToGrid w:val="0"/>
              <w:jc w:val="right"/>
              <w:rPr>
                <w:rFonts w:ascii="Arial" w:hAnsi="Arial" w:cs="Arial"/>
                <w:sz w:val="20"/>
                <w:szCs w:val="20"/>
              </w:rPr>
            </w:pPr>
          </w:p>
        </w:tc>
        <w:tc>
          <w:tcPr>
            <w:tcW w:w="985" w:type="dxa"/>
            <w:shd w:val="clear" w:color="auto" w:fill="auto"/>
            <w:vAlign w:val="center"/>
          </w:tcPr>
          <w:p w:rsidR="0092097C" w:rsidRPr="00DE475B" w:rsidRDefault="0092097C" w:rsidP="00E470E5">
            <w:pPr>
              <w:snapToGrid w:val="0"/>
              <w:jc w:val="right"/>
              <w:rPr>
                <w:rFonts w:ascii="Arial" w:hAnsi="Arial" w:cs="Arial"/>
                <w:sz w:val="20"/>
                <w:szCs w:val="20"/>
              </w:rPr>
            </w:pPr>
          </w:p>
        </w:tc>
        <w:tc>
          <w:tcPr>
            <w:tcW w:w="985" w:type="dxa"/>
            <w:shd w:val="clear" w:color="auto" w:fill="auto"/>
            <w:vAlign w:val="center"/>
          </w:tcPr>
          <w:p w:rsidR="0092097C" w:rsidRPr="00DE475B" w:rsidRDefault="0092097C" w:rsidP="00E470E5">
            <w:pPr>
              <w:snapToGrid w:val="0"/>
              <w:jc w:val="right"/>
              <w:rPr>
                <w:rFonts w:ascii="Arial" w:hAnsi="Arial" w:cs="Arial"/>
                <w:sz w:val="20"/>
                <w:szCs w:val="20"/>
              </w:rPr>
            </w:pPr>
          </w:p>
        </w:tc>
      </w:tr>
      <w:tr w:rsidR="0092097C" w:rsidRPr="00DE475B" w:rsidTr="008E69D1">
        <w:trPr>
          <w:trHeight w:val="297"/>
        </w:trPr>
        <w:tc>
          <w:tcPr>
            <w:tcW w:w="284" w:type="dxa"/>
            <w:shd w:val="clear" w:color="auto" w:fill="auto"/>
            <w:vAlign w:val="bottom"/>
          </w:tcPr>
          <w:p w:rsidR="0092097C" w:rsidRPr="00DE475B" w:rsidRDefault="0092097C">
            <w:pPr>
              <w:snapToGrid w:val="0"/>
              <w:rPr>
                <w:rFonts w:ascii="Arial" w:hAnsi="Arial" w:cs="Arial"/>
                <w:sz w:val="20"/>
                <w:szCs w:val="20"/>
              </w:rPr>
            </w:pPr>
          </w:p>
        </w:tc>
        <w:tc>
          <w:tcPr>
            <w:tcW w:w="4565" w:type="dxa"/>
            <w:gridSpan w:val="3"/>
            <w:shd w:val="clear" w:color="auto" w:fill="auto"/>
            <w:vAlign w:val="bottom"/>
          </w:tcPr>
          <w:p w:rsidR="0092097C" w:rsidRPr="00DE475B" w:rsidRDefault="0092097C">
            <w:pPr>
              <w:rPr>
                <w:rFonts w:ascii="Arial" w:hAnsi="Arial" w:cs="Arial"/>
                <w:sz w:val="20"/>
                <w:szCs w:val="20"/>
              </w:rPr>
            </w:pPr>
            <w:r w:rsidRPr="00DE475B">
              <w:rPr>
                <w:rFonts w:ascii="Arial" w:hAnsi="Arial" w:cs="Arial"/>
                <w:b/>
                <w:bCs/>
                <w:sz w:val="20"/>
                <w:szCs w:val="20"/>
              </w:rPr>
              <w:t>Total Other Comprehensive Income</w:t>
            </w:r>
          </w:p>
        </w:tc>
        <w:tc>
          <w:tcPr>
            <w:tcW w:w="985" w:type="dxa"/>
            <w:shd w:val="clear" w:color="auto" w:fill="auto"/>
            <w:vAlign w:val="center"/>
          </w:tcPr>
          <w:p w:rsidR="0092097C" w:rsidRPr="00DE475B" w:rsidRDefault="00C93F27" w:rsidP="00E470E5">
            <w:pPr>
              <w:jc w:val="right"/>
              <w:rPr>
                <w:rFonts w:ascii="Arial" w:hAnsi="Arial" w:cs="Arial"/>
                <w:sz w:val="20"/>
                <w:szCs w:val="20"/>
              </w:rPr>
            </w:pPr>
            <w:r>
              <w:rPr>
                <w:rFonts w:ascii="Arial" w:hAnsi="Arial" w:cs="Arial"/>
                <w:sz w:val="20"/>
                <w:szCs w:val="20"/>
              </w:rPr>
              <w:t>16,373</w:t>
            </w:r>
          </w:p>
        </w:tc>
        <w:tc>
          <w:tcPr>
            <w:tcW w:w="985" w:type="dxa"/>
            <w:shd w:val="clear" w:color="auto" w:fill="auto"/>
            <w:vAlign w:val="center"/>
          </w:tcPr>
          <w:p w:rsidR="0092097C" w:rsidRPr="00DE475B" w:rsidRDefault="0092097C" w:rsidP="00E470E5">
            <w:pPr>
              <w:jc w:val="right"/>
              <w:rPr>
                <w:rFonts w:ascii="Arial" w:hAnsi="Arial" w:cs="Arial"/>
                <w:sz w:val="20"/>
                <w:szCs w:val="20"/>
              </w:rPr>
            </w:pPr>
            <w:r w:rsidRPr="00DE475B">
              <w:rPr>
                <w:rFonts w:ascii="Arial" w:hAnsi="Arial" w:cs="Arial"/>
                <w:sz w:val="20"/>
                <w:szCs w:val="20"/>
              </w:rPr>
              <w:t>(653)</w:t>
            </w:r>
          </w:p>
        </w:tc>
        <w:tc>
          <w:tcPr>
            <w:tcW w:w="985" w:type="dxa"/>
            <w:shd w:val="clear" w:color="auto" w:fill="auto"/>
            <w:vAlign w:val="center"/>
          </w:tcPr>
          <w:p w:rsidR="0092097C" w:rsidRPr="00DE475B" w:rsidRDefault="00C93F27" w:rsidP="00E470E5">
            <w:pPr>
              <w:jc w:val="right"/>
              <w:rPr>
                <w:rFonts w:ascii="Arial" w:hAnsi="Arial" w:cs="Arial"/>
                <w:sz w:val="20"/>
                <w:szCs w:val="20"/>
              </w:rPr>
            </w:pPr>
            <w:r>
              <w:rPr>
                <w:rFonts w:ascii="Arial" w:hAnsi="Arial" w:cs="Arial"/>
                <w:sz w:val="20"/>
                <w:szCs w:val="20"/>
              </w:rPr>
              <w:t>16,373</w:t>
            </w:r>
          </w:p>
        </w:tc>
        <w:tc>
          <w:tcPr>
            <w:tcW w:w="985" w:type="dxa"/>
            <w:shd w:val="clear" w:color="auto" w:fill="auto"/>
            <w:vAlign w:val="center"/>
          </w:tcPr>
          <w:p w:rsidR="0092097C" w:rsidRPr="00DE475B" w:rsidRDefault="0092097C" w:rsidP="00E470E5">
            <w:pPr>
              <w:jc w:val="right"/>
              <w:rPr>
                <w:rFonts w:ascii="Arial" w:hAnsi="Arial" w:cs="Arial"/>
                <w:sz w:val="20"/>
                <w:szCs w:val="20"/>
              </w:rPr>
            </w:pPr>
            <w:r w:rsidRPr="00DE475B">
              <w:rPr>
                <w:rFonts w:ascii="Arial" w:hAnsi="Arial" w:cs="Arial"/>
                <w:sz w:val="20"/>
                <w:szCs w:val="20"/>
              </w:rPr>
              <w:t>(653)</w:t>
            </w:r>
          </w:p>
        </w:tc>
      </w:tr>
      <w:tr w:rsidR="0092097C" w:rsidRPr="00DE475B" w:rsidTr="008E69D1">
        <w:trPr>
          <w:trHeight w:val="162"/>
        </w:trPr>
        <w:tc>
          <w:tcPr>
            <w:tcW w:w="284" w:type="dxa"/>
            <w:shd w:val="clear" w:color="auto" w:fill="auto"/>
            <w:vAlign w:val="bottom"/>
          </w:tcPr>
          <w:p w:rsidR="0092097C" w:rsidRPr="00DE475B" w:rsidRDefault="0092097C">
            <w:pPr>
              <w:snapToGrid w:val="0"/>
              <w:rPr>
                <w:rFonts w:ascii="Arial" w:hAnsi="Arial" w:cs="Arial"/>
                <w:sz w:val="20"/>
                <w:szCs w:val="20"/>
              </w:rPr>
            </w:pPr>
          </w:p>
        </w:tc>
        <w:tc>
          <w:tcPr>
            <w:tcW w:w="4565" w:type="dxa"/>
            <w:gridSpan w:val="3"/>
            <w:shd w:val="clear" w:color="auto" w:fill="auto"/>
            <w:vAlign w:val="bottom"/>
          </w:tcPr>
          <w:p w:rsidR="0092097C" w:rsidRPr="00DE475B" w:rsidRDefault="0092097C">
            <w:pPr>
              <w:snapToGrid w:val="0"/>
              <w:rPr>
                <w:rFonts w:ascii="Arial" w:hAnsi="Arial" w:cs="Arial"/>
                <w:b/>
                <w:bCs/>
                <w:sz w:val="20"/>
                <w:szCs w:val="20"/>
              </w:rPr>
            </w:pPr>
          </w:p>
        </w:tc>
        <w:tc>
          <w:tcPr>
            <w:tcW w:w="985" w:type="dxa"/>
            <w:tcBorders>
              <w:bottom w:val="single" w:sz="4" w:space="0" w:color="000000"/>
            </w:tcBorders>
            <w:shd w:val="clear" w:color="auto" w:fill="auto"/>
            <w:vAlign w:val="center"/>
          </w:tcPr>
          <w:p w:rsidR="0092097C" w:rsidRPr="00DE475B" w:rsidRDefault="0092097C" w:rsidP="00E470E5">
            <w:pPr>
              <w:jc w:val="right"/>
              <w:rPr>
                <w:rFonts w:ascii="Arial" w:hAnsi="Arial" w:cs="Arial"/>
                <w:sz w:val="20"/>
                <w:szCs w:val="20"/>
              </w:rPr>
            </w:pPr>
          </w:p>
        </w:tc>
        <w:tc>
          <w:tcPr>
            <w:tcW w:w="985" w:type="dxa"/>
            <w:tcBorders>
              <w:bottom w:val="single" w:sz="4" w:space="0" w:color="000000"/>
            </w:tcBorders>
            <w:shd w:val="clear" w:color="auto" w:fill="auto"/>
            <w:vAlign w:val="center"/>
          </w:tcPr>
          <w:p w:rsidR="0092097C" w:rsidRPr="00DE475B" w:rsidRDefault="0092097C" w:rsidP="00E470E5">
            <w:pPr>
              <w:jc w:val="right"/>
              <w:rPr>
                <w:rFonts w:ascii="Arial" w:hAnsi="Arial" w:cs="Arial"/>
                <w:sz w:val="20"/>
                <w:szCs w:val="20"/>
              </w:rPr>
            </w:pPr>
          </w:p>
        </w:tc>
        <w:tc>
          <w:tcPr>
            <w:tcW w:w="985" w:type="dxa"/>
            <w:tcBorders>
              <w:bottom w:val="single" w:sz="4" w:space="0" w:color="000000"/>
            </w:tcBorders>
            <w:shd w:val="clear" w:color="auto" w:fill="auto"/>
            <w:vAlign w:val="center"/>
          </w:tcPr>
          <w:p w:rsidR="0092097C" w:rsidRPr="00DE475B" w:rsidRDefault="0092097C" w:rsidP="00E470E5">
            <w:pPr>
              <w:jc w:val="right"/>
              <w:rPr>
                <w:rFonts w:ascii="Arial" w:hAnsi="Arial" w:cs="Arial"/>
                <w:sz w:val="20"/>
                <w:szCs w:val="20"/>
              </w:rPr>
            </w:pPr>
          </w:p>
        </w:tc>
        <w:tc>
          <w:tcPr>
            <w:tcW w:w="985" w:type="dxa"/>
            <w:tcBorders>
              <w:bottom w:val="single" w:sz="4" w:space="0" w:color="000000"/>
            </w:tcBorders>
            <w:shd w:val="clear" w:color="auto" w:fill="auto"/>
            <w:vAlign w:val="center"/>
          </w:tcPr>
          <w:p w:rsidR="0092097C" w:rsidRPr="00DE475B" w:rsidRDefault="0092097C" w:rsidP="00E470E5">
            <w:pPr>
              <w:jc w:val="right"/>
              <w:rPr>
                <w:rFonts w:ascii="Arial" w:hAnsi="Arial" w:cs="Arial"/>
                <w:sz w:val="20"/>
                <w:szCs w:val="20"/>
              </w:rPr>
            </w:pPr>
          </w:p>
        </w:tc>
      </w:tr>
      <w:tr w:rsidR="0092097C" w:rsidRPr="00DE475B" w:rsidTr="008E69D1">
        <w:trPr>
          <w:trHeight w:val="162"/>
        </w:trPr>
        <w:tc>
          <w:tcPr>
            <w:tcW w:w="284" w:type="dxa"/>
            <w:shd w:val="clear" w:color="auto" w:fill="auto"/>
            <w:vAlign w:val="bottom"/>
          </w:tcPr>
          <w:p w:rsidR="0092097C" w:rsidRPr="00DE475B" w:rsidRDefault="0092097C">
            <w:pPr>
              <w:snapToGrid w:val="0"/>
              <w:rPr>
                <w:rFonts w:ascii="Arial" w:hAnsi="Arial" w:cs="Arial"/>
                <w:sz w:val="20"/>
                <w:szCs w:val="20"/>
              </w:rPr>
            </w:pPr>
          </w:p>
        </w:tc>
        <w:tc>
          <w:tcPr>
            <w:tcW w:w="4565" w:type="dxa"/>
            <w:gridSpan w:val="3"/>
            <w:shd w:val="clear" w:color="auto" w:fill="auto"/>
            <w:vAlign w:val="bottom"/>
          </w:tcPr>
          <w:p w:rsidR="0092097C" w:rsidRPr="00DE475B" w:rsidRDefault="0092097C">
            <w:pPr>
              <w:snapToGrid w:val="0"/>
              <w:rPr>
                <w:rFonts w:ascii="Arial" w:hAnsi="Arial" w:cs="Arial"/>
                <w:b/>
                <w:bCs/>
                <w:sz w:val="20"/>
                <w:szCs w:val="20"/>
              </w:rPr>
            </w:pPr>
          </w:p>
        </w:tc>
        <w:tc>
          <w:tcPr>
            <w:tcW w:w="985" w:type="dxa"/>
            <w:shd w:val="clear" w:color="auto" w:fill="auto"/>
            <w:vAlign w:val="center"/>
          </w:tcPr>
          <w:p w:rsidR="0092097C" w:rsidRPr="00DE475B" w:rsidRDefault="0092097C" w:rsidP="00E470E5">
            <w:pPr>
              <w:snapToGrid w:val="0"/>
              <w:jc w:val="right"/>
              <w:rPr>
                <w:rFonts w:ascii="Arial" w:hAnsi="Arial" w:cs="Arial"/>
                <w:sz w:val="20"/>
                <w:szCs w:val="20"/>
              </w:rPr>
            </w:pPr>
          </w:p>
        </w:tc>
        <w:tc>
          <w:tcPr>
            <w:tcW w:w="985" w:type="dxa"/>
            <w:shd w:val="clear" w:color="auto" w:fill="auto"/>
            <w:vAlign w:val="center"/>
          </w:tcPr>
          <w:p w:rsidR="0092097C" w:rsidRPr="00DE475B" w:rsidRDefault="0092097C" w:rsidP="00E470E5">
            <w:pPr>
              <w:snapToGrid w:val="0"/>
              <w:jc w:val="right"/>
              <w:rPr>
                <w:rFonts w:ascii="Arial" w:hAnsi="Arial" w:cs="Arial"/>
                <w:sz w:val="20"/>
                <w:szCs w:val="20"/>
              </w:rPr>
            </w:pPr>
          </w:p>
        </w:tc>
        <w:tc>
          <w:tcPr>
            <w:tcW w:w="985" w:type="dxa"/>
            <w:shd w:val="clear" w:color="auto" w:fill="auto"/>
            <w:vAlign w:val="center"/>
          </w:tcPr>
          <w:p w:rsidR="0092097C" w:rsidRPr="00DE475B" w:rsidRDefault="0092097C" w:rsidP="00E470E5">
            <w:pPr>
              <w:snapToGrid w:val="0"/>
              <w:jc w:val="right"/>
              <w:rPr>
                <w:rFonts w:ascii="Arial" w:hAnsi="Arial" w:cs="Arial"/>
                <w:sz w:val="20"/>
                <w:szCs w:val="20"/>
              </w:rPr>
            </w:pPr>
          </w:p>
        </w:tc>
        <w:tc>
          <w:tcPr>
            <w:tcW w:w="985" w:type="dxa"/>
            <w:shd w:val="clear" w:color="auto" w:fill="auto"/>
            <w:vAlign w:val="center"/>
          </w:tcPr>
          <w:p w:rsidR="0092097C" w:rsidRPr="00DE475B" w:rsidRDefault="0092097C" w:rsidP="00E470E5">
            <w:pPr>
              <w:snapToGrid w:val="0"/>
              <w:jc w:val="right"/>
              <w:rPr>
                <w:rFonts w:ascii="Arial" w:hAnsi="Arial" w:cs="Arial"/>
                <w:sz w:val="20"/>
                <w:szCs w:val="20"/>
              </w:rPr>
            </w:pPr>
          </w:p>
        </w:tc>
      </w:tr>
      <w:tr w:rsidR="0092097C" w:rsidRPr="00DE475B" w:rsidTr="008E69D1">
        <w:trPr>
          <w:trHeight w:val="297"/>
        </w:trPr>
        <w:tc>
          <w:tcPr>
            <w:tcW w:w="284" w:type="dxa"/>
            <w:shd w:val="clear" w:color="auto" w:fill="auto"/>
            <w:vAlign w:val="bottom"/>
          </w:tcPr>
          <w:p w:rsidR="0092097C" w:rsidRPr="00DE475B" w:rsidRDefault="0092097C">
            <w:pPr>
              <w:snapToGrid w:val="0"/>
              <w:rPr>
                <w:rFonts w:ascii="Arial" w:hAnsi="Arial" w:cs="Arial"/>
                <w:sz w:val="20"/>
                <w:szCs w:val="20"/>
              </w:rPr>
            </w:pPr>
          </w:p>
        </w:tc>
        <w:tc>
          <w:tcPr>
            <w:tcW w:w="4565" w:type="dxa"/>
            <w:gridSpan w:val="3"/>
            <w:shd w:val="clear" w:color="auto" w:fill="auto"/>
            <w:vAlign w:val="bottom"/>
          </w:tcPr>
          <w:p w:rsidR="0092097C" w:rsidRPr="00DE475B" w:rsidRDefault="0092097C">
            <w:pPr>
              <w:rPr>
                <w:rFonts w:ascii="Arial" w:hAnsi="Arial" w:cs="Arial"/>
                <w:sz w:val="20"/>
                <w:szCs w:val="20"/>
              </w:rPr>
            </w:pPr>
            <w:r w:rsidRPr="00DE475B">
              <w:rPr>
                <w:rFonts w:ascii="Arial" w:hAnsi="Arial" w:cs="Arial"/>
                <w:b/>
                <w:bCs/>
                <w:sz w:val="20"/>
                <w:szCs w:val="20"/>
              </w:rPr>
              <w:t>Total Comprehensive Income</w:t>
            </w:r>
          </w:p>
        </w:tc>
        <w:tc>
          <w:tcPr>
            <w:tcW w:w="985" w:type="dxa"/>
            <w:shd w:val="clear" w:color="auto" w:fill="auto"/>
            <w:vAlign w:val="center"/>
          </w:tcPr>
          <w:p w:rsidR="0092097C" w:rsidRPr="00DE475B" w:rsidRDefault="00C93F27" w:rsidP="00456CA9">
            <w:pPr>
              <w:jc w:val="right"/>
              <w:rPr>
                <w:rFonts w:ascii="Arial" w:hAnsi="Arial" w:cs="Arial"/>
                <w:sz w:val="20"/>
                <w:szCs w:val="20"/>
              </w:rPr>
            </w:pPr>
            <w:r>
              <w:rPr>
                <w:rFonts w:ascii="Arial" w:hAnsi="Arial" w:cs="Arial"/>
                <w:sz w:val="20"/>
                <w:szCs w:val="20"/>
              </w:rPr>
              <w:t>19,585</w:t>
            </w:r>
          </w:p>
        </w:tc>
        <w:tc>
          <w:tcPr>
            <w:tcW w:w="985" w:type="dxa"/>
            <w:shd w:val="clear" w:color="auto" w:fill="auto"/>
            <w:vAlign w:val="center"/>
          </w:tcPr>
          <w:p w:rsidR="0092097C" w:rsidRPr="00DE475B" w:rsidRDefault="0092097C" w:rsidP="00E470E5">
            <w:pPr>
              <w:jc w:val="right"/>
              <w:rPr>
                <w:rFonts w:ascii="Arial" w:hAnsi="Arial" w:cs="Arial"/>
                <w:sz w:val="20"/>
                <w:szCs w:val="20"/>
              </w:rPr>
            </w:pPr>
            <w:r w:rsidRPr="00DE475B">
              <w:rPr>
                <w:rFonts w:ascii="Arial" w:hAnsi="Arial" w:cs="Arial"/>
                <w:sz w:val="20"/>
                <w:szCs w:val="20"/>
              </w:rPr>
              <w:t>1,808</w:t>
            </w:r>
          </w:p>
        </w:tc>
        <w:tc>
          <w:tcPr>
            <w:tcW w:w="985" w:type="dxa"/>
            <w:shd w:val="clear" w:color="auto" w:fill="auto"/>
            <w:vAlign w:val="center"/>
          </w:tcPr>
          <w:p w:rsidR="0092097C" w:rsidRPr="00DE475B" w:rsidRDefault="00C93F27" w:rsidP="00E470E5">
            <w:pPr>
              <w:jc w:val="right"/>
              <w:rPr>
                <w:rFonts w:ascii="Arial" w:hAnsi="Arial" w:cs="Arial"/>
                <w:sz w:val="20"/>
                <w:szCs w:val="20"/>
              </w:rPr>
            </w:pPr>
            <w:r>
              <w:rPr>
                <w:rFonts w:ascii="Arial" w:hAnsi="Arial" w:cs="Arial"/>
                <w:sz w:val="20"/>
                <w:szCs w:val="20"/>
              </w:rPr>
              <w:t>19,391</w:t>
            </w:r>
          </w:p>
        </w:tc>
        <w:tc>
          <w:tcPr>
            <w:tcW w:w="985" w:type="dxa"/>
            <w:shd w:val="clear" w:color="auto" w:fill="auto"/>
            <w:vAlign w:val="center"/>
          </w:tcPr>
          <w:p w:rsidR="0092097C" w:rsidRPr="00DE475B" w:rsidRDefault="0092097C" w:rsidP="00E470E5">
            <w:pPr>
              <w:jc w:val="right"/>
              <w:rPr>
                <w:rFonts w:ascii="Arial" w:hAnsi="Arial" w:cs="Arial"/>
                <w:sz w:val="20"/>
                <w:szCs w:val="20"/>
              </w:rPr>
            </w:pPr>
            <w:r w:rsidRPr="00DE475B">
              <w:rPr>
                <w:rFonts w:ascii="Arial" w:hAnsi="Arial" w:cs="Arial"/>
                <w:sz w:val="20"/>
                <w:szCs w:val="20"/>
              </w:rPr>
              <w:t>1,622</w:t>
            </w:r>
          </w:p>
        </w:tc>
      </w:tr>
      <w:tr w:rsidR="0092097C" w:rsidRPr="00DE475B" w:rsidTr="008E69D1">
        <w:trPr>
          <w:trHeight w:val="314"/>
        </w:trPr>
        <w:tc>
          <w:tcPr>
            <w:tcW w:w="284" w:type="dxa"/>
            <w:shd w:val="clear" w:color="auto" w:fill="auto"/>
            <w:vAlign w:val="bottom"/>
          </w:tcPr>
          <w:p w:rsidR="0092097C" w:rsidRPr="00DE475B" w:rsidRDefault="0092097C">
            <w:pPr>
              <w:snapToGrid w:val="0"/>
              <w:rPr>
                <w:rFonts w:ascii="Arial" w:hAnsi="Arial" w:cs="Arial"/>
                <w:sz w:val="20"/>
                <w:szCs w:val="20"/>
              </w:rPr>
            </w:pPr>
          </w:p>
        </w:tc>
        <w:tc>
          <w:tcPr>
            <w:tcW w:w="4565" w:type="dxa"/>
            <w:gridSpan w:val="3"/>
            <w:shd w:val="clear" w:color="auto" w:fill="auto"/>
            <w:vAlign w:val="bottom"/>
          </w:tcPr>
          <w:p w:rsidR="0092097C" w:rsidRPr="00DE475B" w:rsidRDefault="0092097C">
            <w:pPr>
              <w:snapToGrid w:val="0"/>
              <w:jc w:val="center"/>
              <w:rPr>
                <w:rFonts w:ascii="Arial" w:hAnsi="Arial" w:cs="Arial"/>
                <w:b/>
                <w:bCs/>
                <w:sz w:val="20"/>
                <w:szCs w:val="20"/>
              </w:rPr>
            </w:pPr>
          </w:p>
        </w:tc>
        <w:tc>
          <w:tcPr>
            <w:tcW w:w="985" w:type="dxa"/>
            <w:tcBorders>
              <w:bottom w:val="single" w:sz="8" w:space="0" w:color="000000"/>
            </w:tcBorders>
            <w:shd w:val="clear" w:color="auto" w:fill="auto"/>
            <w:vAlign w:val="bottom"/>
          </w:tcPr>
          <w:p w:rsidR="0092097C" w:rsidRPr="00DE475B" w:rsidRDefault="0092097C">
            <w:pPr>
              <w:rPr>
                <w:rFonts w:ascii="Arial" w:hAnsi="Arial" w:cs="Arial"/>
                <w:sz w:val="20"/>
                <w:szCs w:val="20"/>
              </w:rPr>
            </w:pPr>
            <w:r w:rsidRPr="00DE475B">
              <w:rPr>
                <w:rFonts w:ascii="Arial" w:hAnsi="Arial" w:cs="Arial"/>
                <w:sz w:val="20"/>
                <w:szCs w:val="20"/>
              </w:rPr>
              <w:t> </w:t>
            </w:r>
          </w:p>
        </w:tc>
        <w:tc>
          <w:tcPr>
            <w:tcW w:w="985" w:type="dxa"/>
            <w:tcBorders>
              <w:bottom w:val="single" w:sz="8" w:space="0" w:color="000000"/>
            </w:tcBorders>
            <w:shd w:val="clear" w:color="auto" w:fill="auto"/>
            <w:vAlign w:val="bottom"/>
          </w:tcPr>
          <w:p w:rsidR="0092097C" w:rsidRPr="00DE475B" w:rsidRDefault="0092097C">
            <w:pPr>
              <w:rPr>
                <w:rFonts w:ascii="Arial" w:hAnsi="Arial" w:cs="Arial"/>
                <w:sz w:val="20"/>
                <w:szCs w:val="20"/>
              </w:rPr>
            </w:pPr>
            <w:r w:rsidRPr="00DE475B">
              <w:rPr>
                <w:rFonts w:ascii="Arial" w:hAnsi="Arial" w:cs="Arial"/>
                <w:sz w:val="20"/>
                <w:szCs w:val="20"/>
              </w:rPr>
              <w:t> </w:t>
            </w:r>
          </w:p>
        </w:tc>
        <w:tc>
          <w:tcPr>
            <w:tcW w:w="985" w:type="dxa"/>
            <w:tcBorders>
              <w:bottom w:val="single" w:sz="8" w:space="0" w:color="000000"/>
            </w:tcBorders>
            <w:shd w:val="clear" w:color="auto" w:fill="auto"/>
            <w:vAlign w:val="bottom"/>
          </w:tcPr>
          <w:p w:rsidR="0092097C" w:rsidRPr="00DE475B" w:rsidRDefault="0092097C">
            <w:pPr>
              <w:rPr>
                <w:rFonts w:ascii="Arial" w:hAnsi="Arial" w:cs="Arial"/>
                <w:sz w:val="20"/>
                <w:szCs w:val="20"/>
              </w:rPr>
            </w:pPr>
          </w:p>
        </w:tc>
        <w:tc>
          <w:tcPr>
            <w:tcW w:w="985" w:type="dxa"/>
            <w:tcBorders>
              <w:bottom w:val="single" w:sz="8" w:space="0" w:color="000000"/>
            </w:tcBorders>
            <w:shd w:val="clear" w:color="auto" w:fill="auto"/>
            <w:vAlign w:val="bottom"/>
          </w:tcPr>
          <w:p w:rsidR="0092097C" w:rsidRPr="00DE475B" w:rsidRDefault="0092097C" w:rsidP="00732D9B">
            <w:pPr>
              <w:rPr>
                <w:rFonts w:ascii="Arial" w:hAnsi="Arial" w:cs="Arial"/>
                <w:sz w:val="20"/>
                <w:szCs w:val="20"/>
              </w:rPr>
            </w:pPr>
            <w:r w:rsidRPr="00DE475B">
              <w:rPr>
                <w:rFonts w:ascii="Arial" w:hAnsi="Arial" w:cs="Arial"/>
                <w:sz w:val="20"/>
                <w:szCs w:val="20"/>
              </w:rPr>
              <w:t> </w:t>
            </w:r>
          </w:p>
        </w:tc>
      </w:tr>
    </w:tbl>
    <w:p w:rsidR="00D346B4" w:rsidRPr="00DE475B" w:rsidRDefault="00D346B4">
      <w:pPr>
        <w:pStyle w:val="ARbodytext"/>
      </w:pPr>
    </w:p>
    <w:p w:rsidR="00D346B4" w:rsidRPr="00DE475B" w:rsidRDefault="00D346B4">
      <w:pPr>
        <w:pStyle w:val="ARbodytext"/>
        <w:rPr>
          <w:b/>
          <w:bCs/>
          <w:i/>
          <w:iCs/>
        </w:rPr>
      </w:pPr>
      <w:r w:rsidRPr="00DE475B">
        <w:rPr>
          <w:i/>
        </w:rPr>
        <w:t>The accompanying notes form part of these statements.</w:t>
      </w:r>
    </w:p>
    <w:p w:rsidR="00D346B4" w:rsidRPr="00DE475B" w:rsidRDefault="00D346B4">
      <w:pPr>
        <w:pStyle w:val="ARbodytext"/>
        <w:pageBreakBefore/>
      </w:pPr>
      <w:r w:rsidRPr="00DE475B">
        <w:rPr>
          <w:b/>
          <w:bCs/>
          <w:i/>
          <w:iCs/>
        </w:rPr>
        <w:lastRenderedPageBreak/>
        <w:t>Library Board of Queensland</w:t>
      </w:r>
      <w:r w:rsidR="00704C2E" w:rsidRPr="00DE475B">
        <w:rPr>
          <w:b/>
          <w:bCs/>
          <w:i/>
          <w:iCs/>
        </w:rPr>
        <w:t xml:space="preserve"> and controlled entities</w:t>
      </w:r>
    </w:p>
    <w:p w:rsidR="00D346B4" w:rsidRPr="00DE475B" w:rsidRDefault="00373FFE">
      <w:pPr>
        <w:rPr>
          <w:rFonts w:ascii="Arial" w:hAnsi="Arial" w:cs="Arial"/>
          <w:b/>
          <w:bCs/>
          <w:sz w:val="20"/>
          <w:szCs w:val="20"/>
        </w:rPr>
      </w:pPr>
      <w:r w:rsidRPr="00DE475B">
        <w:rPr>
          <w:noProof/>
          <w:lang w:eastAsia="en-AU"/>
        </w:rPr>
        <mc:AlternateContent>
          <mc:Choice Requires="wps">
            <w:drawing>
              <wp:anchor distT="0" distB="0" distL="114300" distR="114300" simplePos="0" relativeHeight="251617280" behindDoc="0" locked="0" layoutInCell="1" allowOverlap="1" wp14:anchorId="35DFD73D" wp14:editId="6750FFAC">
                <wp:simplePos x="0" y="0"/>
                <wp:positionH relativeFrom="column">
                  <wp:posOffset>-76200</wp:posOffset>
                </wp:positionH>
                <wp:positionV relativeFrom="paragraph">
                  <wp:posOffset>-239395</wp:posOffset>
                </wp:positionV>
                <wp:extent cx="5697220" cy="0"/>
                <wp:effectExtent l="13335" t="11430" r="13970" b="7620"/>
                <wp:wrapNone/>
                <wp:docPr id="27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85pt" to="442.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6imgIAAHoFAAAOAAAAZHJzL2Uyb0RvYy54bWysVE1v2zAMvQ/YfxB0d/0RJ06MOkXrOLt0&#10;W4F22Fmx5FiYLHmSGicY+t9HKYnXdJdhaAIYokQ+PfKRur7ZdwLtmDZcyQLHVxFGTNaKcrkt8Len&#10;dTDHyFgiKRFKsgIfmME3y48froc+Z4lqlaBMIwCRJh/6ArfW9nkYmrplHTFXqmcSDhulO2LB1NuQ&#10;ajIAeifCJIpm4aA07bWqmTGwuzoe4qXHbxpW269NY5hFosDAzfqv9t+N+4bLa5JvNelbXp9okP9g&#10;0REu4dIRakUsQc+a/wXV8Voroxp7VasuVE3Da+ZzgGzi6E02jy3pmc8FimP6sUzm/WDrL7sHjTgt&#10;cJIlGEnSgUj3XDKUTFxxht7k4FPKB+3Sq/fysb9X9Q+DpCpbIrfMk3w69BAXu4jwIsQZpocrNsNn&#10;RcGHPFvlK7VvdOcgoQZo7wU5jIKwvUU1bE5niyxJQLf6fBaS/BzYa2M/MdUhtyiwANIemOzujXVE&#10;SH52cfdIteZCeL2FREOBF5OZQybQdeanjzRKcOq8nL/R200pNNoR1zr+59ODk9duHbfQwIJ3BZ6P&#10;TiRvGaGVpP46S7g4roGSkA6c+dY88gRrb2Hp9yFx3za/FtGimlfzNEiTWRWk0WoV3K7LNJit42y6&#10;mqzKchW/ONZxmrecUiYd8XMLx+m/tchpmI7NNzbxWKrwEt3XFMheMr1dT6MsncyDLJtOgnRSRcHd&#10;fF0Gt2U8m2XVXXlXvWFa+ezN+5AdS+lYqWdQ47GlA6LcNcVkukhiDAaMfJId9UFEbOGtqq3GSCv7&#10;ndvW97DrPodxIfw8cv+T8CP6sRBnDZ01qnDK7U+pQPOzvn403DQc52qj6OFBn0cGBtwHnR4j94K8&#10;tmH9+slc/gYAAP//AwBQSwMEFAAGAAgAAAAhAODUIpPhAAAACwEAAA8AAABkcnMvZG93bnJldi54&#10;bWxMj0FLw0AQhe+C/2EZwYu0m6a1DTGbIoJ4EKStRfG2zY7ZYHY3ZKdN/PdOQdDbzLzHm+8V69G1&#10;4oR9bIJXMJsmINBXwTS+VrB/fZxkICJpb3QbPCr4xgjr8vKi0LkJg9/iaUe14BAfc63AEnW5lLGy&#10;6HSchg49a5+hd5p47Wtpej1wuGtlmiRL6XTj+YPVHT5YrL52R6fgpR+aSPPFYoP08fb0/G43N26r&#10;1PXVeH8HgnCkPzOc8RkdSmY6hKM3UbQKJrOUuxAP89UKBDuy7DYFcfi9yLKQ/zuUPwAAAP//AwBQ&#10;SwECLQAUAAYACAAAACEAtoM4kv4AAADhAQAAEwAAAAAAAAAAAAAAAAAAAAAAW0NvbnRlbnRfVHlw&#10;ZXNdLnhtbFBLAQItABQABgAIAAAAIQA4/SH/1gAAAJQBAAALAAAAAAAAAAAAAAAAAC8BAABfcmVs&#10;cy8ucmVsc1BLAQItABQABgAIAAAAIQDIv86imgIAAHoFAAAOAAAAAAAAAAAAAAAAAC4CAABkcnMv&#10;ZTJvRG9jLnhtbFBLAQItABQABgAIAAAAIQDg1CKT4QAAAAsBAAAPAAAAAAAAAAAAAAAAAPQEAABk&#10;cnMvZG93bnJldi54bWxQSwUGAAAAAAQABADzAAAAAgYAAAAA&#10;" strokeweight=".26mm">
                <v:stroke joinstyle="miter" endcap="square"/>
              </v:line>
            </w:pict>
          </mc:Fallback>
        </mc:AlternateContent>
      </w:r>
      <w:r w:rsidR="00D346B4" w:rsidRPr="00DE475B">
        <w:rPr>
          <w:rFonts w:ascii="Arial" w:hAnsi="Arial" w:cs="Arial"/>
          <w:b/>
          <w:bCs/>
          <w:sz w:val="20"/>
          <w:szCs w:val="20"/>
        </w:rPr>
        <w:t>STATEMENTS OF FINANCIAL POSITION</w:t>
      </w:r>
    </w:p>
    <w:p w:rsidR="00D346B4" w:rsidRPr="00DE475B" w:rsidRDefault="00736399">
      <w:r w:rsidRPr="00DE475B">
        <w:rPr>
          <w:rFonts w:ascii="Arial" w:hAnsi="Arial" w:cs="Arial"/>
          <w:b/>
          <w:bCs/>
          <w:sz w:val="20"/>
          <w:szCs w:val="20"/>
        </w:rPr>
        <w:t>As at 30 June 201</w:t>
      </w:r>
      <w:r w:rsidR="00186250">
        <w:rPr>
          <w:rFonts w:ascii="Arial" w:hAnsi="Arial" w:cs="Arial"/>
          <w:b/>
          <w:bCs/>
          <w:sz w:val="20"/>
          <w:szCs w:val="20"/>
        </w:rPr>
        <w:t>7</w:t>
      </w:r>
    </w:p>
    <w:p w:rsidR="00D346B4" w:rsidRPr="00DE475B" w:rsidRDefault="00373FFE">
      <w:pPr>
        <w:pStyle w:val="ARbodytext"/>
        <w:rPr>
          <w:lang w:eastAsia="en-AU"/>
        </w:rPr>
      </w:pPr>
      <w:r w:rsidRPr="00DE475B">
        <w:rPr>
          <w:noProof/>
          <w:lang w:eastAsia="en-AU"/>
        </w:rPr>
        <mc:AlternateContent>
          <mc:Choice Requires="wps">
            <w:drawing>
              <wp:anchor distT="0" distB="0" distL="114300" distR="114300" simplePos="0" relativeHeight="251618304" behindDoc="0" locked="0" layoutInCell="1" allowOverlap="1" wp14:anchorId="296D5263" wp14:editId="61FE5ED4">
                <wp:simplePos x="0" y="0"/>
                <wp:positionH relativeFrom="column">
                  <wp:posOffset>-76200</wp:posOffset>
                </wp:positionH>
                <wp:positionV relativeFrom="paragraph">
                  <wp:posOffset>101600</wp:posOffset>
                </wp:positionV>
                <wp:extent cx="5697220" cy="0"/>
                <wp:effectExtent l="13335" t="6350" r="13970" b="12700"/>
                <wp:wrapNone/>
                <wp:docPr id="27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pt" to="442.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lymgIAAHoFAAAOAAAAZHJzL2Uyb0RvYy54bWysVF1v2jAUfZ+0/2D5Pc0HgUDUULUh7KXb&#10;KrXTnk3sEGuOndkuAU3977s2kJXuZZoKUuSP6+Nz7znX1zf7TqAd04YrWeD4KsKIyVpRLrcF/va0&#10;DuYYGUskJUJJVuADM/hm+fHD9dDnLFGtEpRpBCDS5ENf4NbaPg9DU7esI+ZK9UzCZqN0RyxM9Tak&#10;mgyA3okwiaJZOChNe61qZgysro6beOnxm4bV9mvTGGaRKDBws/6r/XfjvuHymuRbTfqW1yca5D9Y&#10;dIRLuHSEWhFL0LPmf0F1vNbKqMZe1aoLVdPwmvkcIJs4epPNY0t65nOB4ph+LJN5P9j6y+5BI04L&#10;nGQxRpJ0INI9lwwlqSvO0JscYkr5oF169V4+9veq/mGQVGVL5JZ5kk+HHs7F7kR4ccRNTA9XbIbP&#10;ikIMebbKV2rf6M5BQg3Q3gtyGAVhe4tqWJzOFlmSgG71eS8k+flgr439xFSH3KDAAkh7YLK7N9YR&#10;Ifk5xN0j1ZoL4fUWEg0FXkxmDpmA68xPf9IowamLcvFGbzel0GhHnHX8z6cHO6/DOm7BwIJ3BZ6P&#10;QSRvGaGVpP46S7g4joGSkA6ceWseecJsb2Ho1yFxb5tfi2hRzat5GqTJrArSaLUKbtdlGszWcTZd&#10;TVZluYpfHOs4zVtOKZOO+NnCcfpvFjk109F8o4nHUoWX6L6mQPaS6e16GmXpZB5k2XQSpJMqCu7m&#10;6zK4LePZLKvuyrvqDdPKZ2/eh+xYSsdKPYMajy0dEOXOFJPpIgFbUw4tn2RHfRARW3iraqsx0sp+&#10;57b1HnbucxgXws8j9z8JP6IfC3HW0M1GFU65/SkVaH7W17eG64ZjX20UPTzoc8tAg/tDp8fIvSCv&#10;5zB+/WQufwMAAP//AwBQSwMEFAAGAAgAAAAhAGCYKoDfAAAACQEAAA8AAABkcnMvZG93bnJldi54&#10;bWxMj0FLw0AQhe+C/2EZwYu0m8ZaQsymiCAeBGmrKN622TEbzM6G3W0T/70jPehpmHmPN9+r1pPr&#10;xRFD7DwpWMwzEEiNNx21Cl5fHmYFiJg0Gd17QgXfGGFdn59VujR+pC0ed6kVHEKx1ApsSkMpZWws&#10;Oh3nfkBi7dMHpxOvoZUm6JHDXS/zLFtJpzviD1YPeG+x+dodnILnMHYxXS+XG0wfb49P73Zz5bZK&#10;XV5Md7cgEk7pzwy/+IwONTPt/YFMFL2C2SLnLomFFU82FMVNDmJ/Osi6kv8b1D8AAAD//wMAUEsB&#10;Ai0AFAAGAAgAAAAhALaDOJL+AAAA4QEAABMAAAAAAAAAAAAAAAAAAAAAAFtDb250ZW50X1R5cGVz&#10;XS54bWxQSwECLQAUAAYACAAAACEAOP0h/9YAAACUAQAACwAAAAAAAAAAAAAAAAAvAQAAX3JlbHMv&#10;LnJlbHNQSwECLQAUAAYACAAAACEA5y+JcpoCAAB6BQAADgAAAAAAAAAAAAAAAAAuAgAAZHJzL2Uy&#10;b0RvYy54bWxQSwECLQAUAAYACAAAACEAYJgqgN8AAAAJAQAADwAAAAAAAAAAAAAAAAD0BAAAZHJz&#10;L2Rvd25yZXYueG1sUEsFBgAAAAAEAAQA8wAAAAAGAAAAAA==&#10;" strokeweight=".26mm">
                <v:stroke joinstyle="miter" endcap="square"/>
              </v:line>
            </w:pict>
          </mc:Fallback>
        </mc:AlternateContent>
      </w:r>
    </w:p>
    <w:tbl>
      <w:tblPr>
        <w:tblW w:w="8797" w:type="dxa"/>
        <w:tblInd w:w="108" w:type="dxa"/>
        <w:tblLayout w:type="fixed"/>
        <w:tblLook w:val="0000" w:firstRow="0" w:lastRow="0" w:firstColumn="0" w:lastColumn="0" w:noHBand="0" w:noVBand="0"/>
      </w:tblPr>
      <w:tblGrid>
        <w:gridCol w:w="270"/>
        <w:gridCol w:w="326"/>
        <w:gridCol w:w="1085"/>
        <w:gridCol w:w="6"/>
        <w:gridCol w:w="143"/>
        <w:gridCol w:w="775"/>
        <w:gridCol w:w="1382"/>
        <w:gridCol w:w="921"/>
        <w:gridCol w:w="970"/>
        <w:gridCol w:w="970"/>
        <w:gridCol w:w="970"/>
        <w:gridCol w:w="970"/>
        <w:gridCol w:w="9"/>
      </w:tblGrid>
      <w:tr w:rsidR="00D346B4" w:rsidRPr="00DE475B" w:rsidTr="00186250">
        <w:trPr>
          <w:trHeight w:val="250"/>
        </w:trPr>
        <w:tc>
          <w:tcPr>
            <w:tcW w:w="270" w:type="dxa"/>
            <w:shd w:val="clear" w:color="auto" w:fill="auto"/>
            <w:vAlign w:val="bottom"/>
          </w:tcPr>
          <w:p w:rsidR="00D346B4" w:rsidRPr="00DE475B" w:rsidRDefault="00D346B4">
            <w:pPr>
              <w:snapToGrid w:val="0"/>
              <w:rPr>
                <w:rFonts w:ascii="Arial" w:hAnsi="Arial" w:cs="Arial"/>
                <w:b/>
                <w:bCs/>
                <w:sz w:val="20"/>
                <w:szCs w:val="20"/>
              </w:rPr>
            </w:pPr>
          </w:p>
        </w:tc>
        <w:tc>
          <w:tcPr>
            <w:tcW w:w="326" w:type="dxa"/>
            <w:shd w:val="clear" w:color="auto" w:fill="auto"/>
            <w:vAlign w:val="bottom"/>
          </w:tcPr>
          <w:p w:rsidR="00D346B4" w:rsidRPr="00DE475B" w:rsidRDefault="00D346B4">
            <w:pPr>
              <w:snapToGrid w:val="0"/>
              <w:rPr>
                <w:rFonts w:ascii="Arial" w:hAnsi="Arial" w:cs="Arial"/>
                <w:b/>
                <w:bCs/>
                <w:sz w:val="20"/>
                <w:szCs w:val="20"/>
              </w:rPr>
            </w:pPr>
          </w:p>
        </w:tc>
        <w:tc>
          <w:tcPr>
            <w:tcW w:w="1085" w:type="dxa"/>
            <w:shd w:val="clear" w:color="auto" w:fill="auto"/>
            <w:vAlign w:val="bottom"/>
          </w:tcPr>
          <w:p w:rsidR="00D346B4" w:rsidRPr="00DE475B" w:rsidRDefault="00D346B4">
            <w:pPr>
              <w:snapToGrid w:val="0"/>
              <w:rPr>
                <w:rFonts w:ascii="Arial" w:hAnsi="Arial" w:cs="Arial"/>
                <w:b/>
                <w:bCs/>
                <w:sz w:val="20"/>
                <w:szCs w:val="20"/>
              </w:rPr>
            </w:pPr>
          </w:p>
        </w:tc>
        <w:tc>
          <w:tcPr>
            <w:tcW w:w="924" w:type="dxa"/>
            <w:gridSpan w:val="3"/>
            <w:shd w:val="clear" w:color="auto" w:fill="auto"/>
            <w:vAlign w:val="bottom"/>
          </w:tcPr>
          <w:p w:rsidR="00D346B4" w:rsidRPr="00DE475B" w:rsidRDefault="00D346B4">
            <w:pPr>
              <w:snapToGrid w:val="0"/>
              <w:rPr>
                <w:rFonts w:ascii="Arial" w:hAnsi="Arial" w:cs="Arial"/>
                <w:b/>
                <w:bCs/>
                <w:sz w:val="20"/>
                <w:szCs w:val="20"/>
              </w:rPr>
            </w:pPr>
          </w:p>
        </w:tc>
        <w:tc>
          <w:tcPr>
            <w:tcW w:w="1382" w:type="dxa"/>
            <w:shd w:val="clear" w:color="auto" w:fill="auto"/>
            <w:vAlign w:val="bottom"/>
          </w:tcPr>
          <w:p w:rsidR="00D346B4" w:rsidRPr="00DE475B" w:rsidRDefault="00D346B4">
            <w:pPr>
              <w:snapToGrid w:val="0"/>
              <w:rPr>
                <w:rFonts w:ascii="Arial" w:hAnsi="Arial" w:cs="Arial"/>
                <w:b/>
                <w:bCs/>
                <w:sz w:val="20"/>
                <w:szCs w:val="20"/>
              </w:rPr>
            </w:pPr>
          </w:p>
        </w:tc>
        <w:tc>
          <w:tcPr>
            <w:tcW w:w="921" w:type="dxa"/>
            <w:shd w:val="clear" w:color="auto" w:fill="auto"/>
            <w:vAlign w:val="bottom"/>
          </w:tcPr>
          <w:p w:rsidR="00D346B4" w:rsidRPr="00DE475B" w:rsidRDefault="00D346B4">
            <w:pPr>
              <w:snapToGrid w:val="0"/>
              <w:jc w:val="center"/>
              <w:rPr>
                <w:rFonts w:ascii="Arial" w:hAnsi="Arial" w:cs="Arial"/>
                <w:b/>
                <w:bCs/>
                <w:sz w:val="20"/>
                <w:szCs w:val="20"/>
              </w:rPr>
            </w:pPr>
          </w:p>
        </w:tc>
        <w:tc>
          <w:tcPr>
            <w:tcW w:w="1940" w:type="dxa"/>
            <w:gridSpan w:val="2"/>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Economic Entity</w:t>
            </w:r>
          </w:p>
        </w:tc>
        <w:tc>
          <w:tcPr>
            <w:tcW w:w="1949" w:type="dxa"/>
            <w:gridSpan w:val="3"/>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Parent Entity</w:t>
            </w:r>
          </w:p>
        </w:tc>
      </w:tr>
      <w:tr w:rsidR="00D346B4" w:rsidRPr="00DE475B" w:rsidTr="00186250">
        <w:trPr>
          <w:trHeight w:val="250"/>
        </w:trPr>
        <w:tc>
          <w:tcPr>
            <w:tcW w:w="270" w:type="dxa"/>
            <w:shd w:val="clear" w:color="auto" w:fill="auto"/>
            <w:vAlign w:val="bottom"/>
          </w:tcPr>
          <w:p w:rsidR="00D346B4" w:rsidRPr="00DE475B" w:rsidRDefault="00D346B4">
            <w:pPr>
              <w:snapToGrid w:val="0"/>
              <w:jc w:val="right"/>
              <w:rPr>
                <w:rFonts w:ascii="Arial" w:hAnsi="Arial" w:cs="Arial"/>
                <w:b/>
                <w:bCs/>
                <w:sz w:val="20"/>
                <w:szCs w:val="20"/>
              </w:rPr>
            </w:pPr>
          </w:p>
        </w:tc>
        <w:tc>
          <w:tcPr>
            <w:tcW w:w="326" w:type="dxa"/>
            <w:shd w:val="clear" w:color="auto" w:fill="auto"/>
            <w:vAlign w:val="bottom"/>
          </w:tcPr>
          <w:p w:rsidR="00D346B4" w:rsidRPr="00DE475B" w:rsidRDefault="00D346B4">
            <w:pPr>
              <w:snapToGrid w:val="0"/>
              <w:jc w:val="right"/>
              <w:rPr>
                <w:rFonts w:ascii="Arial" w:hAnsi="Arial" w:cs="Arial"/>
                <w:b/>
                <w:bCs/>
                <w:sz w:val="20"/>
                <w:szCs w:val="20"/>
              </w:rPr>
            </w:pPr>
          </w:p>
        </w:tc>
        <w:tc>
          <w:tcPr>
            <w:tcW w:w="1085" w:type="dxa"/>
            <w:shd w:val="clear" w:color="auto" w:fill="auto"/>
            <w:vAlign w:val="bottom"/>
          </w:tcPr>
          <w:p w:rsidR="00D346B4" w:rsidRPr="00DE475B" w:rsidRDefault="00D346B4">
            <w:pPr>
              <w:snapToGrid w:val="0"/>
              <w:jc w:val="right"/>
              <w:rPr>
                <w:rFonts w:ascii="Arial" w:hAnsi="Arial" w:cs="Arial"/>
                <w:b/>
                <w:bCs/>
                <w:sz w:val="20"/>
                <w:szCs w:val="20"/>
              </w:rPr>
            </w:pPr>
          </w:p>
        </w:tc>
        <w:tc>
          <w:tcPr>
            <w:tcW w:w="924" w:type="dxa"/>
            <w:gridSpan w:val="3"/>
            <w:shd w:val="clear" w:color="auto" w:fill="auto"/>
            <w:vAlign w:val="bottom"/>
          </w:tcPr>
          <w:p w:rsidR="00D346B4" w:rsidRPr="00DE475B" w:rsidRDefault="00D346B4">
            <w:pPr>
              <w:snapToGrid w:val="0"/>
              <w:jc w:val="right"/>
              <w:rPr>
                <w:rFonts w:ascii="Arial" w:hAnsi="Arial" w:cs="Arial"/>
                <w:b/>
                <w:bCs/>
                <w:sz w:val="20"/>
                <w:szCs w:val="20"/>
              </w:rPr>
            </w:pPr>
          </w:p>
        </w:tc>
        <w:tc>
          <w:tcPr>
            <w:tcW w:w="1382" w:type="dxa"/>
            <w:shd w:val="clear" w:color="auto" w:fill="auto"/>
            <w:vAlign w:val="bottom"/>
          </w:tcPr>
          <w:p w:rsidR="00D346B4" w:rsidRPr="00DE475B" w:rsidRDefault="00D346B4">
            <w:pPr>
              <w:snapToGrid w:val="0"/>
              <w:jc w:val="right"/>
              <w:rPr>
                <w:rFonts w:ascii="Arial" w:hAnsi="Arial" w:cs="Arial"/>
                <w:b/>
                <w:bCs/>
                <w:sz w:val="20"/>
                <w:szCs w:val="20"/>
              </w:rPr>
            </w:pPr>
          </w:p>
        </w:tc>
        <w:tc>
          <w:tcPr>
            <w:tcW w:w="921" w:type="dxa"/>
            <w:shd w:val="clear" w:color="auto" w:fill="auto"/>
            <w:vAlign w:val="bottom"/>
          </w:tcPr>
          <w:p w:rsidR="00D346B4" w:rsidRPr="00DE475B" w:rsidRDefault="00CB3AEC">
            <w:pPr>
              <w:snapToGrid w:val="0"/>
              <w:jc w:val="right"/>
              <w:rPr>
                <w:rFonts w:ascii="Arial" w:hAnsi="Arial" w:cs="Arial"/>
                <w:b/>
                <w:bCs/>
                <w:sz w:val="20"/>
                <w:szCs w:val="20"/>
              </w:rPr>
            </w:pPr>
            <w:r w:rsidRPr="00DE475B">
              <w:rPr>
                <w:rFonts w:ascii="Arial" w:hAnsi="Arial" w:cs="Arial"/>
                <w:b/>
                <w:bCs/>
                <w:sz w:val="20"/>
                <w:szCs w:val="20"/>
              </w:rPr>
              <w:t>Notes</w:t>
            </w:r>
          </w:p>
        </w:tc>
        <w:tc>
          <w:tcPr>
            <w:tcW w:w="970" w:type="dxa"/>
            <w:shd w:val="clear" w:color="auto" w:fill="auto"/>
            <w:vAlign w:val="bottom"/>
          </w:tcPr>
          <w:p w:rsidR="00D346B4" w:rsidRPr="00DE475B" w:rsidRDefault="00D346B4" w:rsidP="004426E0">
            <w:pPr>
              <w:jc w:val="right"/>
              <w:rPr>
                <w:rFonts w:ascii="Arial" w:hAnsi="Arial" w:cs="Arial"/>
                <w:b/>
                <w:bCs/>
                <w:sz w:val="20"/>
                <w:szCs w:val="20"/>
              </w:rPr>
            </w:pPr>
            <w:r w:rsidRPr="00DE475B">
              <w:rPr>
                <w:rFonts w:ascii="Arial" w:hAnsi="Arial" w:cs="Arial"/>
                <w:b/>
                <w:bCs/>
                <w:sz w:val="20"/>
                <w:szCs w:val="20"/>
              </w:rPr>
              <w:t>201</w:t>
            </w:r>
            <w:r w:rsidR="00186250">
              <w:rPr>
                <w:rFonts w:ascii="Arial" w:hAnsi="Arial" w:cs="Arial"/>
                <w:b/>
                <w:bCs/>
                <w:sz w:val="20"/>
                <w:szCs w:val="20"/>
              </w:rPr>
              <w:t>7</w:t>
            </w:r>
          </w:p>
        </w:tc>
        <w:tc>
          <w:tcPr>
            <w:tcW w:w="970" w:type="dxa"/>
            <w:shd w:val="clear" w:color="auto" w:fill="auto"/>
            <w:vAlign w:val="bottom"/>
          </w:tcPr>
          <w:p w:rsidR="00D346B4" w:rsidRPr="00DE475B" w:rsidRDefault="00943F61" w:rsidP="004426E0">
            <w:pPr>
              <w:jc w:val="right"/>
              <w:rPr>
                <w:rFonts w:ascii="Arial" w:hAnsi="Arial" w:cs="Arial"/>
                <w:b/>
                <w:bCs/>
                <w:sz w:val="20"/>
                <w:szCs w:val="20"/>
              </w:rPr>
            </w:pPr>
            <w:r w:rsidRPr="00DE475B">
              <w:rPr>
                <w:rFonts w:ascii="Arial" w:hAnsi="Arial" w:cs="Arial"/>
                <w:b/>
                <w:bCs/>
                <w:sz w:val="20"/>
                <w:szCs w:val="20"/>
              </w:rPr>
              <w:t>201</w:t>
            </w:r>
            <w:r w:rsidR="00186250">
              <w:rPr>
                <w:rFonts w:ascii="Arial" w:hAnsi="Arial" w:cs="Arial"/>
                <w:b/>
                <w:bCs/>
                <w:sz w:val="20"/>
                <w:szCs w:val="20"/>
              </w:rPr>
              <w:t>6</w:t>
            </w:r>
          </w:p>
        </w:tc>
        <w:tc>
          <w:tcPr>
            <w:tcW w:w="970" w:type="dxa"/>
            <w:shd w:val="clear" w:color="auto" w:fill="auto"/>
            <w:vAlign w:val="bottom"/>
          </w:tcPr>
          <w:p w:rsidR="00D346B4" w:rsidRPr="00DE475B" w:rsidRDefault="00D346B4" w:rsidP="004426E0">
            <w:pPr>
              <w:jc w:val="right"/>
              <w:rPr>
                <w:rFonts w:ascii="Arial" w:hAnsi="Arial" w:cs="Arial"/>
                <w:b/>
                <w:bCs/>
                <w:sz w:val="20"/>
                <w:szCs w:val="20"/>
              </w:rPr>
            </w:pPr>
            <w:r w:rsidRPr="00DE475B">
              <w:rPr>
                <w:rFonts w:ascii="Arial" w:hAnsi="Arial" w:cs="Arial"/>
                <w:b/>
                <w:bCs/>
                <w:sz w:val="20"/>
                <w:szCs w:val="20"/>
              </w:rPr>
              <w:t>201</w:t>
            </w:r>
            <w:r w:rsidR="00186250">
              <w:rPr>
                <w:rFonts w:ascii="Arial" w:hAnsi="Arial" w:cs="Arial"/>
                <w:b/>
                <w:bCs/>
                <w:sz w:val="20"/>
                <w:szCs w:val="20"/>
              </w:rPr>
              <w:t>7</w:t>
            </w:r>
          </w:p>
        </w:tc>
        <w:tc>
          <w:tcPr>
            <w:tcW w:w="979" w:type="dxa"/>
            <w:gridSpan w:val="2"/>
            <w:shd w:val="clear" w:color="auto" w:fill="auto"/>
            <w:vAlign w:val="bottom"/>
          </w:tcPr>
          <w:p w:rsidR="00D346B4" w:rsidRPr="00DE475B" w:rsidRDefault="00186250" w:rsidP="00736399">
            <w:pPr>
              <w:jc w:val="right"/>
              <w:rPr>
                <w:rFonts w:ascii="Arial" w:hAnsi="Arial" w:cs="Arial"/>
                <w:b/>
                <w:bCs/>
                <w:sz w:val="20"/>
                <w:szCs w:val="20"/>
              </w:rPr>
            </w:pPr>
            <w:r>
              <w:rPr>
                <w:rFonts w:ascii="Arial" w:hAnsi="Arial" w:cs="Arial"/>
                <w:b/>
                <w:bCs/>
                <w:sz w:val="20"/>
                <w:szCs w:val="20"/>
              </w:rPr>
              <w:t>2016</w:t>
            </w:r>
          </w:p>
        </w:tc>
      </w:tr>
      <w:tr w:rsidR="00D346B4" w:rsidRPr="00DE475B" w:rsidTr="00186250">
        <w:trPr>
          <w:trHeight w:val="250"/>
        </w:trPr>
        <w:tc>
          <w:tcPr>
            <w:tcW w:w="270" w:type="dxa"/>
            <w:shd w:val="clear" w:color="auto" w:fill="auto"/>
            <w:vAlign w:val="bottom"/>
          </w:tcPr>
          <w:p w:rsidR="00D346B4" w:rsidRPr="00DE475B" w:rsidRDefault="00D346B4">
            <w:pPr>
              <w:snapToGrid w:val="0"/>
              <w:jc w:val="right"/>
              <w:rPr>
                <w:rFonts w:ascii="Arial" w:hAnsi="Arial" w:cs="Arial"/>
                <w:b/>
                <w:bCs/>
                <w:sz w:val="20"/>
                <w:szCs w:val="20"/>
              </w:rPr>
            </w:pPr>
          </w:p>
        </w:tc>
        <w:tc>
          <w:tcPr>
            <w:tcW w:w="326" w:type="dxa"/>
            <w:shd w:val="clear" w:color="auto" w:fill="auto"/>
            <w:vAlign w:val="bottom"/>
          </w:tcPr>
          <w:p w:rsidR="00D346B4" w:rsidRPr="00DE475B" w:rsidRDefault="00D346B4">
            <w:pPr>
              <w:snapToGrid w:val="0"/>
              <w:jc w:val="right"/>
              <w:rPr>
                <w:rFonts w:ascii="Arial" w:hAnsi="Arial" w:cs="Arial"/>
                <w:b/>
                <w:bCs/>
                <w:sz w:val="20"/>
                <w:szCs w:val="20"/>
              </w:rPr>
            </w:pPr>
          </w:p>
        </w:tc>
        <w:tc>
          <w:tcPr>
            <w:tcW w:w="1085" w:type="dxa"/>
            <w:shd w:val="clear" w:color="auto" w:fill="auto"/>
            <w:vAlign w:val="bottom"/>
          </w:tcPr>
          <w:p w:rsidR="00D346B4" w:rsidRPr="00DE475B" w:rsidRDefault="00D346B4">
            <w:pPr>
              <w:snapToGrid w:val="0"/>
              <w:jc w:val="right"/>
              <w:rPr>
                <w:rFonts w:ascii="Arial" w:hAnsi="Arial" w:cs="Arial"/>
                <w:b/>
                <w:bCs/>
                <w:sz w:val="20"/>
                <w:szCs w:val="20"/>
              </w:rPr>
            </w:pPr>
          </w:p>
        </w:tc>
        <w:tc>
          <w:tcPr>
            <w:tcW w:w="924" w:type="dxa"/>
            <w:gridSpan w:val="3"/>
            <w:shd w:val="clear" w:color="auto" w:fill="auto"/>
            <w:vAlign w:val="bottom"/>
          </w:tcPr>
          <w:p w:rsidR="00D346B4" w:rsidRPr="00DE475B" w:rsidRDefault="00D346B4">
            <w:pPr>
              <w:snapToGrid w:val="0"/>
              <w:jc w:val="right"/>
              <w:rPr>
                <w:rFonts w:ascii="Arial" w:hAnsi="Arial" w:cs="Arial"/>
                <w:b/>
                <w:bCs/>
                <w:sz w:val="20"/>
                <w:szCs w:val="20"/>
              </w:rPr>
            </w:pPr>
          </w:p>
        </w:tc>
        <w:tc>
          <w:tcPr>
            <w:tcW w:w="1382" w:type="dxa"/>
            <w:shd w:val="clear" w:color="auto" w:fill="auto"/>
            <w:vAlign w:val="bottom"/>
          </w:tcPr>
          <w:p w:rsidR="00D346B4" w:rsidRPr="00DE475B" w:rsidRDefault="00D346B4">
            <w:pPr>
              <w:snapToGrid w:val="0"/>
              <w:jc w:val="right"/>
              <w:rPr>
                <w:rFonts w:ascii="Arial" w:hAnsi="Arial" w:cs="Arial"/>
                <w:b/>
                <w:bCs/>
                <w:sz w:val="20"/>
                <w:szCs w:val="20"/>
              </w:rPr>
            </w:pPr>
          </w:p>
        </w:tc>
        <w:tc>
          <w:tcPr>
            <w:tcW w:w="921" w:type="dxa"/>
            <w:shd w:val="clear" w:color="auto" w:fill="auto"/>
            <w:vAlign w:val="bottom"/>
          </w:tcPr>
          <w:p w:rsidR="00D346B4" w:rsidRPr="00DE475B" w:rsidRDefault="00D346B4">
            <w:pPr>
              <w:jc w:val="center"/>
              <w:rPr>
                <w:rFonts w:ascii="Arial" w:hAnsi="Arial" w:cs="Arial"/>
                <w:b/>
                <w:bCs/>
                <w:sz w:val="20"/>
                <w:szCs w:val="20"/>
              </w:rPr>
            </w:pPr>
          </w:p>
        </w:tc>
        <w:tc>
          <w:tcPr>
            <w:tcW w:w="970" w:type="dxa"/>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$'000</w:t>
            </w:r>
          </w:p>
        </w:tc>
        <w:tc>
          <w:tcPr>
            <w:tcW w:w="970" w:type="dxa"/>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$'000</w:t>
            </w:r>
          </w:p>
        </w:tc>
        <w:tc>
          <w:tcPr>
            <w:tcW w:w="970" w:type="dxa"/>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$'000</w:t>
            </w:r>
          </w:p>
        </w:tc>
        <w:tc>
          <w:tcPr>
            <w:tcW w:w="979" w:type="dxa"/>
            <w:gridSpan w:val="2"/>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$'000</w:t>
            </w:r>
          </w:p>
        </w:tc>
      </w:tr>
      <w:tr w:rsidR="00D346B4" w:rsidRPr="00DE475B" w:rsidTr="00186250">
        <w:trPr>
          <w:trHeight w:val="250"/>
        </w:trPr>
        <w:tc>
          <w:tcPr>
            <w:tcW w:w="3987" w:type="dxa"/>
            <w:gridSpan w:val="7"/>
            <w:shd w:val="clear" w:color="auto" w:fill="auto"/>
            <w:vAlign w:val="bottom"/>
          </w:tcPr>
          <w:p w:rsidR="00D346B4" w:rsidRPr="00DE475B" w:rsidRDefault="00D346B4">
            <w:pPr>
              <w:rPr>
                <w:rFonts w:ascii="Arial" w:hAnsi="Arial" w:cs="Arial"/>
                <w:b/>
                <w:bCs/>
                <w:sz w:val="20"/>
                <w:szCs w:val="20"/>
              </w:rPr>
            </w:pPr>
            <w:r w:rsidRPr="00DE475B">
              <w:rPr>
                <w:rFonts w:ascii="Arial" w:hAnsi="Arial" w:cs="Arial"/>
                <w:b/>
                <w:bCs/>
                <w:sz w:val="20"/>
                <w:szCs w:val="20"/>
              </w:rPr>
              <w:t>Current Assets</w:t>
            </w:r>
          </w:p>
        </w:tc>
        <w:tc>
          <w:tcPr>
            <w:tcW w:w="921" w:type="dxa"/>
            <w:shd w:val="clear" w:color="auto" w:fill="auto"/>
            <w:vAlign w:val="bottom"/>
          </w:tcPr>
          <w:p w:rsidR="00D346B4" w:rsidRPr="00DE475B" w:rsidRDefault="00D346B4">
            <w:pPr>
              <w:snapToGrid w:val="0"/>
              <w:jc w:val="center"/>
              <w:rPr>
                <w:rFonts w:ascii="Arial" w:hAnsi="Arial" w:cs="Arial"/>
                <w:b/>
                <w:bCs/>
                <w:sz w:val="20"/>
                <w:szCs w:val="20"/>
              </w:rPr>
            </w:pPr>
          </w:p>
        </w:tc>
        <w:tc>
          <w:tcPr>
            <w:tcW w:w="970" w:type="dxa"/>
            <w:shd w:val="clear" w:color="auto" w:fill="auto"/>
            <w:vAlign w:val="bottom"/>
          </w:tcPr>
          <w:p w:rsidR="00D346B4" w:rsidRPr="00DE475B" w:rsidRDefault="00D346B4">
            <w:pPr>
              <w:snapToGrid w:val="0"/>
              <w:rPr>
                <w:rFonts w:ascii="Arial" w:hAnsi="Arial" w:cs="Arial"/>
                <w:sz w:val="20"/>
                <w:szCs w:val="20"/>
              </w:rPr>
            </w:pPr>
          </w:p>
        </w:tc>
        <w:tc>
          <w:tcPr>
            <w:tcW w:w="970" w:type="dxa"/>
            <w:shd w:val="clear" w:color="auto" w:fill="auto"/>
            <w:vAlign w:val="bottom"/>
          </w:tcPr>
          <w:p w:rsidR="00D346B4" w:rsidRPr="00DE475B" w:rsidRDefault="00D346B4">
            <w:pPr>
              <w:snapToGrid w:val="0"/>
              <w:rPr>
                <w:rFonts w:ascii="Arial" w:hAnsi="Arial" w:cs="Arial"/>
                <w:sz w:val="20"/>
                <w:szCs w:val="20"/>
              </w:rPr>
            </w:pPr>
          </w:p>
        </w:tc>
        <w:tc>
          <w:tcPr>
            <w:tcW w:w="970" w:type="dxa"/>
            <w:shd w:val="clear" w:color="auto" w:fill="auto"/>
            <w:vAlign w:val="bottom"/>
          </w:tcPr>
          <w:p w:rsidR="00D346B4" w:rsidRPr="00DE475B" w:rsidRDefault="00D346B4">
            <w:pPr>
              <w:snapToGrid w:val="0"/>
              <w:rPr>
                <w:rFonts w:ascii="Arial" w:hAnsi="Arial" w:cs="Arial"/>
                <w:sz w:val="20"/>
                <w:szCs w:val="20"/>
              </w:rPr>
            </w:pPr>
          </w:p>
        </w:tc>
        <w:tc>
          <w:tcPr>
            <w:tcW w:w="979" w:type="dxa"/>
            <w:gridSpan w:val="2"/>
            <w:shd w:val="clear" w:color="auto" w:fill="auto"/>
            <w:vAlign w:val="bottom"/>
          </w:tcPr>
          <w:p w:rsidR="00D346B4" w:rsidRPr="00DE475B" w:rsidRDefault="00D346B4">
            <w:pPr>
              <w:snapToGrid w:val="0"/>
              <w:rPr>
                <w:rFonts w:ascii="Arial" w:hAnsi="Arial" w:cs="Arial"/>
                <w:sz w:val="20"/>
                <w:szCs w:val="20"/>
              </w:rPr>
            </w:pPr>
          </w:p>
        </w:tc>
      </w:tr>
      <w:tr w:rsidR="00186250" w:rsidRPr="00DE475B" w:rsidTr="00186250">
        <w:trPr>
          <w:trHeight w:val="250"/>
        </w:trPr>
        <w:tc>
          <w:tcPr>
            <w:tcW w:w="270" w:type="dxa"/>
            <w:shd w:val="clear" w:color="auto" w:fill="auto"/>
            <w:vAlign w:val="bottom"/>
          </w:tcPr>
          <w:p w:rsidR="00186250" w:rsidRPr="00DE475B" w:rsidRDefault="00186250">
            <w:pPr>
              <w:snapToGrid w:val="0"/>
              <w:rPr>
                <w:rFonts w:ascii="Arial" w:hAnsi="Arial" w:cs="Arial"/>
                <w:b/>
                <w:bCs/>
                <w:sz w:val="20"/>
                <w:szCs w:val="20"/>
              </w:rPr>
            </w:pPr>
          </w:p>
        </w:tc>
        <w:tc>
          <w:tcPr>
            <w:tcW w:w="3717" w:type="dxa"/>
            <w:gridSpan w:val="6"/>
            <w:shd w:val="clear" w:color="auto" w:fill="auto"/>
            <w:vAlign w:val="bottom"/>
          </w:tcPr>
          <w:p w:rsidR="00186250" w:rsidRPr="00DE475B" w:rsidRDefault="00186250">
            <w:pPr>
              <w:rPr>
                <w:rFonts w:ascii="Arial" w:hAnsi="Arial" w:cs="Arial"/>
                <w:b/>
                <w:bCs/>
                <w:sz w:val="20"/>
                <w:szCs w:val="20"/>
              </w:rPr>
            </w:pPr>
            <w:r w:rsidRPr="00DE475B">
              <w:rPr>
                <w:rFonts w:ascii="Arial" w:hAnsi="Arial" w:cs="Arial"/>
                <w:sz w:val="20"/>
                <w:szCs w:val="20"/>
              </w:rPr>
              <w:t>Cash and cash equivalents</w:t>
            </w:r>
          </w:p>
        </w:tc>
        <w:tc>
          <w:tcPr>
            <w:tcW w:w="921" w:type="dxa"/>
            <w:shd w:val="clear" w:color="auto" w:fill="auto"/>
            <w:vAlign w:val="center"/>
          </w:tcPr>
          <w:p w:rsidR="00186250" w:rsidRPr="00DE475B" w:rsidRDefault="00186250" w:rsidP="00085548">
            <w:pPr>
              <w:jc w:val="center"/>
              <w:rPr>
                <w:rFonts w:ascii="Arial" w:hAnsi="Arial" w:cs="Arial"/>
                <w:sz w:val="20"/>
                <w:szCs w:val="20"/>
              </w:rPr>
            </w:pPr>
            <w:r w:rsidRPr="00DE475B">
              <w:rPr>
                <w:rFonts w:ascii="Arial" w:hAnsi="Arial" w:cs="Arial"/>
                <w:b/>
                <w:bCs/>
                <w:sz w:val="20"/>
                <w:szCs w:val="20"/>
              </w:rPr>
              <w:t>C1</w:t>
            </w:r>
          </w:p>
        </w:tc>
        <w:tc>
          <w:tcPr>
            <w:tcW w:w="970" w:type="dxa"/>
            <w:shd w:val="clear" w:color="auto" w:fill="auto"/>
            <w:vAlign w:val="center"/>
          </w:tcPr>
          <w:p w:rsidR="00186250" w:rsidRPr="00DE475B" w:rsidRDefault="00186250" w:rsidP="00E37F52">
            <w:pPr>
              <w:jc w:val="right"/>
              <w:rPr>
                <w:rFonts w:ascii="Arial" w:hAnsi="Arial" w:cs="Arial"/>
                <w:sz w:val="20"/>
                <w:szCs w:val="20"/>
              </w:rPr>
            </w:pPr>
            <w:r w:rsidRPr="00186250">
              <w:rPr>
                <w:rFonts w:ascii="Arial" w:hAnsi="Arial" w:cs="Arial"/>
                <w:sz w:val="20"/>
                <w:szCs w:val="20"/>
              </w:rPr>
              <w:t>18</w:t>
            </w:r>
            <w:r>
              <w:rPr>
                <w:rFonts w:ascii="Arial" w:hAnsi="Arial" w:cs="Arial"/>
                <w:sz w:val="20"/>
                <w:szCs w:val="20"/>
              </w:rPr>
              <w:t>,</w:t>
            </w:r>
            <w:r w:rsidRPr="00186250">
              <w:rPr>
                <w:rFonts w:ascii="Arial" w:hAnsi="Arial" w:cs="Arial"/>
                <w:sz w:val="20"/>
                <w:szCs w:val="20"/>
              </w:rPr>
              <w:t>860</w:t>
            </w:r>
          </w:p>
        </w:tc>
        <w:tc>
          <w:tcPr>
            <w:tcW w:w="970" w:type="dxa"/>
            <w:shd w:val="clear" w:color="auto" w:fill="auto"/>
            <w:vAlign w:val="center"/>
          </w:tcPr>
          <w:p w:rsidR="00186250" w:rsidRPr="00DE475B" w:rsidRDefault="00186250" w:rsidP="007113B4">
            <w:pPr>
              <w:jc w:val="right"/>
              <w:rPr>
                <w:rFonts w:ascii="Arial" w:hAnsi="Arial" w:cs="Arial"/>
                <w:sz w:val="20"/>
                <w:szCs w:val="20"/>
              </w:rPr>
            </w:pPr>
            <w:r w:rsidRPr="00DE475B">
              <w:rPr>
                <w:rFonts w:ascii="Arial" w:hAnsi="Arial" w:cs="Arial"/>
                <w:sz w:val="20"/>
                <w:szCs w:val="20"/>
              </w:rPr>
              <w:t>16,920</w:t>
            </w:r>
          </w:p>
        </w:tc>
        <w:tc>
          <w:tcPr>
            <w:tcW w:w="970" w:type="dxa"/>
            <w:shd w:val="clear" w:color="auto" w:fill="auto"/>
            <w:vAlign w:val="center"/>
          </w:tcPr>
          <w:p w:rsidR="00186250" w:rsidRPr="00DE475B" w:rsidRDefault="00186250" w:rsidP="007113B4">
            <w:pPr>
              <w:jc w:val="right"/>
              <w:rPr>
                <w:rFonts w:ascii="Arial" w:hAnsi="Arial" w:cs="Arial"/>
                <w:sz w:val="20"/>
                <w:szCs w:val="20"/>
              </w:rPr>
            </w:pPr>
            <w:r>
              <w:rPr>
                <w:rFonts w:ascii="Arial" w:hAnsi="Arial" w:cs="Arial"/>
                <w:sz w:val="20"/>
                <w:szCs w:val="20"/>
              </w:rPr>
              <w:t>12,893</w:t>
            </w:r>
          </w:p>
        </w:tc>
        <w:tc>
          <w:tcPr>
            <w:tcW w:w="979" w:type="dxa"/>
            <w:gridSpan w:val="2"/>
            <w:shd w:val="clear" w:color="auto" w:fill="auto"/>
            <w:vAlign w:val="center"/>
          </w:tcPr>
          <w:p w:rsidR="00186250" w:rsidRPr="00DE475B" w:rsidRDefault="00186250" w:rsidP="007113B4">
            <w:pPr>
              <w:jc w:val="right"/>
              <w:rPr>
                <w:rFonts w:ascii="Arial" w:hAnsi="Arial" w:cs="Arial"/>
                <w:sz w:val="20"/>
                <w:szCs w:val="20"/>
              </w:rPr>
            </w:pPr>
            <w:r w:rsidRPr="00DE475B">
              <w:rPr>
                <w:rFonts w:ascii="Arial" w:hAnsi="Arial" w:cs="Arial"/>
                <w:sz w:val="20"/>
                <w:szCs w:val="20"/>
              </w:rPr>
              <w:t>11,217</w:t>
            </w:r>
          </w:p>
        </w:tc>
      </w:tr>
      <w:tr w:rsidR="00186250" w:rsidRPr="00DE475B" w:rsidTr="00186250">
        <w:trPr>
          <w:trHeight w:val="250"/>
        </w:trPr>
        <w:tc>
          <w:tcPr>
            <w:tcW w:w="270" w:type="dxa"/>
            <w:shd w:val="clear" w:color="auto" w:fill="auto"/>
            <w:vAlign w:val="bottom"/>
          </w:tcPr>
          <w:p w:rsidR="00186250" w:rsidRPr="00DE475B" w:rsidRDefault="00186250">
            <w:pPr>
              <w:snapToGrid w:val="0"/>
              <w:rPr>
                <w:rFonts w:ascii="Arial" w:hAnsi="Arial" w:cs="Arial"/>
                <w:b/>
                <w:bCs/>
                <w:sz w:val="20"/>
                <w:szCs w:val="20"/>
              </w:rPr>
            </w:pPr>
          </w:p>
        </w:tc>
        <w:tc>
          <w:tcPr>
            <w:tcW w:w="1560" w:type="dxa"/>
            <w:gridSpan w:val="4"/>
            <w:shd w:val="clear" w:color="auto" w:fill="auto"/>
            <w:vAlign w:val="bottom"/>
          </w:tcPr>
          <w:p w:rsidR="00186250" w:rsidRPr="00DE475B" w:rsidRDefault="00186250">
            <w:pPr>
              <w:rPr>
                <w:rFonts w:ascii="Arial" w:hAnsi="Arial" w:cs="Arial"/>
                <w:sz w:val="20"/>
                <w:szCs w:val="20"/>
              </w:rPr>
            </w:pPr>
            <w:r w:rsidRPr="00DE475B">
              <w:rPr>
                <w:rFonts w:ascii="Arial" w:hAnsi="Arial" w:cs="Arial"/>
                <w:sz w:val="20"/>
                <w:szCs w:val="20"/>
              </w:rPr>
              <w:t>Receivables</w:t>
            </w:r>
          </w:p>
        </w:tc>
        <w:tc>
          <w:tcPr>
            <w:tcW w:w="775" w:type="dxa"/>
            <w:shd w:val="clear" w:color="auto" w:fill="auto"/>
            <w:vAlign w:val="bottom"/>
          </w:tcPr>
          <w:p w:rsidR="00186250" w:rsidRPr="00DE475B" w:rsidRDefault="00186250">
            <w:pPr>
              <w:snapToGrid w:val="0"/>
              <w:rPr>
                <w:rFonts w:ascii="Arial" w:hAnsi="Arial" w:cs="Arial"/>
                <w:sz w:val="20"/>
                <w:szCs w:val="20"/>
              </w:rPr>
            </w:pPr>
          </w:p>
        </w:tc>
        <w:tc>
          <w:tcPr>
            <w:tcW w:w="1382" w:type="dxa"/>
            <w:shd w:val="clear" w:color="auto" w:fill="auto"/>
            <w:vAlign w:val="bottom"/>
          </w:tcPr>
          <w:p w:rsidR="00186250" w:rsidRPr="00DE475B" w:rsidRDefault="00186250">
            <w:pPr>
              <w:snapToGrid w:val="0"/>
              <w:rPr>
                <w:rFonts w:ascii="Arial" w:hAnsi="Arial" w:cs="Arial"/>
                <w:sz w:val="20"/>
                <w:szCs w:val="20"/>
              </w:rPr>
            </w:pPr>
          </w:p>
        </w:tc>
        <w:tc>
          <w:tcPr>
            <w:tcW w:w="921" w:type="dxa"/>
            <w:shd w:val="clear" w:color="auto" w:fill="auto"/>
            <w:vAlign w:val="center"/>
          </w:tcPr>
          <w:p w:rsidR="00186250" w:rsidRPr="00DE475B" w:rsidRDefault="00186250" w:rsidP="00085548">
            <w:pPr>
              <w:jc w:val="center"/>
              <w:rPr>
                <w:rFonts w:ascii="Arial" w:hAnsi="Arial" w:cs="Arial"/>
                <w:sz w:val="20"/>
                <w:szCs w:val="20"/>
              </w:rPr>
            </w:pPr>
            <w:r w:rsidRPr="00DE475B">
              <w:rPr>
                <w:rFonts w:ascii="Arial" w:hAnsi="Arial" w:cs="Arial"/>
                <w:b/>
                <w:bCs/>
                <w:sz w:val="20"/>
                <w:szCs w:val="20"/>
              </w:rPr>
              <w:t>C2</w:t>
            </w:r>
          </w:p>
        </w:tc>
        <w:tc>
          <w:tcPr>
            <w:tcW w:w="970" w:type="dxa"/>
            <w:shd w:val="clear" w:color="auto" w:fill="auto"/>
            <w:vAlign w:val="center"/>
          </w:tcPr>
          <w:p w:rsidR="00186250" w:rsidRPr="00DE475B" w:rsidRDefault="00186250" w:rsidP="00186250">
            <w:pPr>
              <w:jc w:val="right"/>
              <w:rPr>
                <w:rFonts w:ascii="Arial" w:hAnsi="Arial" w:cs="Arial"/>
                <w:sz w:val="20"/>
                <w:szCs w:val="20"/>
              </w:rPr>
            </w:pPr>
            <w:r>
              <w:rPr>
                <w:rFonts w:ascii="Arial" w:hAnsi="Arial" w:cs="Arial"/>
                <w:sz w:val="20"/>
                <w:szCs w:val="20"/>
              </w:rPr>
              <w:t xml:space="preserve">1,034 </w:t>
            </w:r>
          </w:p>
        </w:tc>
        <w:tc>
          <w:tcPr>
            <w:tcW w:w="970" w:type="dxa"/>
            <w:shd w:val="clear" w:color="auto" w:fill="auto"/>
            <w:vAlign w:val="center"/>
          </w:tcPr>
          <w:p w:rsidR="00186250" w:rsidRPr="00DE475B" w:rsidRDefault="00186250" w:rsidP="007113B4">
            <w:pPr>
              <w:jc w:val="right"/>
              <w:rPr>
                <w:rFonts w:ascii="Arial" w:hAnsi="Arial" w:cs="Arial"/>
                <w:sz w:val="20"/>
                <w:szCs w:val="20"/>
              </w:rPr>
            </w:pPr>
            <w:r w:rsidRPr="00DE475B">
              <w:rPr>
                <w:rFonts w:ascii="Arial" w:hAnsi="Arial" w:cs="Arial"/>
                <w:sz w:val="20"/>
                <w:szCs w:val="20"/>
              </w:rPr>
              <w:t xml:space="preserve">1,524 </w:t>
            </w:r>
          </w:p>
        </w:tc>
        <w:tc>
          <w:tcPr>
            <w:tcW w:w="970" w:type="dxa"/>
            <w:shd w:val="clear" w:color="auto" w:fill="auto"/>
            <w:vAlign w:val="center"/>
          </w:tcPr>
          <w:p w:rsidR="00186250" w:rsidRPr="00DE475B" w:rsidRDefault="00186250" w:rsidP="007113B4">
            <w:pPr>
              <w:jc w:val="right"/>
              <w:rPr>
                <w:rFonts w:ascii="Arial" w:hAnsi="Arial" w:cs="Arial"/>
                <w:sz w:val="20"/>
                <w:szCs w:val="20"/>
              </w:rPr>
            </w:pPr>
            <w:r>
              <w:rPr>
                <w:rFonts w:ascii="Arial" w:hAnsi="Arial" w:cs="Arial"/>
                <w:sz w:val="20"/>
                <w:szCs w:val="20"/>
              </w:rPr>
              <w:t>1,252</w:t>
            </w:r>
          </w:p>
        </w:tc>
        <w:tc>
          <w:tcPr>
            <w:tcW w:w="979" w:type="dxa"/>
            <w:gridSpan w:val="2"/>
            <w:shd w:val="clear" w:color="auto" w:fill="auto"/>
            <w:vAlign w:val="center"/>
          </w:tcPr>
          <w:p w:rsidR="00186250" w:rsidRPr="00DE475B" w:rsidRDefault="00186250" w:rsidP="007113B4">
            <w:pPr>
              <w:jc w:val="right"/>
              <w:rPr>
                <w:rFonts w:ascii="Arial" w:hAnsi="Arial" w:cs="Arial"/>
                <w:sz w:val="20"/>
                <w:szCs w:val="20"/>
              </w:rPr>
            </w:pPr>
            <w:r w:rsidRPr="00DE475B">
              <w:rPr>
                <w:rFonts w:ascii="Arial" w:hAnsi="Arial" w:cs="Arial"/>
                <w:sz w:val="20"/>
                <w:szCs w:val="20"/>
              </w:rPr>
              <w:t xml:space="preserve">1,620 </w:t>
            </w:r>
          </w:p>
        </w:tc>
      </w:tr>
      <w:tr w:rsidR="00186250" w:rsidRPr="00DE475B" w:rsidTr="00186250">
        <w:trPr>
          <w:trHeight w:val="294"/>
        </w:trPr>
        <w:tc>
          <w:tcPr>
            <w:tcW w:w="270" w:type="dxa"/>
            <w:shd w:val="clear" w:color="auto" w:fill="auto"/>
            <w:vAlign w:val="bottom"/>
          </w:tcPr>
          <w:p w:rsidR="00186250" w:rsidRPr="00DE475B" w:rsidRDefault="00186250">
            <w:pPr>
              <w:snapToGrid w:val="0"/>
              <w:rPr>
                <w:rFonts w:ascii="Arial" w:hAnsi="Arial" w:cs="Arial"/>
                <w:b/>
                <w:bCs/>
                <w:sz w:val="20"/>
                <w:szCs w:val="20"/>
              </w:rPr>
            </w:pPr>
          </w:p>
        </w:tc>
        <w:tc>
          <w:tcPr>
            <w:tcW w:w="1560" w:type="dxa"/>
            <w:gridSpan w:val="4"/>
            <w:shd w:val="clear" w:color="auto" w:fill="auto"/>
            <w:vAlign w:val="bottom"/>
          </w:tcPr>
          <w:p w:rsidR="00186250" w:rsidRPr="00DE475B" w:rsidRDefault="00186250">
            <w:pPr>
              <w:rPr>
                <w:rFonts w:ascii="Arial" w:hAnsi="Arial" w:cs="Arial"/>
                <w:sz w:val="20"/>
                <w:szCs w:val="20"/>
              </w:rPr>
            </w:pPr>
            <w:r w:rsidRPr="00DE475B">
              <w:rPr>
                <w:rFonts w:ascii="Arial" w:hAnsi="Arial" w:cs="Arial"/>
                <w:sz w:val="20"/>
                <w:szCs w:val="20"/>
              </w:rPr>
              <w:t>Inventories</w:t>
            </w:r>
          </w:p>
        </w:tc>
        <w:tc>
          <w:tcPr>
            <w:tcW w:w="775" w:type="dxa"/>
            <w:shd w:val="clear" w:color="auto" w:fill="auto"/>
            <w:vAlign w:val="bottom"/>
          </w:tcPr>
          <w:p w:rsidR="00186250" w:rsidRPr="00DE475B" w:rsidRDefault="00186250">
            <w:pPr>
              <w:snapToGrid w:val="0"/>
              <w:rPr>
                <w:rFonts w:ascii="Arial" w:hAnsi="Arial" w:cs="Arial"/>
                <w:sz w:val="20"/>
                <w:szCs w:val="20"/>
              </w:rPr>
            </w:pPr>
          </w:p>
        </w:tc>
        <w:tc>
          <w:tcPr>
            <w:tcW w:w="1382" w:type="dxa"/>
            <w:shd w:val="clear" w:color="auto" w:fill="auto"/>
            <w:vAlign w:val="bottom"/>
          </w:tcPr>
          <w:p w:rsidR="00186250" w:rsidRPr="00DE475B" w:rsidRDefault="00186250">
            <w:pPr>
              <w:snapToGrid w:val="0"/>
              <w:rPr>
                <w:rFonts w:ascii="Arial" w:hAnsi="Arial" w:cs="Arial"/>
                <w:sz w:val="20"/>
                <w:szCs w:val="20"/>
              </w:rPr>
            </w:pPr>
          </w:p>
        </w:tc>
        <w:tc>
          <w:tcPr>
            <w:tcW w:w="921" w:type="dxa"/>
            <w:shd w:val="clear" w:color="auto" w:fill="auto"/>
            <w:vAlign w:val="center"/>
          </w:tcPr>
          <w:p w:rsidR="00186250" w:rsidRPr="00DE475B" w:rsidRDefault="00186250" w:rsidP="00085548">
            <w:pPr>
              <w:jc w:val="center"/>
              <w:rPr>
                <w:rFonts w:ascii="Arial" w:hAnsi="Arial" w:cs="Arial"/>
                <w:sz w:val="20"/>
                <w:szCs w:val="20"/>
              </w:rPr>
            </w:pPr>
          </w:p>
        </w:tc>
        <w:tc>
          <w:tcPr>
            <w:tcW w:w="970" w:type="dxa"/>
            <w:shd w:val="clear" w:color="auto" w:fill="auto"/>
            <w:vAlign w:val="center"/>
          </w:tcPr>
          <w:p w:rsidR="00186250" w:rsidRPr="00DE475B" w:rsidRDefault="00186250" w:rsidP="00E37F52">
            <w:pPr>
              <w:jc w:val="right"/>
              <w:rPr>
                <w:rFonts w:ascii="Arial" w:hAnsi="Arial" w:cs="Arial"/>
                <w:sz w:val="20"/>
                <w:szCs w:val="20"/>
              </w:rPr>
            </w:pPr>
            <w:r>
              <w:rPr>
                <w:rFonts w:ascii="Arial" w:hAnsi="Arial" w:cs="Arial"/>
                <w:sz w:val="20"/>
                <w:szCs w:val="20"/>
              </w:rPr>
              <w:t>213</w:t>
            </w:r>
          </w:p>
        </w:tc>
        <w:tc>
          <w:tcPr>
            <w:tcW w:w="970" w:type="dxa"/>
            <w:shd w:val="clear" w:color="auto" w:fill="auto"/>
            <w:vAlign w:val="center"/>
          </w:tcPr>
          <w:p w:rsidR="00186250" w:rsidRPr="00DE475B" w:rsidRDefault="00186250" w:rsidP="007113B4">
            <w:pPr>
              <w:jc w:val="right"/>
              <w:rPr>
                <w:rFonts w:ascii="Arial" w:hAnsi="Arial" w:cs="Arial"/>
                <w:sz w:val="20"/>
                <w:szCs w:val="20"/>
              </w:rPr>
            </w:pPr>
            <w:r w:rsidRPr="00DE475B">
              <w:rPr>
                <w:rFonts w:ascii="Arial" w:hAnsi="Arial" w:cs="Arial"/>
                <w:sz w:val="20"/>
                <w:szCs w:val="20"/>
              </w:rPr>
              <w:t xml:space="preserve">303 </w:t>
            </w:r>
          </w:p>
        </w:tc>
        <w:tc>
          <w:tcPr>
            <w:tcW w:w="970" w:type="dxa"/>
            <w:shd w:val="clear" w:color="auto" w:fill="auto"/>
            <w:vAlign w:val="center"/>
          </w:tcPr>
          <w:p w:rsidR="00186250" w:rsidRPr="00DE475B" w:rsidRDefault="00186250" w:rsidP="007113B4">
            <w:pPr>
              <w:jc w:val="right"/>
              <w:rPr>
                <w:rFonts w:ascii="Arial" w:hAnsi="Arial" w:cs="Arial"/>
                <w:sz w:val="20"/>
                <w:szCs w:val="20"/>
              </w:rPr>
            </w:pPr>
            <w:r>
              <w:rPr>
                <w:rFonts w:ascii="Arial" w:hAnsi="Arial" w:cs="Arial"/>
                <w:sz w:val="20"/>
                <w:szCs w:val="20"/>
              </w:rPr>
              <w:t>213</w:t>
            </w:r>
          </w:p>
        </w:tc>
        <w:tc>
          <w:tcPr>
            <w:tcW w:w="979" w:type="dxa"/>
            <w:gridSpan w:val="2"/>
            <w:shd w:val="clear" w:color="auto" w:fill="auto"/>
            <w:vAlign w:val="center"/>
          </w:tcPr>
          <w:p w:rsidR="00186250" w:rsidRPr="00DE475B" w:rsidRDefault="00186250" w:rsidP="007113B4">
            <w:pPr>
              <w:jc w:val="right"/>
              <w:rPr>
                <w:rFonts w:ascii="Arial" w:hAnsi="Arial" w:cs="Arial"/>
                <w:sz w:val="20"/>
                <w:szCs w:val="20"/>
              </w:rPr>
            </w:pPr>
            <w:r w:rsidRPr="00DE475B">
              <w:rPr>
                <w:rFonts w:ascii="Arial" w:hAnsi="Arial" w:cs="Arial"/>
                <w:sz w:val="20"/>
                <w:szCs w:val="20"/>
              </w:rPr>
              <w:t xml:space="preserve">303 </w:t>
            </w:r>
          </w:p>
        </w:tc>
      </w:tr>
      <w:tr w:rsidR="00186250" w:rsidRPr="00DE475B" w:rsidTr="00186250">
        <w:trPr>
          <w:trHeight w:val="308"/>
        </w:trPr>
        <w:tc>
          <w:tcPr>
            <w:tcW w:w="270" w:type="dxa"/>
            <w:shd w:val="clear" w:color="auto" w:fill="auto"/>
            <w:vAlign w:val="bottom"/>
          </w:tcPr>
          <w:p w:rsidR="00186250" w:rsidRPr="00DE475B" w:rsidRDefault="00186250">
            <w:pPr>
              <w:snapToGrid w:val="0"/>
              <w:rPr>
                <w:rFonts w:ascii="Arial" w:hAnsi="Arial" w:cs="Arial"/>
                <w:b/>
                <w:bCs/>
                <w:sz w:val="20"/>
                <w:szCs w:val="20"/>
              </w:rPr>
            </w:pPr>
          </w:p>
        </w:tc>
        <w:tc>
          <w:tcPr>
            <w:tcW w:w="1560" w:type="dxa"/>
            <w:gridSpan w:val="4"/>
            <w:shd w:val="clear" w:color="auto" w:fill="auto"/>
            <w:vAlign w:val="bottom"/>
          </w:tcPr>
          <w:p w:rsidR="00186250" w:rsidRPr="00DE475B" w:rsidRDefault="00186250">
            <w:pPr>
              <w:rPr>
                <w:rFonts w:ascii="Arial" w:hAnsi="Arial" w:cs="Arial"/>
                <w:sz w:val="20"/>
                <w:szCs w:val="20"/>
              </w:rPr>
            </w:pPr>
            <w:r w:rsidRPr="00DE475B">
              <w:rPr>
                <w:rFonts w:ascii="Arial" w:hAnsi="Arial" w:cs="Arial"/>
                <w:sz w:val="20"/>
                <w:szCs w:val="20"/>
              </w:rPr>
              <w:t>Prepayments</w:t>
            </w:r>
          </w:p>
        </w:tc>
        <w:tc>
          <w:tcPr>
            <w:tcW w:w="775" w:type="dxa"/>
            <w:shd w:val="clear" w:color="auto" w:fill="auto"/>
            <w:vAlign w:val="bottom"/>
          </w:tcPr>
          <w:p w:rsidR="00186250" w:rsidRPr="00DE475B" w:rsidRDefault="00186250">
            <w:pPr>
              <w:snapToGrid w:val="0"/>
              <w:rPr>
                <w:rFonts w:ascii="Arial" w:hAnsi="Arial" w:cs="Arial"/>
                <w:sz w:val="20"/>
                <w:szCs w:val="20"/>
              </w:rPr>
            </w:pPr>
          </w:p>
        </w:tc>
        <w:tc>
          <w:tcPr>
            <w:tcW w:w="1382" w:type="dxa"/>
            <w:shd w:val="clear" w:color="auto" w:fill="auto"/>
            <w:vAlign w:val="bottom"/>
          </w:tcPr>
          <w:p w:rsidR="00186250" w:rsidRPr="00DE475B" w:rsidRDefault="00186250">
            <w:pPr>
              <w:snapToGrid w:val="0"/>
              <w:rPr>
                <w:rFonts w:ascii="Arial" w:hAnsi="Arial" w:cs="Arial"/>
                <w:sz w:val="20"/>
                <w:szCs w:val="20"/>
              </w:rPr>
            </w:pPr>
          </w:p>
        </w:tc>
        <w:tc>
          <w:tcPr>
            <w:tcW w:w="921" w:type="dxa"/>
            <w:shd w:val="clear" w:color="auto" w:fill="auto"/>
            <w:vAlign w:val="center"/>
          </w:tcPr>
          <w:p w:rsidR="00186250" w:rsidRPr="00DE475B" w:rsidRDefault="00186250" w:rsidP="00085548">
            <w:pPr>
              <w:jc w:val="center"/>
              <w:rPr>
                <w:rFonts w:ascii="Arial" w:hAnsi="Arial" w:cs="Arial"/>
                <w:sz w:val="20"/>
                <w:szCs w:val="20"/>
              </w:rPr>
            </w:pPr>
          </w:p>
        </w:tc>
        <w:tc>
          <w:tcPr>
            <w:tcW w:w="970" w:type="dxa"/>
            <w:shd w:val="clear" w:color="auto" w:fill="auto"/>
            <w:vAlign w:val="center"/>
          </w:tcPr>
          <w:p w:rsidR="00186250" w:rsidRPr="00DE475B" w:rsidRDefault="00186250" w:rsidP="00E37F52">
            <w:pPr>
              <w:jc w:val="right"/>
              <w:rPr>
                <w:rFonts w:ascii="Arial" w:hAnsi="Arial" w:cs="Arial"/>
                <w:sz w:val="20"/>
                <w:szCs w:val="20"/>
              </w:rPr>
            </w:pPr>
            <w:r>
              <w:rPr>
                <w:rFonts w:ascii="Arial" w:hAnsi="Arial" w:cs="Arial"/>
                <w:sz w:val="20"/>
                <w:szCs w:val="20"/>
              </w:rPr>
              <w:t>893</w:t>
            </w:r>
          </w:p>
        </w:tc>
        <w:tc>
          <w:tcPr>
            <w:tcW w:w="970" w:type="dxa"/>
            <w:shd w:val="clear" w:color="auto" w:fill="auto"/>
            <w:vAlign w:val="center"/>
          </w:tcPr>
          <w:p w:rsidR="00186250" w:rsidRPr="00DE475B" w:rsidRDefault="00186250" w:rsidP="007113B4">
            <w:pPr>
              <w:jc w:val="right"/>
              <w:rPr>
                <w:rFonts w:ascii="Arial" w:hAnsi="Arial" w:cs="Arial"/>
                <w:sz w:val="20"/>
                <w:szCs w:val="20"/>
              </w:rPr>
            </w:pPr>
            <w:r w:rsidRPr="00DE475B">
              <w:rPr>
                <w:rFonts w:ascii="Arial" w:hAnsi="Arial" w:cs="Arial"/>
                <w:sz w:val="20"/>
                <w:szCs w:val="20"/>
              </w:rPr>
              <w:t xml:space="preserve">943 </w:t>
            </w:r>
          </w:p>
        </w:tc>
        <w:tc>
          <w:tcPr>
            <w:tcW w:w="970" w:type="dxa"/>
            <w:shd w:val="clear" w:color="auto" w:fill="auto"/>
            <w:vAlign w:val="center"/>
          </w:tcPr>
          <w:p w:rsidR="00186250" w:rsidRPr="00DE475B" w:rsidRDefault="00186250" w:rsidP="007113B4">
            <w:pPr>
              <w:jc w:val="right"/>
              <w:rPr>
                <w:rFonts w:ascii="Arial" w:hAnsi="Arial" w:cs="Arial"/>
                <w:sz w:val="20"/>
                <w:szCs w:val="20"/>
              </w:rPr>
            </w:pPr>
            <w:r>
              <w:rPr>
                <w:rFonts w:ascii="Arial" w:hAnsi="Arial" w:cs="Arial"/>
                <w:sz w:val="20"/>
                <w:szCs w:val="20"/>
              </w:rPr>
              <w:t>893</w:t>
            </w:r>
          </w:p>
        </w:tc>
        <w:tc>
          <w:tcPr>
            <w:tcW w:w="979" w:type="dxa"/>
            <w:gridSpan w:val="2"/>
            <w:shd w:val="clear" w:color="auto" w:fill="auto"/>
            <w:vAlign w:val="center"/>
          </w:tcPr>
          <w:p w:rsidR="00186250" w:rsidRPr="00DE475B" w:rsidRDefault="00186250" w:rsidP="007113B4">
            <w:pPr>
              <w:jc w:val="right"/>
              <w:rPr>
                <w:rFonts w:ascii="Arial" w:hAnsi="Arial" w:cs="Arial"/>
                <w:sz w:val="20"/>
                <w:szCs w:val="20"/>
              </w:rPr>
            </w:pPr>
            <w:r w:rsidRPr="00DE475B">
              <w:rPr>
                <w:rFonts w:ascii="Arial" w:hAnsi="Arial" w:cs="Arial"/>
                <w:sz w:val="20"/>
                <w:szCs w:val="20"/>
              </w:rPr>
              <w:t xml:space="preserve">943 </w:t>
            </w:r>
          </w:p>
        </w:tc>
      </w:tr>
      <w:tr w:rsidR="00186250" w:rsidRPr="00DE475B" w:rsidTr="00186250">
        <w:trPr>
          <w:trHeight w:val="117"/>
        </w:trPr>
        <w:tc>
          <w:tcPr>
            <w:tcW w:w="270" w:type="dxa"/>
            <w:shd w:val="clear" w:color="auto" w:fill="auto"/>
            <w:vAlign w:val="bottom"/>
          </w:tcPr>
          <w:p w:rsidR="00186250" w:rsidRPr="00DE475B" w:rsidRDefault="00186250">
            <w:pPr>
              <w:snapToGrid w:val="0"/>
              <w:rPr>
                <w:rFonts w:ascii="Arial" w:hAnsi="Arial" w:cs="Arial"/>
                <w:b/>
                <w:bCs/>
                <w:sz w:val="20"/>
                <w:szCs w:val="20"/>
              </w:rPr>
            </w:pPr>
          </w:p>
        </w:tc>
        <w:tc>
          <w:tcPr>
            <w:tcW w:w="326" w:type="dxa"/>
            <w:shd w:val="clear" w:color="auto" w:fill="auto"/>
            <w:vAlign w:val="bottom"/>
          </w:tcPr>
          <w:p w:rsidR="00186250" w:rsidRPr="00DE475B" w:rsidRDefault="00186250">
            <w:pPr>
              <w:snapToGrid w:val="0"/>
              <w:rPr>
                <w:rFonts w:ascii="Arial" w:hAnsi="Arial" w:cs="Arial"/>
                <w:sz w:val="20"/>
                <w:szCs w:val="20"/>
              </w:rPr>
            </w:pPr>
          </w:p>
        </w:tc>
        <w:tc>
          <w:tcPr>
            <w:tcW w:w="1234" w:type="dxa"/>
            <w:gridSpan w:val="3"/>
            <w:shd w:val="clear" w:color="auto" w:fill="auto"/>
            <w:vAlign w:val="bottom"/>
          </w:tcPr>
          <w:p w:rsidR="00186250" w:rsidRPr="00DE475B" w:rsidRDefault="00186250">
            <w:pPr>
              <w:snapToGrid w:val="0"/>
              <w:rPr>
                <w:rFonts w:ascii="Arial" w:hAnsi="Arial" w:cs="Arial"/>
                <w:sz w:val="20"/>
                <w:szCs w:val="20"/>
              </w:rPr>
            </w:pPr>
          </w:p>
        </w:tc>
        <w:tc>
          <w:tcPr>
            <w:tcW w:w="775" w:type="dxa"/>
            <w:shd w:val="clear" w:color="auto" w:fill="auto"/>
            <w:vAlign w:val="bottom"/>
          </w:tcPr>
          <w:p w:rsidR="00186250" w:rsidRPr="00DE475B" w:rsidRDefault="00186250">
            <w:pPr>
              <w:snapToGrid w:val="0"/>
              <w:rPr>
                <w:rFonts w:ascii="Arial" w:hAnsi="Arial" w:cs="Arial"/>
                <w:sz w:val="20"/>
                <w:szCs w:val="20"/>
              </w:rPr>
            </w:pPr>
          </w:p>
        </w:tc>
        <w:tc>
          <w:tcPr>
            <w:tcW w:w="1382" w:type="dxa"/>
            <w:shd w:val="clear" w:color="auto" w:fill="auto"/>
            <w:vAlign w:val="bottom"/>
          </w:tcPr>
          <w:p w:rsidR="00186250" w:rsidRPr="00DE475B" w:rsidRDefault="00186250">
            <w:pPr>
              <w:snapToGrid w:val="0"/>
              <w:rPr>
                <w:rFonts w:ascii="Arial" w:hAnsi="Arial" w:cs="Arial"/>
                <w:sz w:val="20"/>
                <w:szCs w:val="20"/>
              </w:rPr>
            </w:pPr>
          </w:p>
        </w:tc>
        <w:tc>
          <w:tcPr>
            <w:tcW w:w="921" w:type="dxa"/>
            <w:shd w:val="clear" w:color="auto" w:fill="auto"/>
            <w:vAlign w:val="center"/>
          </w:tcPr>
          <w:p w:rsidR="00186250" w:rsidRPr="00DE475B" w:rsidRDefault="00186250" w:rsidP="00085548">
            <w:pPr>
              <w:snapToGrid w:val="0"/>
              <w:jc w:val="center"/>
              <w:rPr>
                <w:rFonts w:ascii="Arial" w:hAnsi="Arial" w:cs="Arial"/>
                <w:b/>
                <w:bCs/>
                <w:sz w:val="20"/>
                <w:szCs w:val="20"/>
              </w:rPr>
            </w:pPr>
          </w:p>
        </w:tc>
        <w:tc>
          <w:tcPr>
            <w:tcW w:w="970" w:type="dxa"/>
            <w:tcBorders>
              <w:bottom w:val="single" w:sz="4" w:space="0" w:color="000000"/>
            </w:tcBorders>
            <w:shd w:val="clear" w:color="auto" w:fill="auto"/>
            <w:vAlign w:val="bottom"/>
          </w:tcPr>
          <w:p w:rsidR="00186250" w:rsidRPr="00DE475B" w:rsidRDefault="00186250" w:rsidP="00704C2E">
            <w:pPr>
              <w:rPr>
                <w:rFonts w:ascii="Arial" w:hAnsi="Arial" w:cs="Arial"/>
                <w:sz w:val="20"/>
                <w:szCs w:val="20"/>
              </w:rPr>
            </w:pPr>
          </w:p>
        </w:tc>
        <w:tc>
          <w:tcPr>
            <w:tcW w:w="970" w:type="dxa"/>
            <w:tcBorders>
              <w:bottom w:val="single" w:sz="4" w:space="0" w:color="000000"/>
            </w:tcBorders>
            <w:shd w:val="clear" w:color="auto" w:fill="auto"/>
            <w:vAlign w:val="bottom"/>
          </w:tcPr>
          <w:p w:rsidR="00186250" w:rsidRPr="00DE475B" w:rsidRDefault="00186250">
            <w:pPr>
              <w:rPr>
                <w:rFonts w:ascii="Arial" w:hAnsi="Arial" w:cs="Arial"/>
                <w:sz w:val="20"/>
                <w:szCs w:val="20"/>
              </w:rPr>
            </w:pPr>
            <w:r w:rsidRPr="00DE475B">
              <w:rPr>
                <w:rFonts w:ascii="Arial" w:hAnsi="Arial" w:cs="Arial"/>
                <w:sz w:val="20"/>
                <w:szCs w:val="20"/>
              </w:rPr>
              <w:t> </w:t>
            </w:r>
          </w:p>
        </w:tc>
        <w:tc>
          <w:tcPr>
            <w:tcW w:w="970" w:type="dxa"/>
            <w:tcBorders>
              <w:bottom w:val="single" w:sz="4" w:space="0" w:color="000000"/>
            </w:tcBorders>
            <w:shd w:val="clear" w:color="auto" w:fill="auto"/>
            <w:vAlign w:val="bottom"/>
          </w:tcPr>
          <w:p w:rsidR="00186250" w:rsidRPr="00DE475B" w:rsidRDefault="00186250" w:rsidP="00704C2E">
            <w:pPr>
              <w:rPr>
                <w:rFonts w:ascii="Arial" w:hAnsi="Arial" w:cs="Arial"/>
                <w:sz w:val="20"/>
                <w:szCs w:val="20"/>
              </w:rPr>
            </w:pPr>
          </w:p>
        </w:tc>
        <w:tc>
          <w:tcPr>
            <w:tcW w:w="979" w:type="dxa"/>
            <w:gridSpan w:val="2"/>
            <w:tcBorders>
              <w:bottom w:val="single" w:sz="4" w:space="0" w:color="000000"/>
            </w:tcBorders>
            <w:shd w:val="clear" w:color="auto" w:fill="auto"/>
            <w:vAlign w:val="bottom"/>
          </w:tcPr>
          <w:p w:rsidR="00186250" w:rsidRPr="00DE475B" w:rsidRDefault="00186250">
            <w:pPr>
              <w:rPr>
                <w:rFonts w:ascii="Arial" w:hAnsi="Arial" w:cs="Arial"/>
                <w:b/>
                <w:bCs/>
                <w:sz w:val="20"/>
                <w:szCs w:val="20"/>
              </w:rPr>
            </w:pPr>
            <w:r w:rsidRPr="00DE475B">
              <w:rPr>
                <w:rFonts w:ascii="Arial" w:hAnsi="Arial" w:cs="Arial"/>
                <w:sz w:val="20"/>
                <w:szCs w:val="20"/>
              </w:rPr>
              <w:t> </w:t>
            </w:r>
          </w:p>
        </w:tc>
      </w:tr>
      <w:tr w:rsidR="00186250" w:rsidRPr="00DE475B" w:rsidTr="00186250">
        <w:trPr>
          <w:trHeight w:val="423"/>
        </w:trPr>
        <w:tc>
          <w:tcPr>
            <w:tcW w:w="2605" w:type="dxa"/>
            <w:gridSpan w:val="6"/>
            <w:shd w:val="clear" w:color="auto" w:fill="auto"/>
            <w:vAlign w:val="center"/>
          </w:tcPr>
          <w:p w:rsidR="00186250" w:rsidRPr="00DE475B" w:rsidRDefault="00186250" w:rsidP="00654D27">
            <w:pPr>
              <w:rPr>
                <w:rFonts w:ascii="Arial" w:hAnsi="Arial" w:cs="Arial"/>
                <w:sz w:val="20"/>
                <w:szCs w:val="20"/>
              </w:rPr>
            </w:pPr>
            <w:r w:rsidRPr="00DE475B">
              <w:rPr>
                <w:rFonts w:ascii="Arial" w:hAnsi="Arial" w:cs="Arial"/>
                <w:b/>
                <w:bCs/>
                <w:sz w:val="20"/>
                <w:szCs w:val="20"/>
              </w:rPr>
              <w:t>Total Current Assets</w:t>
            </w:r>
          </w:p>
        </w:tc>
        <w:tc>
          <w:tcPr>
            <w:tcW w:w="1382" w:type="dxa"/>
            <w:shd w:val="clear" w:color="auto" w:fill="auto"/>
            <w:vAlign w:val="center"/>
          </w:tcPr>
          <w:p w:rsidR="00186250" w:rsidRPr="00DE475B" w:rsidRDefault="00186250" w:rsidP="00654D27">
            <w:pPr>
              <w:snapToGrid w:val="0"/>
              <w:rPr>
                <w:rFonts w:ascii="Arial" w:hAnsi="Arial" w:cs="Arial"/>
                <w:sz w:val="20"/>
                <w:szCs w:val="20"/>
              </w:rPr>
            </w:pPr>
          </w:p>
        </w:tc>
        <w:tc>
          <w:tcPr>
            <w:tcW w:w="921" w:type="dxa"/>
            <w:shd w:val="clear" w:color="auto" w:fill="auto"/>
            <w:vAlign w:val="center"/>
          </w:tcPr>
          <w:p w:rsidR="00186250" w:rsidRPr="00DE475B" w:rsidRDefault="00186250" w:rsidP="00085548">
            <w:pPr>
              <w:snapToGrid w:val="0"/>
              <w:jc w:val="center"/>
              <w:rPr>
                <w:rFonts w:ascii="Arial" w:hAnsi="Arial" w:cs="Arial"/>
                <w:b/>
                <w:bCs/>
                <w:sz w:val="20"/>
                <w:szCs w:val="20"/>
              </w:rPr>
            </w:pPr>
          </w:p>
        </w:tc>
        <w:tc>
          <w:tcPr>
            <w:tcW w:w="970" w:type="dxa"/>
            <w:tcBorders>
              <w:top w:val="single" w:sz="8" w:space="0" w:color="000000"/>
              <w:bottom w:val="single" w:sz="8" w:space="0" w:color="000000"/>
            </w:tcBorders>
            <w:shd w:val="clear" w:color="auto" w:fill="auto"/>
            <w:vAlign w:val="center"/>
          </w:tcPr>
          <w:p w:rsidR="00186250" w:rsidRPr="00DE475B" w:rsidRDefault="00186250" w:rsidP="00F6481C">
            <w:pPr>
              <w:jc w:val="right"/>
              <w:rPr>
                <w:rFonts w:ascii="Arial" w:hAnsi="Arial" w:cs="Arial"/>
                <w:sz w:val="20"/>
                <w:szCs w:val="20"/>
              </w:rPr>
            </w:pPr>
            <w:r w:rsidRPr="00186250">
              <w:rPr>
                <w:rFonts w:ascii="Arial" w:hAnsi="Arial" w:cs="Arial"/>
                <w:sz w:val="20"/>
                <w:szCs w:val="20"/>
              </w:rPr>
              <w:t>21</w:t>
            </w:r>
            <w:r>
              <w:rPr>
                <w:rFonts w:ascii="Arial" w:hAnsi="Arial" w:cs="Arial"/>
                <w:sz w:val="20"/>
                <w:szCs w:val="20"/>
              </w:rPr>
              <w:t>,</w:t>
            </w:r>
            <w:r w:rsidRPr="00186250">
              <w:rPr>
                <w:rFonts w:ascii="Arial" w:hAnsi="Arial" w:cs="Arial"/>
                <w:sz w:val="20"/>
                <w:szCs w:val="20"/>
              </w:rPr>
              <w:t>000</w:t>
            </w:r>
          </w:p>
        </w:tc>
        <w:tc>
          <w:tcPr>
            <w:tcW w:w="970" w:type="dxa"/>
            <w:tcBorders>
              <w:top w:val="single" w:sz="8" w:space="0" w:color="000000"/>
              <w:bottom w:val="single" w:sz="8" w:space="0" w:color="000000"/>
            </w:tcBorders>
            <w:shd w:val="clear" w:color="auto" w:fill="auto"/>
            <w:vAlign w:val="center"/>
          </w:tcPr>
          <w:p w:rsidR="00186250" w:rsidRPr="00DE475B" w:rsidRDefault="00186250" w:rsidP="007113B4">
            <w:pPr>
              <w:jc w:val="right"/>
              <w:rPr>
                <w:rFonts w:ascii="Arial" w:hAnsi="Arial" w:cs="Arial"/>
                <w:sz w:val="20"/>
                <w:szCs w:val="20"/>
              </w:rPr>
            </w:pPr>
            <w:r w:rsidRPr="00DE475B">
              <w:rPr>
                <w:rFonts w:ascii="Arial" w:hAnsi="Arial" w:cs="Arial"/>
                <w:sz w:val="20"/>
                <w:szCs w:val="20"/>
              </w:rPr>
              <w:t>19,690</w:t>
            </w:r>
          </w:p>
        </w:tc>
        <w:tc>
          <w:tcPr>
            <w:tcW w:w="970" w:type="dxa"/>
            <w:tcBorders>
              <w:top w:val="single" w:sz="8" w:space="0" w:color="000000"/>
              <w:bottom w:val="single" w:sz="8" w:space="0" w:color="000000"/>
            </w:tcBorders>
            <w:shd w:val="clear" w:color="auto" w:fill="auto"/>
            <w:vAlign w:val="center"/>
          </w:tcPr>
          <w:p w:rsidR="00186250" w:rsidRPr="00DE475B" w:rsidRDefault="00186250" w:rsidP="007113B4">
            <w:pPr>
              <w:jc w:val="right"/>
              <w:rPr>
                <w:rFonts w:ascii="Arial" w:hAnsi="Arial" w:cs="Arial"/>
                <w:sz w:val="20"/>
                <w:szCs w:val="20"/>
              </w:rPr>
            </w:pPr>
            <w:r>
              <w:rPr>
                <w:rFonts w:ascii="Arial" w:hAnsi="Arial" w:cs="Arial"/>
                <w:sz w:val="20"/>
                <w:szCs w:val="20"/>
              </w:rPr>
              <w:t>15,251</w:t>
            </w:r>
          </w:p>
        </w:tc>
        <w:tc>
          <w:tcPr>
            <w:tcW w:w="979" w:type="dxa"/>
            <w:gridSpan w:val="2"/>
            <w:tcBorders>
              <w:top w:val="single" w:sz="8" w:space="0" w:color="000000"/>
              <w:bottom w:val="single" w:sz="8" w:space="0" w:color="000000"/>
            </w:tcBorders>
            <w:shd w:val="clear" w:color="auto" w:fill="auto"/>
            <w:vAlign w:val="center"/>
          </w:tcPr>
          <w:p w:rsidR="00186250" w:rsidRPr="00DE475B" w:rsidRDefault="00186250" w:rsidP="007113B4">
            <w:pPr>
              <w:jc w:val="right"/>
              <w:rPr>
                <w:rFonts w:ascii="Arial" w:hAnsi="Arial" w:cs="Arial"/>
                <w:sz w:val="20"/>
                <w:szCs w:val="20"/>
              </w:rPr>
            </w:pPr>
            <w:r w:rsidRPr="00DE475B">
              <w:rPr>
                <w:rFonts w:ascii="Arial" w:hAnsi="Arial" w:cs="Arial"/>
                <w:sz w:val="20"/>
                <w:szCs w:val="20"/>
              </w:rPr>
              <w:t>14,083</w:t>
            </w:r>
          </w:p>
        </w:tc>
      </w:tr>
      <w:tr w:rsidR="00186250" w:rsidRPr="00DE475B" w:rsidTr="00186250">
        <w:trPr>
          <w:trHeight w:val="285"/>
        </w:trPr>
        <w:tc>
          <w:tcPr>
            <w:tcW w:w="270" w:type="dxa"/>
            <w:shd w:val="clear" w:color="auto" w:fill="auto"/>
            <w:vAlign w:val="bottom"/>
          </w:tcPr>
          <w:p w:rsidR="00186250" w:rsidRPr="00DE475B" w:rsidRDefault="00186250">
            <w:pPr>
              <w:snapToGrid w:val="0"/>
              <w:rPr>
                <w:rFonts w:ascii="Arial" w:hAnsi="Arial" w:cs="Arial"/>
                <w:b/>
                <w:bCs/>
                <w:sz w:val="20"/>
                <w:szCs w:val="20"/>
              </w:rPr>
            </w:pPr>
          </w:p>
        </w:tc>
        <w:tc>
          <w:tcPr>
            <w:tcW w:w="326" w:type="dxa"/>
            <w:shd w:val="clear" w:color="auto" w:fill="auto"/>
            <w:vAlign w:val="bottom"/>
          </w:tcPr>
          <w:p w:rsidR="00186250" w:rsidRPr="00DE475B" w:rsidRDefault="00186250">
            <w:pPr>
              <w:snapToGrid w:val="0"/>
              <w:rPr>
                <w:rFonts w:ascii="Arial" w:hAnsi="Arial" w:cs="Arial"/>
                <w:sz w:val="20"/>
                <w:szCs w:val="20"/>
              </w:rPr>
            </w:pPr>
          </w:p>
        </w:tc>
        <w:tc>
          <w:tcPr>
            <w:tcW w:w="1085" w:type="dxa"/>
            <w:shd w:val="clear" w:color="auto" w:fill="auto"/>
            <w:vAlign w:val="bottom"/>
          </w:tcPr>
          <w:p w:rsidR="00186250" w:rsidRPr="00DE475B" w:rsidRDefault="00186250">
            <w:pPr>
              <w:snapToGrid w:val="0"/>
              <w:rPr>
                <w:rFonts w:ascii="Arial" w:hAnsi="Arial" w:cs="Arial"/>
                <w:sz w:val="20"/>
                <w:szCs w:val="20"/>
              </w:rPr>
            </w:pPr>
          </w:p>
        </w:tc>
        <w:tc>
          <w:tcPr>
            <w:tcW w:w="924" w:type="dxa"/>
            <w:gridSpan w:val="3"/>
            <w:shd w:val="clear" w:color="auto" w:fill="auto"/>
            <w:vAlign w:val="bottom"/>
          </w:tcPr>
          <w:p w:rsidR="00186250" w:rsidRPr="00DE475B" w:rsidRDefault="00186250">
            <w:pPr>
              <w:snapToGrid w:val="0"/>
              <w:rPr>
                <w:rFonts w:ascii="Arial" w:hAnsi="Arial" w:cs="Arial"/>
                <w:sz w:val="20"/>
                <w:szCs w:val="20"/>
              </w:rPr>
            </w:pPr>
          </w:p>
        </w:tc>
        <w:tc>
          <w:tcPr>
            <w:tcW w:w="1382" w:type="dxa"/>
            <w:shd w:val="clear" w:color="auto" w:fill="auto"/>
            <w:vAlign w:val="bottom"/>
          </w:tcPr>
          <w:p w:rsidR="00186250" w:rsidRPr="00DE475B" w:rsidRDefault="00186250">
            <w:pPr>
              <w:snapToGrid w:val="0"/>
              <w:rPr>
                <w:rFonts w:ascii="Arial" w:hAnsi="Arial" w:cs="Arial"/>
                <w:sz w:val="20"/>
                <w:szCs w:val="20"/>
              </w:rPr>
            </w:pPr>
          </w:p>
        </w:tc>
        <w:tc>
          <w:tcPr>
            <w:tcW w:w="921" w:type="dxa"/>
            <w:shd w:val="clear" w:color="auto" w:fill="auto"/>
            <w:vAlign w:val="center"/>
          </w:tcPr>
          <w:p w:rsidR="00186250" w:rsidRPr="00DE475B" w:rsidRDefault="00186250" w:rsidP="00085548">
            <w:pPr>
              <w:snapToGrid w:val="0"/>
              <w:jc w:val="center"/>
              <w:rPr>
                <w:rFonts w:ascii="Arial" w:hAnsi="Arial" w:cs="Arial"/>
                <w:b/>
                <w:bCs/>
                <w:sz w:val="20"/>
                <w:szCs w:val="20"/>
              </w:rPr>
            </w:pPr>
          </w:p>
        </w:tc>
        <w:tc>
          <w:tcPr>
            <w:tcW w:w="970" w:type="dxa"/>
            <w:shd w:val="clear" w:color="auto" w:fill="auto"/>
            <w:vAlign w:val="bottom"/>
          </w:tcPr>
          <w:p w:rsidR="00186250" w:rsidRPr="00DE475B" w:rsidRDefault="00186250">
            <w:pPr>
              <w:snapToGrid w:val="0"/>
              <w:rPr>
                <w:rFonts w:ascii="Arial" w:hAnsi="Arial" w:cs="Arial"/>
                <w:sz w:val="20"/>
                <w:szCs w:val="20"/>
              </w:rPr>
            </w:pPr>
          </w:p>
        </w:tc>
        <w:tc>
          <w:tcPr>
            <w:tcW w:w="970" w:type="dxa"/>
            <w:shd w:val="clear" w:color="auto" w:fill="auto"/>
            <w:vAlign w:val="bottom"/>
          </w:tcPr>
          <w:p w:rsidR="00186250" w:rsidRPr="00DE475B" w:rsidRDefault="00186250">
            <w:pPr>
              <w:snapToGrid w:val="0"/>
              <w:rPr>
                <w:rFonts w:ascii="Arial" w:hAnsi="Arial" w:cs="Arial"/>
                <w:sz w:val="20"/>
                <w:szCs w:val="20"/>
              </w:rPr>
            </w:pPr>
          </w:p>
        </w:tc>
        <w:tc>
          <w:tcPr>
            <w:tcW w:w="970" w:type="dxa"/>
            <w:shd w:val="clear" w:color="auto" w:fill="auto"/>
            <w:vAlign w:val="bottom"/>
          </w:tcPr>
          <w:p w:rsidR="00186250" w:rsidRPr="00DE475B" w:rsidRDefault="00186250">
            <w:pPr>
              <w:snapToGrid w:val="0"/>
              <w:rPr>
                <w:rFonts w:ascii="Arial" w:hAnsi="Arial" w:cs="Arial"/>
                <w:sz w:val="20"/>
                <w:szCs w:val="20"/>
              </w:rPr>
            </w:pPr>
          </w:p>
        </w:tc>
        <w:tc>
          <w:tcPr>
            <w:tcW w:w="979" w:type="dxa"/>
            <w:gridSpan w:val="2"/>
            <w:shd w:val="clear" w:color="auto" w:fill="auto"/>
            <w:vAlign w:val="bottom"/>
          </w:tcPr>
          <w:p w:rsidR="00186250" w:rsidRPr="00DE475B" w:rsidRDefault="00186250">
            <w:pPr>
              <w:snapToGrid w:val="0"/>
              <w:rPr>
                <w:rFonts w:ascii="Arial" w:hAnsi="Arial" w:cs="Arial"/>
                <w:sz w:val="20"/>
                <w:szCs w:val="20"/>
              </w:rPr>
            </w:pPr>
          </w:p>
        </w:tc>
      </w:tr>
      <w:tr w:rsidR="00186250" w:rsidRPr="00DE475B" w:rsidTr="00186250">
        <w:trPr>
          <w:trHeight w:val="250"/>
        </w:trPr>
        <w:tc>
          <w:tcPr>
            <w:tcW w:w="2605" w:type="dxa"/>
            <w:gridSpan w:val="6"/>
            <w:shd w:val="clear" w:color="auto" w:fill="auto"/>
            <w:vAlign w:val="bottom"/>
          </w:tcPr>
          <w:p w:rsidR="00186250" w:rsidRPr="00DE475B" w:rsidRDefault="00186250">
            <w:pPr>
              <w:rPr>
                <w:rFonts w:ascii="Arial" w:hAnsi="Arial" w:cs="Arial"/>
                <w:sz w:val="20"/>
                <w:szCs w:val="20"/>
              </w:rPr>
            </w:pPr>
            <w:r w:rsidRPr="00DE475B">
              <w:rPr>
                <w:rFonts w:ascii="Arial" w:hAnsi="Arial" w:cs="Arial"/>
                <w:b/>
                <w:bCs/>
                <w:sz w:val="20"/>
                <w:szCs w:val="20"/>
              </w:rPr>
              <w:t>Non-Current Assets</w:t>
            </w:r>
          </w:p>
        </w:tc>
        <w:tc>
          <w:tcPr>
            <w:tcW w:w="1382" w:type="dxa"/>
            <w:shd w:val="clear" w:color="auto" w:fill="auto"/>
            <w:vAlign w:val="bottom"/>
          </w:tcPr>
          <w:p w:rsidR="00186250" w:rsidRPr="00DE475B" w:rsidRDefault="00186250">
            <w:pPr>
              <w:snapToGrid w:val="0"/>
              <w:rPr>
                <w:rFonts w:ascii="Arial" w:hAnsi="Arial" w:cs="Arial"/>
                <w:sz w:val="20"/>
                <w:szCs w:val="20"/>
              </w:rPr>
            </w:pPr>
          </w:p>
        </w:tc>
        <w:tc>
          <w:tcPr>
            <w:tcW w:w="921" w:type="dxa"/>
            <w:shd w:val="clear" w:color="auto" w:fill="auto"/>
            <w:vAlign w:val="center"/>
          </w:tcPr>
          <w:p w:rsidR="00186250" w:rsidRPr="00DE475B" w:rsidRDefault="00186250" w:rsidP="00085548">
            <w:pPr>
              <w:snapToGrid w:val="0"/>
              <w:jc w:val="center"/>
              <w:rPr>
                <w:rFonts w:ascii="Arial" w:hAnsi="Arial" w:cs="Arial"/>
                <w:b/>
                <w:bCs/>
                <w:sz w:val="20"/>
                <w:szCs w:val="20"/>
              </w:rPr>
            </w:pPr>
          </w:p>
        </w:tc>
        <w:tc>
          <w:tcPr>
            <w:tcW w:w="970" w:type="dxa"/>
            <w:shd w:val="clear" w:color="auto" w:fill="auto"/>
            <w:vAlign w:val="bottom"/>
          </w:tcPr>
          <w:p w:rsidR="00186250" w:rsidRPr="00DE475B" w:rsidRDefault="00186250">
            <w:pPr>
              <w:snapToGrid w:val="0"/>
              <w:rPr>
                <w:rFonts w:ascii="Arial" w:hAnsi="Arial" w:cs="Arial"/>
                <w:sz w:val="20"/>
                <w:szCs w:val="20"/>
              </w:rPr>
            </w:pPr>
          </w:p>
        </w:tc>
        <w:tc>
          <w:tcPr>
            <w:tcW w:w="970" w:type="dxa"/>
            <w:shd w:val="clear" w:color="auto" w:fill="auto"/>
            <w:vAlign w:val="bottom"/>
          </w:tcPr>
          <w:p w:rsidR="00186250" w:rsidRPr="00DE475B" w:rsidRDefault="00186250">
            <w:pPr>
              <w:snapToGrid w:val="0"/>
              <w:rPr>
                <w:rFonts w:ascii="Arial" w:hAnsi="Arial" w:cs="Arial"/>
                <w:sz w:val="20"/>
                <w:szCs w:val="20"/>
              </w:rPr>
            </w:pPr>
          </w:p>
        </w:tc>
        <w:tc>
          <w:tcPr>
            <w:tcW w:w="970" w:type="dxa"/>
            <w:shd w:val="clear" w:color="auto" w:fill="auto"/>
            <w:vAlign w:val="bottom"/>
          </w:tcPr>
          <w:p w:rsidR="00186250" w:rsidRPr="00DE475B" w:rsidRDefault="00186250">
            <w:pPr>
              <w:snapToGrid w:val="0"/>
              <w:rPr>
                <w:rFonts w:ascii="Arial" w:hAnsi="Arial" w:cs="Arial"/>
                <w:sz w:val="20"/>
                <w:szCs w:val="20"/>
              </w:rPr>
            </w:pPr>
          </w:p>
        </w:tc>
        <w:tc>
          <w:tcPr>
            <w:tcW w:w="979" w:type="dxa"/>
            <w:gridSpan w:val="2"/>
            <w:shd w:val="clear" w:color="auto" w:fill="auto"/>
            <w:vAlign w:val="bottom"/>
          </w:tcPr>
          <w:p w:rsidR="00186250" w:rsidRPr="00DE475B" w:rsidRDefault="00186250">
            <w:pPr>
              <w:snapToGrid w:val="0"/>
              <w:rPr>
                <w:rFonts w:ascii="Arial" w:hAnsi="Arial" w:cs="Arial"/>
                <w:sz w:val="20"/>
                <w:szCs w:val="20"/>
              </w:rPr>
            </w:pPr>
          </w:p>
        </w:tc>
      </w:tr>
      <w:tr w:rsidR="005E29FA" w:rsidRPr="00DE475B" w:rsidTr="00186250">
        <w:trPr>
          <w:trHeight w:val="250"/>
        </w:trPr>
        <w:tc>
          <w:tcPr>
            <w:tcW w:w="270" w:type="dxa"/>
            <w:shd w:val="clear" w:color="auto" w:fill="auto"/>
            <w:vAlign w:val="bottom"/>
          </w:tcPr>
          <w:p w:rsidR="005E29FA" w:rsidRPr="00DE475B" w:rsidRDefault="005E29FA">
            <w:pPr>
              <w:snapToGrid w:val="0"/>
              <w:rPr>
                <w:rFonts w:ascii="Arial" w:hAnsi="Arial" w:cs="Arial"/>
                <w:b/>
                <w:bCs/>
                <w:sz w:val="20"/>
                <w:szCs w:val="20"/>
              </w:rPr>
            </w:pPr>
          </w:p>
        </w:tc>
        <w:tc>
          <w:tcPr>
            <w:tcW w:w="3717" w:type="dxa"/>
            <w:gridSpan w:val="6"/>
            <w:shd w:val="clear" w:color="auto" w:fill="auto"/>
            <w:vAlign w:val="bottom"/>
          </w:tcPr>
          <w:p w:rsidR="005E29FA" w:rsidRPr="00DE475B" w:rsidRDefault="005E29FA">
            <w:pPr>
              <w:snapToGrid w:val="0"/>
              <w:rPr>
                <w:rFonts w:ascii="Arial" w:hAnsi="Arial" w:cs="Arial"/>
                <w:sz w:val="20"/>
                <w:szCs w:val="20"/>
              </w:rPr>
            </w:pPr>
            <w:r w:rsidRPr="00DE475B">
              <w:rPr>
                <w:rFonts w:ascii="Arial" w:hAnsi="Arial" w:cs="Arial"/>
                <w:sz w:val="20"/>
                <w:szCs w:val="20"/>
              </w:rPr>
              <w:t>Intangible assets</w:t>
            </w:r>
          </w:p>
        </w:tc>
        <w:tc>
          <w:tcPr>
            <w:tcW w:w="921" w:type="dxa"/>
            <w:shd w:val="clear" w:color="auto" w:fill="auto"/>
            <w:vAlign w:val="center"/>
          </w:tcPr>
          <w:p w:rsidR="005E29FA" w:rsidRPr="00DE475B" w:rsidRDefault="005E29FA" w:rsidP="001F1C7C">
            <w:pPr>
              <w:jc w:val="center"/>
              <w:rPr>
                <w:rFonts w:ascii="Arial" w:hAnsi="Arial" w:cs="Arial"/>
                <w:sz w:val="20"/>
                <w:szCs w:val="20"/>
              </w:rPr>
            </w:pPr>
            <w:r w:rsidRPr="00DE475B">
              <w:rPr>
                <w:rFonts w:ascii="Arial" w:hAnsi="Arial" w:cs="Arial"/>
                <w:b/>
                <w:bCs/>
                <w:sz w:val="20"/>
                <w:szCs w:val="20"/>
              </w:rPr>
              <w:t>C3</w:t>
            </w:r>
          </w:p>
        </w:tc>
        <w:tc>
          <w:tcPr>
            <w:tcW w:w="970" w:type="dxa"/>
            <w:shd w:val="clear" w:color="auto" w:fill="auto"/>
            <w:vAlign w:val="center"/>
          </w:tcPr>
          <w:p w:rsidR="005E29FA" w:rsidRPr="00DE475B" w:rsidRDefault="005E29FA" w:rsidP="00214D34">
            <w:pPr>
              <w:jc w:val="right"/>
              <w:rPr>
                <w:rFonts w:ascii="Arial" w:hAnsi="Arial" w:cs="Arial"/>
                <w:sz w:val="20"/>
                <w:szCs w:val="20"/>
              </w:rPr>
            </w:pPr>
            <w:r>
              <w:rPr>
                <w:rFonts w:ascii="Arial" w:hAnsi="Arial" w:cs="Arial"/>
                <w:sz w:val="20"/>
                <w:szCs w:val="20"/>
              </w:rPr>
              <w:t>8,585</w:t>
            </w:r>
          </w:p>
        </w:tc>
        <w:tc>
          <w:tcPr>
            <w:tcW w:w="970" w:type="dxa"/>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 xml:space="preserve">7,663 </w:t>
            </w:r>
          </w:p>
        </w:tc>
        <w:tc>
          <w:tcPr>
            <w:tcW w:w="970" w:type="dxa"/>
            <w:shd w:val="clear" w:color="auto" w:fill="auto"/>
            <w:vAlign w:val="center"/>
          </w:tcPr>
          <w:p w:rsidR="005E29FA" w:rsidRPr="00DE475B" w:rsidRDefault="00747B35" w:rsidP="00214D34">
            <w:pPr>
              <w:jc w:val="right"/>
              <w:rPr>
                <w:rFonts w:ascii="Arial" w:hAnsi="Arial" w:cs="Arial"/>
                <w:sz w:val="20"/>
                <w:szCs w:val="20"/>
              </w:rPr>
            </w:pPr>
            <w:r>
              <w:rPr>
                <w:rFonts w:ascii="Arial" w:hAnsi="Arial" w:cs="Arial"/>
                <w:sz w:val="20"/>
                <w:szCs w:val="20"/>
              </w:rPr>
              <w:t>8,585</w:t>
            </w:r>
          </w:p>
        </w:tc>
        <w:tc>
          <w:tcPr>
            <w:tcW w:w="979" w:type="dxa"/>
            <w:gridSpan w:val="2"/>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 xml:space="preserve">7,663 </w:t>
            </w:r>
          </w:p>
        </w:tc>
      </w:tr>
      <w:tr w:rsidR="005E29FA" w:rsidRPr="00DE475B" w:rsidTr="00186250">
        <w:trPr>
          <w:trHeight w:val="250"/>
        </w:trPr>
        <w:tc>
          <w:tcPr>
            <w:tcW w:w="270" w:type="dxa"/>
            <w:shd w:val="clear" w:color="auto" w:fill="auto"/>
            <w:vAlign w:val="bottom"/>
          </w:tcPr>
          <w:p w:rsidR="005E29FA" w:rsidRPr="00DE475B" w:rsidRDefault="005E29FA">
            <w:pPr>
              <w:snapToGrid w:val="0"/>
              <w:rPr>
                <w:rFonts w:ascii="Arial" w:hAnsi="Arial" w:cs="Arial"/>
                <w:b/>
                <w:bCs/>
                <w:sz w:val="20"/>
                <w:szCs w:val="20"/>
              </w:rPr>
            </w:pPr>
          </w:p>
        </w:tc>
        <w:tc>
          <w:tcPr>
            <w:tcW w:w="3717" w:type="dxa"/>
            <w:gridSpan w:val="6"/>
            <w:shd w:val="clear" w:color="auto" w:fill="auto"/>
            <w:vAlign w:val="bottom"/>
          </w:tcPr>
          <w:p w:rsidR="005E29FA" w:rsidRPr="00DE475B" w:rsidRDefault="005E29FA">
            <w:pPr>
              <w:rPr>
                <w:rFonts w:ascii="Arial" w:hAnsi="Arial" w:cs="Arial"/>
                <w:b/>
                <w:bCs/>
                <w:sz w:val="20"/>
                <w:szCs w:val="20"/>
              </w:rPr>
            </w:pPr>
            <w:r w:rsidRPr="00DE475B">
              <w:rPr>
                <w:rFonts w:ascii="Arial" w:hAnsi="Arial" w:cs="Arial"/>
                <w:sz w:val="20"/>
                <w:szCs w:val="20"/>
              </w:rPr>
              <w:t>Property, plant and equipment</w:t>
            </w:r>
          </w:p>
        </w:tc>
        <w:tc>
          <w:tcPr>
            <w:tcW w:w="921" w:type="dxa"/>
            <w:shd w:val="clear" w:color="auto" w:fill="auto"/>
            <w:vAlign w:val="center"/>
          </w:tcPr>
          <w:p w:rsidR="005E29FA" w:rsidRPr="00DE475B" w:rsidRDefault="005E29FA" w:rsidP="00085548">
            <w:pPr>
              <w:jc w:val="center"/>
              <w:rPr>
                <w:rFonts w:ascii="Arial" w:hAnsi="Arial" w:cs="Arial"/>
                <w:sz w:val="20"/>
                <w:szCs w:val="20"/>
              </w:rPr>
            </w:pPr>
            <w:r w:rsidRPr="00DE475B">
              <w:rPr>
                <w:rFonts w:ascii="Arial" w:hAnsi="Arial" w:cs="Arial"/>
                <w:b/>
                <w:bCs/>
                <w:sz w:val="20"/>
                <w:szCs w:val="20"/>
              </w:rPr>
              <w:t>C4</w:t>
            </w:r>
          </w:p>
        </w:tc>
        <w:tc>
          <w:tcPr>
            <w:tcW w:w="970" w:type="dxa"/>
            <w:shd w:val="clear" w:color="auto" w:fill="auto"/>
            <w:vAlign w:val="center"/>
          </w:tcPr>
          <w:p w:rsidR="005E29FA" w:rsidRPr="00DE475B" w:rsidRDefault="005E29FA" w:rsidP="00214D34">
            <w:pPr>
              <w:jc w:val="right"/>
              <w:rPr>
                <w:rFonts w:ascii="Arial" w:hAnsi="Arial" w:cs="Arial"/>
                <w:sz w:val="20"/>
                <w:szCs w:val="20"/>
              </w:rPr>
            </w:pPr>
            <w:r>
              <w:rPr>
                <w:rFonts w:ascii="Arial" w:hAnsi="Arial" w:cs="Arial"/>
                <w:sz w:val="20"/>
                <w:szCs w:val="20"/>
              </w:rPr>
              <w:t>123,254</w:t>
            </w:r>
          </w:p>
        </w:tc>
        <w:tc>
          <w:tcPr>
            <w:tcW w:w="970" w:type="dxa"/>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 xml:space="preserve">106,176 </w:t>
            </w:r>
          </w:p>
        </w:tc>
        <w:tc>
          <w:tcPr>
            <w:tcW w:w="970" w:type="dxa"/>
            <w:shd w:val="clear" w:color="auto" w:fill="auto"/>
            <w:vAlign w:val="center"/>
          </w:tcPr>
          <w:p w:rsidR="005E29FA" w:rsidRPr="00DE475B" w:rsidRDefault="00747B35" w:rsidP="00214D34">
            <w:pPr>
              <w:jc w:val="right"/>
              <w:rPr>
                <w:rFonts w:ascii="Arial" w:hAnsi="Arial" w:cs="Arial"/>
                <w:sz w:val="20"/>
                <w:szCs w:val="20"/>
              </w:rPr>
            </w:pPr>
            <w:r>
              <w:rPr>
                <w:rFonts w:ascii="Arial" w:hAnsi="Arial" w:cs="Arial"/>
                <w:sz w:val="20"/>
                <w:szCs w:val="20"/>
              </w:rPr>
              <w:t>123,254</w:t>
            </w:r>
          </w:p>
        </w:tc>
        <w:tc>
          <w:tcPr>
            <w:tcW w:w="979" w:type="dxa"/>
            <w:gridSpan w:val="2"/>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 xml:space="preserve">106,176 </w:t>
            </w:r>
          </w:p>
        </w:tc>
      </w:tr>
      <w:tr w:rsidR="00186250" w:rsidRPr="00DE475B" w:rsidTr="00186250">
        <w:trPr>
          <w:trHeight w:val="117"/>
        </w:trPr>
        <w:tc>
          <w:tcPr>
            <w:tcW w:w="270" w:type="dxa"/>
            <w:shd w:val="clear" w:color="auto" w:fill="auto"/>
            <w:vAlign w:val="bottom"/>
          </w:tcPr>
          <w:p w:rsidR="00186250" w:rsidRPr="00DE475B" w:rsidRDefault="00186250">
            <w:pPr>
              <w:snapToGrid w:val="0"/>
              <w:rPr>
                <w:rFonts w:ascii="Arial" w:hAnsi="Arial" w:cs="Arial"/>
                <w:b/>
                <w:bCs/>
                <w:sz w:val="20"/>
                <w:szCs w:val="20"/>
              </w:rPr>
            </w:pPr>
          </w:p>
        </w:tc>
        <w:tc>
          <w:tcPr>
            <w:tcW w:w="326" w:type="dxa"/>
            <w:shd w:val="clear" w:color="auto" w:fill="auto"/>
            <w:vAlign w:val="bottom"/>
          </w:tcPr>
          <w:p w:rsidR="00186250" w:rsidRPr="00DE475B" w:rsidRDefault="00186250">
            <w:pPr>
              <w:snapToGrid w:val="0"/>
              <w:rPr>
                <w:rFonts w:ascii="Arial" w:hAnsi="Arial" w:cs="Arial"/>
                <w:sz w:val="20"/>
                <w:szCs w:val="20"/>
              </w:rPr>
            </w:pPr>
          </w:p>
        </w:tc>
        <w:tc>
          <w:tcPr>
            <w:tcW w:w="1085" w:type="dxa"/>
            <w:shd w:val="clear" w:color="auto" w:fill="auto"/>
            <w:vAlign w:val="bottom"/>
          </w:tcPr>
          <w:p w:rsidR="00186250" w:rsidRPr="00DE475B" w:rsidRDefault="00186250">
            <w:pPr>
              <w:snapToGrid w:val="0"/>
              <w:rPr>
                <w:rFonts w:ascii="Arial" w:hAnsi="Arial" w:cs="Arial"/>
                <w:sz w:val="20"/>
                <w:szCs w:val="20"/>
              </w:rPr>
            </w:pPr>
          </w:p>
        </w:tc>
        <w:tc>
          <w:tcPr>
            <w:tcW w:w="924" w:type="dxa"/>
            <w:gridSpan w:val="3"/>
            <w:shd w:val="clear" w:color="auto" w:fill="auto"/>
            <w:vAlign w:val="bottom"/>
          </w:tcPr>
          <w:p w:rsidR="00186250" w:rsidRPr="00DE475B" w:rsidRDefault="00186250">
            <w:pPr>
              <w:snapToGrid w:val="0"/>
              <w:rPr>
                <w:rFonts w:ascii="Arial" w:hAnsi="Arial" w:cs="Arial"/>
                <w:sz w:val="20"/>
                <w:szCs w:val="20"/>
              </w:rPr>
            </w:pPr>
          </w:p>
        </w:tc>
        <w:tc>
          <w:tcPr>
            <w:tcW w:w="1382" w:type="dxa"/>
            <w:shd w:val="clear" w:color="auto" w:fill="auto"/>
            <w:vAlign w:val="bottom"/>
          </w:tcPr>
          <w:p w:rsidR="00186250" w:rsidRPr="00DE475B" w:rsidRDefault="00186250">
            <w:pPr>
              <w:snapToGrid w:val="0"/>
              <w:rPr>
                <w:rFonts w:ascii="Arial" w:hAnsi="Arial" w:cs="Arial"/>
                <w:sz w:val="20"/>
                <w:szCs w:val="20"/>
              </w:rPr>
            </w:pPr>
          </w:p>
        </w:tc>
        <w:tc>
          <w:tcPr>
            <w:tcW w:w="921" w:type="dxa"/>
            <w:shd w:val="clear" w:color="auto" w:fill="auto"/>
            <w:vAlign w:val="center"/>
          </w:tcPr>
          <w:p w:rsidR="00186250" w:rsidRPr="00DE475B" w:rsidRDefault="00186250" w:rsidP="00085548">
            <w:pPr>
              <w:snapToGrid w:val="0"/>
              <w:jc w:val="center"/>
              <w:rPr>
                <w:rFonts w:ascii="Arial" w:hAnsi="Arial" w:cs="Arial"/>
                <w:b/>
                <w:bCs/>
                <w:sz w:val="20"/>
                <w:szCs w:val="20"/>
              </w:rPr>
            </w:pPr>
          </w:p>
        </w:tc>
        <w:tc>
          <w:tcPr>
            <w:tcW w:w="970" w:type="dxa"/>
            <w:tcBorders>
              <w:bottom w:val="single" w:sz="4" w:space="0" w:color="000000"/>
            </w:tcBorders>
            <w:shd w:val="clear" w:color="auto" w:fill="auto"/>
            <w:vAlign w:val="center"/>
          </w:tcPr>
          <w:p w:rsidR="00186250" w:rsidRPr="00DE475B" w:rsidRDefault="00186250" w:rsidP="00214D34">
            <w:pPr>
              <w:jc w:val="right"/>
              <w:rPr>
                <w:rFonts w:ascii="Arial" w:hAnsi="Arial" w:cs="Arial"/>
                <w:sz w:val="20"/>
                <w:szCs w:val="20"/>
              </w:rPr>
            </w:pPr>
            <w:r w:rsidRPr="00DE475B">
              <w:rPr>
                <w:rFonts w:ascii="Arial" w:hAnsi="Arial" w:cs="Arial"/>
                <w:sz w:val="20"/>
                <w:szCs w:val="20"/>
              </w:rPr>
              <w:t> </w:t>
            </w:r>
          </w:p>
        </w:tc>
        <w:tc>
          <w:tcPr>
            <w:tcW w:w="970" w:type="dxa"/>
            <w:tcBorders>
              <w:bottom w:val="single" w:sz="4" w:space="0" w:color="000000"/>
            </w:tcBorders>
            <w:shd w:val="clear" w:color="auto" w:fill="auto"/>
            <w:vAlign w:val="center"/>
          </w:tcPr>
          <w:p w:rsidR="00186250" w:rsidRPr="00DE475B" w:rsidRDefault="00186250" w:rsidP="00214D34">
            <w:pPr>
              <w:jc w:val="right"/>
              <w:rPr>
                <w:rFonts w:ascii="Arial" w:hAnsi="Arial" w:cs="Arial"/>
                <w:sz w:val="20"/>
                <w:szCs w:val="20"/>
              </w:rPr>
            </w:pPr>
            <w:r w:rsidRPr="00DE475B">
              <w:rPr>
                <w:rFonts w:ascii="Arial" w:hAnsi="Arial" w:cs="Arial"/>
                <w:sz w:val="20"/>
                <w:szCs w:val="20"/>
              </w:rPr>
              <w:t> </w:t>
            </w:r>
          </w:p>
        </w:tc>
        <w:tc>
          <w:tcPr>
            <w:tcW w:w="970" w:type="dxa"/>
            <w:tcBorders>
              <w:bottom w:val="single" w:sz="4" w:space="0" w:color="000000"/>
            </w:tcBorders>
            <w:shd w:val="clear" w:color="auto" w:fill="auto"/>
            <w:vAlign w:val="center"/>
          </w:tcPr>
          <w:p w:rsidR="00186250" w:rsidRPr="00DE475B" w:rsidRDefault="00186250" w:rsidP="00214D34">
            <w:pPr>
              <w:jc w:val="right"/>
              <w:rPr>
                <w:rFonts w:ascii="Arial" w:hAnsi="Arial" w:cs="Arial"/>
                <w:sz w:val="20"/>
                <w:szCs w:val="20"/>
              </w:rPr>
            </w:pPr>
            <w:r w:rsidRPr="00DE475B">
              <w:rPr>
                <w:rFonts w:ascii="Arial" w:hAnsi="Arial" w:cs="Arial"/>
                <w:sz w:val="20"/>
                <w:szCs w:val="20"/>
              </w:rPr>
              <w:t> </w:t>
            </w:r>
          </w:p>
        </w:tc>
        <w:tc>
          <w:tcPr>
            <w:tcW w:w="979" w:type="dxa"/>
            <w:gridSpan w:val="2"/>
            <w:tcBorders>
              <w:bottom w:val="single" w:sz="4" w:space="0" w:color="000000"/>
            </w:tcBorders>
            <w:shd w:val="clear" w:color="auto" w:fill="auto"/>
            <w:vAlign w:val="center"/>
          </w:tcPr>
          <w:p w:rsidR="00186250" w:rsidRPr="00DE475B" w:rsidRDefault="00186250" w:rsidP="00214D34">
            <w:pPr>
              <w:jc w:val="right"/>
              <w:rPr>
                <w:rFonts w:ascii="Arial" w:hAnsi="Arial" w:cs="Arial"/>
                <w:b/>
                <w:bCs/>
                <w:sz w:val="20"/>
                <w:szCs w:val="20"/>
              </w:rPr>
            </w:pPr>
            <w:r w:rsidRPr="00DE475B">
              <w:rPr>
                <w:rFonts w:ascii="Arial" w:hAnsi="Arial" w:cs="Arial"/>
                <w:sz w:val="20"/>
                <w:szCs w:val="20"/>
              </w:rPr>
              <w:t> </w:t>
            </w:r>
          </w:p>
        </w:tc>
      </w:tr>
      <w:tr w:rsidR="005E29FA" w:rsidRPr="00DE475B" w:rsidTr="00186250">
        <w:trPr>
          <w:trHeight w:val="250"/>
        </w:trPr>
        <w:tc>
          <w:tcPr>
            <w:tcW w:w="3987" w:type="dxa"/>
            <w:gridSpan w:val="7"/>
            <w:shd w:val="clear" w:color="auto" w:fill="auto"/>
            <w:vAlign w:val="bottom"/>
          </w:tcPr>
          <w:p w:rsidR="005E29FA" w:rsidRPr="00DE475B" w:rsidRDefault="005E29FA">
            <w:pPr>
              <w:rPr>
                <w:rFonts w:ascii="Arial" w:hAnsi="Arial" w:cs="Arial"/>
                <w:b/>
                <w:bCs/>
                <w:sz w:val="20"/>
                <w:szCs w:val="20"/>
              </w:rPr>
            </w:pPr>
            <w:r w:rsidRPr="00DE475B">
              <w:rPr>
                <w:rFonts w:ascii="Arial" w:hAnsi="Arial" w:cs="Arial"/>
                <w:b/>
                <w:bCs/>
                <w:sz w:val="20"/>
                <w:szCs w:val="20"/>
              </w:rPr>
              <w:t>Total Non-Current Assets</w:t>
            </w:r>
          </w:p>
        </w:tc>
        <w:tc>
          <w:tcPr>
            <w:tcW w:w="921" w:type="dxa"/>
            <w:shd w:val="clear" w:color="auto" w:fill="auto"/>
            <w:vAlign w:val="center"/>
          </w:tcPr>
          <w:p w:rsidR="005E29FA" w:rsidRPr="00DE475B" w:rsidRDefault="005E29FA" w:rsidP="00085548">
            <w:pPr>
              <w:snapToGrid w:val="0"/>
              <w:jc w:val="center"/>
              <w:rPr>
                <w:rFonts w:ascii="Arial" w:hAnsi="Arial" w:cs="Arial"/>
                <w:b/>
                <w:bCs/>
                <w:sz w:val="20"/>
                <w:szCs w:val="20"/>
              </w:rPr>
            </w:pPr>
          </w:p>
        </w:tc>
        <w:tc>
          <w:tcPr>
            <w:tcW w:w="970" w:type="dxa"/>
            <w:tcBorders>
              <w:top w:val="single" w:sz="8" w:space="0" w:color="000000"/>
            </w:tcBorders>
            <w:shd w:val="clear" w:color="auto" w:fill="auto"/>
            <w:vAlign w:val="center"/>
          </w:tcPr>
          <w:p w:rsidR="005E29FA" w:rsidRPr="00DE475B" w:rsidRDefault="005E29FA" w:rsidP="00214D34">
            <w:pPr>
              <w:jc w:val="right"/>
              <w:rPr>
                <w:rFonts w:ascii="Arial" w:hAnsi="Arial" w:cs="Arial"/>
                <w:sz w:val="20"/>
                <w:szCs w:val="20"/>
              </w:rPr>
            </w:pPr>
            <w:r>
              <w:rPr>
                <w:rFonts w:ascii="Arial" w:hAnsi="Arial" w:cs="Arial"/>
                <w:sz w:val="20"/>
                <w:szCs w:val="20"/>
              </w:rPr>
              <w:t>131,839</w:t>
            </w:r>
          </w:p>
        </w:tc>
        <w:tc>
          <w:tcPr>
            <w:tcW w:w="970" w:type="dxa"/>
            <w:tcBorders>
              <w:top w:val="single" w:sz="8" w:space="0" w:color="000000"/>
            </w:tcBorders>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113,839</w:t>
            </w:r>
          </w:p>
        </w:tc>
        <w:tc>
          <w:tcPr>
            <w:tcW w:w="970" w:type="dxa"/>
            <w:tcBorders>
              <w:top w:val="single" w:sz="8" w:space="0" w:color="000000"/>
            </w:tcBorders>
            <w:shd w:val="clear" w:color="auto" w:fill="auto"/>
            <w:vAlign w:val="center"/>
          </w:tcPr>
          <w:p w:rsidR="005E29FA" w:rsidRPr="00DE475B" w:rsidRDefault="00747B35" w:rsidP="007113B4">
            <w:pPr>
              <w:jc w:val="right"/>
              <w:rPr>
                <w:rFonts w:ascii="Arial" w:hAnsi="Arial" w:cs="Arial"/>
                <w:sz w:val="20"/>
                <w:szCs w:val="20"/>
              </w:rPr>
            </w:pPr>
            <w:r>
              <w:rPr>
                <w:rFonts w:ascii="Arial" w:hAnsi="Arial" w:cs="Arial"/>
                <w:sz w:val="20"/>
                <w:szCs w:val="20"/>
              </w:rPr>
              <w:t>131,839</w:t>
            </w:r>
          </w:p>
        </w:tc>
        <w:tc>
          <w:tcPr>
            <w:tcW w:w="979" w:type="dxa"/>
            <w:gridSpan w:val="2"/>
            <w:tcBorders>
              <w:top w:val="single" w:sz="8" w:space="0" w:color="000000"/>
            </w:tcBorders>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113,839</w:t>
            </w:r>
          </w:p>
        </w:tc>
      </w:tr>
      <w:tr w:rsidR="005E29FA" w:rsidRPr="00DE475B" w:rsidTr="00186250">
        <w:trPr>
          <w:trHeight w:val="108"/>
        </w:trPr>
        <w:tc>
          <w:tcPr>
            <w:tcW w:w="270" w:type="dxa"/>
            <w:shd w:val="clear" w:color="auto" w:fill="auto"/>
            <w:vAlign w:val="bottom"/>
          </w:tcPr>
          <w:p w:rsidR="005E29FA" w:rsidRPr="00DE475B" w:rsidRDefault="005E29FA">
            <w:pPr>
              <w:snapToGrid w:val="0"/>
              <w:rPr>
                <w:rFonts w:ascii="Arial" w:hAnsi="Arial" w:cs="Arial"/>
                <w:b/>
                <w:bCs/>
                <w:sz w:val="20"/>
                <w:szCs w:val="20"/>
              </w:rPr>
            </w:pPr>
          </w:p>
        </w:tc>
        <w:tc>
          <w:tcPr>
            <w:tcW w:w="326" w:type="dxa"/>
            <w:shd w:val="clear" w:color="auto" w:fill="auto"/>
            <w:vAlign w:val="bottom"/>
          </w:tcPr>
          <w:p w:rsidR="005E29FA" w:rsidRPr="00DE475B" w:rsidRDefault="005E29FA">
            <w:pPr>
              <w:snapToGrid w:val="0"/>
              <w:rPr>
                <w:rFonts w:ascii="Arial" w:hAnsi="Arial" w:cs="Arial"/>
                <w:sz w:val="20"/>
                <w:szCs w:val="20"/>
              </w:rPr>
            </w:pPr>
          </w:p>
        </w:tc>
        <w:tc>
          <w:tcPr>
            <w:tcW w:w="1085" w:type="dxa"/>
            <w:shd w:val="clear" w:color="auto" w:fill="auto"/>
            <w:vAlign w:val="bottom"/>
          </w:tcPr>
          <w:p w:rsidR="005E29FA" w:rsidRPr="00DE475B" w:rsidRDefault="005E29FA">
            <w:pPr>
              <w:snapToGrid w:val="0"/>
              <w:rPr>
                <w:rFonts w:ascii="Arial" w:hAnsi="Arial" w:cs="Arial"/>
                <w:sz w:val="20"/>
                <w:szCs w:val="20"/>
              </w:rPr>
            </w:pPr>
          </w:p>
        </w:tc>
        <w:tc>
          <w:tcPr>
            <w:tcW w:w="924" w:type="dxa"/>
            <w:gridSpan w:val="3"/>
            <w:shd w:val="clear" w:color="auto" w:fill="auto"/>
            <w:vAlign w:val="bottom"/>
          </w:tcPr>
          <w:p w:rsidR="005E29FA" w:rsidRPr="00DE475B" w:rsidRDefault="005E29FA">
            <w:pPr>
              <w:snapToGrid w:val="0"/>
              <w:rPr>
                <w:rFonts w:ascii="Arial" w:hAnsi="Arial" w:cs="Arial"/>
                <w:sz w:val="20"/>
                <w:szCs w:val="20"/>
              </w:rPr>
            </w:pPr>
          </w:p>
        </w:tc>
        <w:tc>
          <w:tcPr>
            <w:tcW w:w="1382" w:type="dxa"/>
            <w:shd w:val="clear" w:color="auto" w:fill="auto"/>
            <w:vAlign w:val="bottom"/>
          </w:tcPr>
          <w:p w:rsidR="005E29FA" w:rsidRPr="00DE475B" w:rsidRDefault="005E29FA">
            <w:pPr>
              <w:snapToGrid w:val="0"/>
              <w:rPr>
                <w:rFonts w:ascii="Arial" w:hAnsi="Arial" w:cs="Arial"/>
                <w:sz w:val="20"/>
                <w:szCs w:val="20"/>
              </w:rPr>
            </w:pPr>
          </w:p>
        </w:tc>
        <w:tc>
          <w:tcPr>
            <w:tcW w:w="921" w:type="dxa"/>
            <w:shd w:val="clear" w:color="auto" w:fill="auto"/>
            <w:vAlign w:val="center"/>
          </w:tcPr>
          <w:p w:rsidR="005E29FA" w:rsidRPr="00DE475B" w:rsidRDefault="005E29FA" w:rsidP="00085548">
            <w:pPr>
              <w:snapToGrid w:val="0"/>
              <w:jc w:val="center"/>
              <w:rPr>
                <w:rFonts w:ascii="Arial" w:hAnsi="Arial" w:cs="Arial"/>
                <w:b/>
                <w:bCs/>
                <w:sz w:val="20"/>
                <w:szCs w:val="20"/>
              </w:rPr>
            </w:pPr>
          </w:p>
        </w:tc>
        <w:tc>
          <w:tcPr>
            <w:tcW w:w="970" w:type="dxa"/>
            <w:tcBorders>
              <w:bottom w:val="single" w:sz="8" w:space="0" w:color="000000"/>
            </w:tcBorders>
            <w:shd w:val="clear" w:color="auto" w:fill="auto"/>
            <w:vAlign w:val="center"/>
          </w:tcPr>
          <w:p w:rsidR="005E29FA" w:rsidRPr="00DE475B" w:rsidRDefault="005E29FA" w:rsidP="00214D34">
            <w:pPr>
              <w:snapToGrid w:val="0"/>
              <w:jc w:val="right"/>
              <w:rPr>
                <w:rFonts w:ascii="Arial" w:hAnsi="Arial" w:cs="Arial"/>
                <w:sz w:val="20"/>
                <w:szCs w:val="20"/>
              </w:rPr>
            </w:pPr>
          </w:p>
        </w:tc>
        <w:tc>
          <w:tcPr>
            <w:tcW w:w="970" w:type="dxa"/>
            <w:tcBorders>
              <w:bottom w:val="single" w:sz="8" w:space="0" w:color="000000"/>
            </w:tcBorders>
            <w:shd w:val="clear" w:color="auto" w:fill="auto"/>
            <w:vAlign w:val="center"/>
          </w:tcPr>
          <w:p w:rsidR="005E29FA" w:rsidRPr="00DE475B" w:rsidRDefault="005E29FA" w:rsidP="00214D34">
            <w:pPr>
              <w:snapToGrid w:val="0"/>
              <w:jc w:val="right"/>
              <w:rPr>
                <w:rFonts w:ascii="Arial" w:hAnsi="Arial" w:cs="Arial"/>
                <w:sz w:val="20"/>
                <w:szCs w:val="20"/>
              </w:rPr>
            </w:pPr>
          </w:p>
        </w:tc>
        <w:tc>
          <w:tcPr>
            <w:tcW w:w="970" w:type="dxa"/>
            <w:tcBorders>
              <w:bottom w:val="single" w:sz="8" w:space="0" w:color="000000"/>
            </w:tcBorders>
            <w:shd w:val="clear" w:color="auto" w:fill="auto"/>
            <w:vAlign w:val="center"/>
          </w:tcPr>
          <w:p w:rsidR="005E29FA" w:rsidRPr="00DE475B" w:rsidRDefault="005E29FA" w:rsidP="00214D34">
            <w:pPr>
              <w:snapToGrid w:val="0"/>
              <w:jc w:val="right"/>
              <w:rPr>
                <w:rFonts w:ascii="Arial" w:hAnsi="Arial" w:cs="Arial"/>
                <w:sz w:val="20"/>
                <w:szCs w:val="20"/>
              </w:rPr>
            </w:pPr>
          </w:p>
        </w:tc>
        <w:tc>
          <w:tcPr>
            <w:tcW w:w="979" w:type="dxa"/>
            <w:gridSpan w:val="2"/>
            <w:tcBorders>
              <w:bottom w:val="single" w:sz="8" w:space="0" w:color="000000"/>
            </w:tcBorders>
            <w:shd w:val="clear" w:color="auto" w:fill="auto"/>
            <w:vAlign w:val="center"/>
          </w:tcPr>
          <w:p w:rsidR="005E29FA" w:rsidRPr="00DE475B" w:rsidRDefault="005E29FA" w:rsidP="00214D34">
            <w:pPr>
              <w:snapToGrid w:val="0"/>
              <w:jc w:val="right"/>
              <w:rPr>
                <w:rFonts w:ascii="Arial" w:hAnsi="Arial" w:cs="Arial"/>
                <w:sz w:val="20"/>
                <w:szCs w:val="20"/>
              </w:rPr>
            </w:pPr>
          </w:p>
        </w:tc>
      </w:tr>
      <w:tr w:rsidR="005E29FA" w:rsidRPr="00DE475B" w:rsidTr="00186250">
        <w:trPr>
          <w:trHeight w:val="447"/>
        </w:trPr>
        <w:tc>
          <w:tcPr>
            <w:tcW w:w="1681" w:type="dxa"/>
            <w:gridSpan w:val="3"/>
            <w:shd w:val="clear" w:color="auto" w:fill="auto"/>
            <w:vAlign w:val="center"/>
          </w:tcPr>
          <w:p w:rsidR="005E29FA" w:rsidRPr="00DE475B" w:rsidRDefault="005E29FA" w:rsidP="00DC063B">
            <w:pPr>
              <w:rPr>
                <w:rFonts w:ascii="Arial" w:hAnsi="Arial" w:cs="Arial"/>
                <w:sz w:val="20"/>
                <w:szCs w:val="20"/>
              </w:rPr>
            </w:pPr>
            <w:r w:rsidRPr="00DE475B">
              <w:rPr>
                <w:rFonts w:ascii="Arial" w:hAnsi="Arial" w:cs="Arial"/>
                <w:b/>
                <w:bCs/>
                <w:sz w:val="20"/>
                <w:szCs w:val="20"/>
              </w:rPr>
              <w:t>Total Assets</w:t>
            </w:r>
          </w:p>
        </w:tc>
        <w:tc>
          <w:tcPr>
            <w:tcW w:w="924" w:type="dxa"/>
            <w:gridSpan w:val="3"/>
            <w:shd w:val="clear" w:color="auto" w:fill="auto"/>
            <w:vAlign w:val="center"/>
          </w:tcPr>
          <w:p w:rsidR="005E29FA" w:rsidRPr="00DE475B" w:rsidRDefault="005E29FA" w:rsidP="00DC063B">
            <w:pPr>
              <w:snapToGrid w:val="0"/>
              <w:rPr>
                <w:rFonts w:ascii="Arial" w:hAnsi="Arial" w:cs="Arial"/>
                <w:sz w:val="20"/>
                <w:szCs w:val="20"/>
              </w:rPr>
            </w:pPr>
          </w:p>
        </w:tc>
        <w:tc>
          <w:tcPr>
            <w:tcW w:w="1382" w:type="dxa"/>
            <w:shd w:val="clear" w:color="auto" w:fill="auto"/>
            <w:vAlign w:val="center"/>
          </w:tcPr>
          <w:p w:rsidR="005E29FA" w:rsidRPr="00DE475B" w:rsidRDefault="005E29FA" w:rsidP="00DC063B">
            <w:pPr>
              <w:snapToGrid w:val="0"/>
              <w:rPr>
                <w:rFonts w:ascii="Arial" w:hAnsi="Arial" w:cs="Arial"/>
                <w:sz w:val="20"/>
                <w:szCs w:val="20"/>
              </w:rPr>
            </w:pPr>
          </w:p>
        </w:tc>
        <w:tc>
          <w:tcPr>
            <w:tcW w:w="921" w:type="dxa"/>
            <w:shd w:val="clear" w:color="auto" w:fill="auto"/>
            <w:vAlign w:val="center"/>
          </w:tcPr>
          <w:p w:rsidR="005E29FA" w:rsidRPr="00DE475B" w:rsidRDefault="005E29FA" w:rsidP="00085548">
            <w:pPr>
              <w:snapToGrid w:val="0"/>
              <w:jc w:val="center"/>
              <w:rPr>
                <w:rFonts w:ascii="Arial" w:hAnsi="Arial" w:cs="Arial"/>
                <w:b/>
                <w:bCs/>
                <w:sz w:val="20"/>
                <w:szCs w:val="20"/>
              </w:rPr>
            </w:pPr>
          </w:p>
        </w:tc>
        <w:tc>
          <w:tcPr>
            <w:tcW w:w="970" w:type="dxa"/>
            <w:tcBorders>
              <w:bottom w:val="single" w:sz="8" w:space="0" w:color="000000"/>
            </w:tcBorders>
            <w:shd w:val="clear" w:color="auto" w:fill="auto"/>
            <w:vAlign w:val="center"/>
          </w:tcPr>
          <w:p w:rsidR="005E29FA" w:rsidRPr="00DE475B" w:rsidRDefault="005E29FA" w:rsidP="00214D34">
            <w:pPr>
              <w:jc w:val="right"/>
              <w:rPr>
                <w:rFonts w:ascii="Arial" w:hAnsi="Arial" w:cs="Arial"/>
                <w:sz w:val="20"/>
                <w:szCs w:val="20"/>
              </w:rPr>
            </w:pPr>
            <w:r>
              <w:rPr>
                <w:rFonts w:ascii="Arial" w:hAnsi="Arial" w:cs="Arial"/>
                <w:sz w:val="20"/>
                <w:szCs w:val="20"/>
              </w:rPr>
              <w:t>152,839</w:t>
            </w:r>
          </w:p>
        </w:tc>
        <w:tc>
          <w:tcPr>
            <w:tcW w:w="970" w:type="dxa"/>
            <w:tcBorders>
              <w:bottom w:val="single" w:sz="8" w:space="0" w:color="000000"/>
            </w:tcBorders>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133,529</w:t>
            </w:r>
          </w:p>
        </w:tc>
        <w:tc>
          <w:tcPr>
            <w:tcW w:w="970" w:type="dxa"/>
            <w:tcBorders>
              <w:bottom w:val="single" w:sz="8" w:space="0" w:color="000000"/>
            </w:tcBorders>
            <w:shd w:val="clear" w:color="auto" w:fill="auto"/>
            <w:vAlign w:val="center"/>
          </w:tcPr>
          <w:p w:rsidR="005E29FA" w:rsidRPr="00DE475B" w:rsidRDefault="00747B35" w:rsidP="007113B4">
            <w:pPr>
              <w:jc w:val="right"/>
              <w:rPr>
                <w:rFonts w:ascii="Arial" w:hAnsi="Arial" w:cs="Arial"/>
                <w:sz w:val="20"/>
                <w:szCs w:val="20"/>
              </w:rPr>
            </w:pPr>
            <w:r>
              <w:rPr>
                <w:rFonts w:ascii="Arial" w:hAnsi="Arial" w:cs="Arial"/>
                <w:sz w:val="20"/>
                <w:szCs w:val="20"/>
              </w:rPr>
              <w:t>147,090</w:t>
            </w:r>
          </w:p>
        </w:tc>
        <w:tc>
          <w:tcPr>
            <w:tcW w:w="979" w:type="dxa"/>
            <w:gridSpan w:val="2"/>
            <w:tcBorders>
              <w:bottom w:val="single" w:sz="8" w:space="0" w:color="000000"/>
            </w:tcBorders>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127,922</w:t>
            </w:r>
          </w:p>
        </w:tc>
      </w:tr>
      <w:tr w:rsidR="005E29FA" w:rsidRPr="00DE475B" w:rsidTr="00186250">
        <w:trPr>
          <w:trHeight w:val="273"/>
        </w:trPr>
        <w:tc>
          <w:tcPr>
            <w:tcW w:w="270" w:type="dxa"/>
            <w:shd w:val="clear" w:color="auto" w:fill="auto"/>
            <w:vAlign w:val="bottom"/>
          </w:tcPr>
          <w:p w:rsidR="005E29FA" w:rsidRPr="00DE475B" w:rsidRDefault="005E29FA">
            <w:pPr>
              <w:snapToGrid w:val="0"/>
              <w:rPr>
                <w:rFonts w:ascii="Arial" w:hAnsi="Arial" w:cs="Arial"/>
                <w:b/>
                <w:bCs/>
                <w:sz w:val="20"/>
                <w:szCs w:val="20"/>
              </w:rPr>
            </w:pPr>
          </w:p>
        </w:tc>
        <w:tc>
          <w:tcPr>
            <w:tcW w:w="326" w:type="dxa"/>
            <w:shd w:val="clear" w:color="auto" w:fill="auto"/>
            <w:vAlign w:val="bottom"/>
          </w:tcPr>
          <w:p w:rsidR="005E29FA" w:rsidRPr="00DE475B" w:rsidRDefault="005E29FA">
            <w:pPr>
              <w:snapToGrid w:val="0"/>
              <w:rPr>
                <w:rFonts w:ascii="Arial" w:hAnsi="Arial" w:cs="Arial"/>
                <w:sz w:val="20"/>
                <w:szCs w:val="20"/>
              </w:rPr>
            </w:pPr>
          </w:p>
        </w:tc>
        <w:tc>
          <w:tcPr>
            <w:tcW w:w="1085" w:type="dxa"/>
            <w:shd w:val="clear" w:color="auto" w:fill="auto"/>
            <w:vAlign w:val="bottom"/>
          </w:tcPr>
          <w:p w:rsidR="005E29FA" w:rsidRPr="00DE475B" w:rsidRDefault="005E29FA">
            <w:pPr>
              <w:snapToGrid w:val="0"/>
              <w:rPr>
                <w:rFonts w:ascii="Arial" w:hAnsi="Arial" w:cs="Arial"/>
                <w:sz w:val="20"/>
                <w:szCs w:val="20"/>
              </w:rPr>
            </w:pPr>
          </w:p>
        </w:tc>
        <w:tc>
          <w:tcPr>
            <w:tcW w:w="924" w:type="dxa"/>
            <w:gridSpan w:val="3"/>
            <w:shd w:val="clear" w:color="auto" w:fill="auto"/>
            <w:vAlign w:val="bottom"/>
          </w:tcPr>
          <w:p w:rsidR="005E29FA" w:rsidRPr="00DE475B" w:rsidRDefault="005E29FA">
            <w:pPr>
              <w:snapToGrid w:val="0"/>
              <w:rPr>
                <w:rFonts w:ascii="Arial" w:hAnsi="Arial" w:cs="Arial"/>
                <w:sz w:val="20"/>
                <w:szCs w:val="20"/>
              </w:rPr>
            </w:pPr>
          </w:p>
        </w:tc>
        <w:tc>
          <w:tcPr>
            <w:tcW w:w="1382" w:type="dxa"/>
            <w:shd w:val="clear" w:color="auto" w:fill="auto"/>
            <w:vAlign w:val="bottom"/>
          </w:tcPr>
          <w:p w:rsidR="005E29FA" w:rsidRPr="00DE475B" w:rsidRDefault="005E29FA">
            <w:pPr>
              <w:snapToGrid w:val="0"/>
              <w:rPr>
                <w:rFonts w:ascii="Arial" w:hAnsi="Arial" w:cs="Arial"/>
                <w:sz w:val="20"/>
                <w:szCs w:val="20"/>
              </w:rPr>
            </w:pPr>
          </w:p>
        </w:tc>
        <w:tc>
          <w:tcPr>
            <w:tcW w:w="921" w:type="dxa"/>
            <w:shd w:val="clear" w:color="auto" w:fill="auto"/>
            <w:vAlign w:val="center"/>
          </w:tcPr>
          <w:p w:rsidR="005E29FA" w:rsidRPr="00DE475B" w:rsidRDefault="005E29FA" w:rsidP="00085548">
            <w:pPr>
              <w:snapToGrid w:val="0"/>
              <w:jc w:val="center"/>
              <w:rPr>
                <w:rFonts w:ascii="Arial" w:hAnsi="Arial" w:cs="Arial"/>
                <w:b/>
                <w:bCs/>
                <w:sz w:val="20"/>
                <w:szCs w:val="20"/>
              </w:rPr>
            </w:pPr>
          </w:p>
        </w:tc>
        <w:tc>
          <w:tcPr>
            <w:tcW w:w="970" w:type="dxa"/>
            <w:shd w:val="clear" w:color="auto" w:fill="auto"/>
            <w:vAlign w:val="bottom"/>
          </w:tcPr>
          <w:p w:rsidR="005E29FA" w:rsidRPr="00DE475B" w:rsidRDefault="005E29FA">
            <w:pPr>
              <w:snapToGrid w:val="0"/>
              <w:rPr>
                <w:rFonts w:ascii="Arial" w:hAnsi="Arial" w:cs="Arial"/>
                <w:sz w:val="20"/>
                <w:szCs w:val="20"/>
              </w:rPr>
            </w:pPr>
          </w:p>
        </w:tc>
        <w:tc>
          <w:tcPr>
            <w:tcW w:w="970" w:type="dxa"/>
            <w:shd w:val="clear" w:color="auto" w:fill="auto"/>
            <w:vAlign w:val="bottom"/>
          </w:tcPr>
          <w:p w:rsidR="005E29FA" w:rsidRPr="00DE475B" w:rsidRDefault="005E29FA">
            <w:pPr>
              <w:snapToGrid w:val="0"/>
              <w:rPr>
                <w:rFonts w:ascii="Arial" w:hAnsi="Arial" w:cs="Arial"/>
                <w:sz w:val="20"/>
                <w:szCs w:val="20"/>
              </w:rPr>
            </w:pPr>
          </w:p>
        </w:tc>
        <w:tc>
          <w:tcPr>
            <w:tcW w:w="970" w:type="dxa"/>
            <w:shd w:val="clear" w:color="auto" w:fill="auto"/>
            <w:vAlign w:val="bottom"/>
          </w:tcPr>
          <w:p w:rsidR="005E29FA" w:rsidRPr="00DE475B" w:rsidRDefault="005E29FA">
            <w:pPr>
              <w:snapToGrid w:val="0"/>
              <w:rPr>
                <w:rFonts w:ascii="Arial" w:hAnsi="Arial" w:cs="Arial"/>
                <w:sz w:val="20"/>
                <w:szCs w:val="20"/>
              </w:rPr>
            </w:pPr>
          </w:p>
        </w:tc>
        <w:tc>
          <w:tcPr>
            <w:tcW w:w="979" w:type="dxa"/>
            <w:gridSpan w:val="2"/>
            <w:shd w:val="clear" w:color="auto" w:fill="auto"/>
            <w:vAlign w:val="bottom"/>
          </w:tcPr>
          <w:p w:rsidR="005E29FA" w:rsidRPr="00DE475B" w:rsidRDefault="005E29FA">
            <w:pPr>
              <w:snapToGrid w:val="0"/>
              <w:rPr>
                <w:rFonts w:ascii="Arial" w:hAnsi="Arial" w:cs="Arial"/>
                <w:sz w:val="20"/>
                <w:szCs w:val="20"/>
              </w:rPr>
            </w:pPr>
          </w:p>
        </w:tc>
      </w:tr>
      <w:tr w:rsidR="005E29FA" w:rsidRPr="00DE475B" w:rsidTr="00186250">
        <w:trPr>
          <w:trHeight w:val="250"/>
        </w:trPr>
        <w:tc>
          <w:tcPr>
            <w:tcW w:w="2605" w:type="dxa"/>
            <w:gridSpan w:val="6"/>
            <w:shd w:val="clear" w:color="auto" w:fill="auto"/>
            <w:vAlign w:val="bottom"/>
          </w:tcPr>
          <w:p w:rsidR="005E29FA" w:rsidRPr="00DE475B" w:rsidRDefault="005E29FA">
            <w:pPr>
              <w:rPr>
                <w:rFonts w:ascii="Arial" w:hAnsi="Arial" w:cs="Arial"/>
                <w:sz w:val="20"/>
                <w:szCs w:val="20"/>
              </w:rPr>
            </w:pPr>
            <w:r w:rsidRPr="00DE475B">
              <w:rPr>
                <w:rFonts w:ascii="Arial" w:hAnsi="Arial" w:cs="Arial"/>
                <w:b/>
                <w:bCs/>
                <w:sz w:val="20"/>
                <w:szCs w:val="20"/>
              </w:rPr>
              <w:t>Current Liabilities</w:t>
            </w:r>
          </w:p>
        </w:tc>
        <w:tc>
          <w:tcPr>
            <w:tcW w:w="1382" w:type="dxa"/>
            <w:shd w:val="clear" w:color="auto" w:fill="auto"/>
            <w:vAlign w:val="bottom"/>
          </w:tcPr>
          <w:p w:rsidR="005E29FA" w:rsidRPr="00DE475B" w:rsidRDefault="005E29FA">
            <w:pPr>
              <w:snapToGrid w:val="0"/>
              <w:rPr>
                <w:rFonts w:ascii="Arial" w:hAnsi="Arial" w:cs="Arial"/>
                <w:sz w:val="20"/>
                <w:szCs w:val="20"/>
              </w:rPr>
            </w:pPr>
          </w:p>
        </w:tc>
        <w:tc>
          <w:tcPr>
            <w:tcW w:w="921" w:type="dxa"/>
            <w:shd w:val="clear" w:color="auto" w:fill="auto"/>
            <w:vAlign w:val="center"/>
          </w:tcPr>
          <w:p w:rsidR="005E29FA" w:rsidRPr="00DE475B" w:rsidRDefault="005E29FA" w:rsidP="00085548">
            <w:pPr>
              <w:snapToGrid w:val="0"/>
              <w:jc w:val="center"/>
              <w:rPr>
                <w:rFonts w:ascii="Arial" w:hAnsi="Arial" w:cs="Arial"/>
                <w:b/>
                <w:bCs/>
                <w:sz w:val="20"/>
                <w:szCs w:val="20"/>
              </w:rPr>
            </w:pPr>
          </w:p>
        </w:tc>
        <w:tc>
          <w:tcPr>
            <w:tcW w:w="970" w:type="dxa"/>
            <w:shd w:val="clear" w:color="auto" w:fill="auto"/>
            <w:vAlign w:val="bottom"/>
          </w:tcPr>
          <w:p w:rsidR="005E29FA" w:rsidRPr="00DE475B" w:rsidRDefault="005E29FA">
            <w:pPr>
              <w:snapToGrid w:val="0"/>
              <w:rPr>
                <w:rFonts w:ascii="Arial" w:hAnsi="Arial" w:cs="Arial"/>
                <w:sz w:val="20"/>
                <w:szCs w:val="20"/>
              </w:rPr>
            </w:pPr>
          </w:p>
        </w:tc>
        <w:tc>
          <w:tcPr>
            <w:tcW w:w="970" w:type="dxa"/>
            <w:shd w:val="clear" w:color="auto" w:fill="auto"/>
            <w:vAlign w:val="bottom"/>
          </w:tcPr>
          <w:p w:rsidR="005E29FA" w:rsidRPr="00DE475B" w:rsidRDefault="005E29FA">
            <w:pPr>
              <w:snapToGrid w:val="0"/>
              <w:rPr>
                <w:rFonts w:ascii="Arial" w:hAnsi="Arial" w:cs="Arial"/>
                <w:sz w:val="20"/>
                <w:szCs w:val="20"/>
              </w:rPr>
            </w:pPr>
          </w:p>
        </w:tc>
        <w:tc>
          <w:tcPr>
            <w:tcW w:w="970" w:type="dxa"/>
            <w:shd w:val="clear" w:color="auto" w:fill="auto"/>
            <w:vAlign w:val="bottom"/>
          </w:tcPr>
          <w:p w:rsidR="005E29FA" w:rsidRPr="00DE475B" w:rsidRDefault="005E29FA">
            <w:pPr>
              <w:snapToGrid w:val="0"/>
              <w:rPr>
                <w:rFonts w:ascii="Arial" w:hAnsi="Arial" w:cs="Arial"/>
                <w:sz w:val="20"/>
                <w:szCs w:val="20"/>
              </w:rPr>
            </w:pPr>
          </w:p>
        </w:tc>
        <w:tc>
          <w:tcPr>
            <w:tcW w:w="979" w:type="dxa"/>
            <w:gridSpan w:val="2"/>
            <w:shd w:val="clear" w:color="auto" w:fill="auto"/>
            <w:vAlign w:val="bottom"/>
          </w:tcPr>
          <w:p w:rsidR="005E29FA" w:rsidRPr="00DE475B" w:rsidRDefault="005E29FA">
            <w:pPr>
              <w:snapToGrid w:val="0"/>
              <w:rPr>
                <w:rFonts w:ascii="Arial" w:hAnsi="Arial" w:cs="Arial"/>
                <w:sz w:val="20"/>
                <w:szCs w:val="20"/>
              </w:rPr>
            </w:pPr>
          </w:p>
        </w:tc>
      </w:tr>
      <w:tr w:rsidR="005E29FA" w:rsidRPr="00DE475B" w:rsidTr="00186250">
        <w:trPr>
          <w:trHeight w:val="250"/>
        </w:trPr>
        <w:tc>
          <w:tcPr>
            <w:tcW w:w="270" w:type="dxa"/>
            <w:shd w:val="clear" w:color="auto" w:fill="auto"/>
            <w:vAlign w:val="bottom"/>
          </w:tcPr>
          <w:p w:rsidR="005E29FA" w:rsidRPr="00DE475B" w:rsidRDefault="005E29FA">
            <w:pPr>
              <w:snapToGrid w:val="0"/>
              <w:rPr>
                <w:rFonts w:ascii="Arial" w:hAnsi="Arial" w:cs="Arial"/>
                <w:b/>
                <w:bCs/>
                <w:sz w:val="20"/>
                <w:szCs w:val="20"/>
              </w:rPr>
            </w:pPr>
          </w:p>
        </w:tc>
        <w:tc>
          <w:tcPr>
            <w:tcW w:w="3717" w:type="dxa"/>
            <w:gridSpan w:val="6"/>
            <w:shd w:val="clear" w:color="auto" w:fill="auto"/>
            <w:vAlign w:val="bottom"/>
          </w:tcPr>
          <w:p w:rsidR="005E29FA" w:rsidRPr="00DE475B" w:rsidRDefault="005E29FA">
            <w:pPr>
              <w:snapToGrid w:val="0"/>
              <w:rPr>
                <w:rFonts w:ascii="Arial" w:hAnsi="Arial" w:cs="Arial"/>
                <w:sz w:val="20"/>
                <w:szCs w:val="20"/>
              </w:rPr>
            </w:pPr>
            <w:r w:rsidRPr="00DE475B">
              <w:rPr>
                <w:rFonts w:ascii="Arial" w:hAnsi="Arial" w:cs="Arial"/>
                <w:sz w:val="20"/>
                <w:szCs w:val="20"/>
              </w:rPr>
              <w:t>Payables</w:t>
            </w:r>
          </w:p>
        </w:tc>
        <w:tc>
          <w:tcPr>
            <w:tcW w:w="921" w:type="dxa"/>
            <w:shd w:val="clear" w:color="auto" w:fill="auto"/>
            <w:vAlign w:val="center"/>
          </w:tcPr>
          <w:p w:rsidR="005E29FA" w:rsidRPr="00DE475B" w:rsidRDefault="005E29FA" w:rsidP="00085548">
            <w:pPr>
              <w:jc w:val="center"/>
              <w:rPr>
                <w:rFonts w:ascii="Arial" w:hAnsi="Arial" w:cs="Arial"/>
                <w:sz w:val="20"/>
                <w:szCs w:val="20"/>
              </w:rPr>
            </w:pPr>
            <w:r w:rsidRPr="00DE475B">
              <w:rPr>
                <w:rFonts w:ascii="Arial" w:hAnsi="Arial" w:cs="Arial"/>
                <w:b/>
                <w:bCs/>
                <w:sz w:val="20"/>
                <w:szCs w:val="20"/>
              </w:rPr>
              <w:t>C5</w:t>
            </w:r>
          </w:p>
        </w:tc>
        <w:tc>
          <w:tcPr>
            <w:tcW w:w="970" w:type="dxa"/>
            <w:shd w:val="clear" w:color="auto" w:fill="auto"/>
            <w:vAlign w:val="center"/>
          </w:tcPr>
          <w:p w:rsidR="005E29FA" w:rsidRPr="00DE475B" w:rsidRDefault="005E29FA" w:rsidP="00D30B5C">
            <w:pPr>
              <w:jc w:val="right"/>
              <w:rPr>
                <w:rFonts w:ascii="Arial" w:hAnsi="Arial" w:cs="Arial"/>
                <w:sz w:val="20"/>
                <w:szCs w:val="20"/>
              </w:rPr>
            </w:pPr>
            <w:r>
              <w:rPr>
                <w:rFonts w:ascii="Arial" w:hAnsi="Arial" w:cs="Arial"/>
                <w:sz w:val="20"/>
                <w:szCs w:val="20"/>
              </w:rPr>
              <w:t>1,578</w:t>
            </w:r>
          </w:p>
        </w:tc>
        <w:tc>
          <w:tcPr>
            <w:tcW w:w="970" w:type="dxa"/>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 xml:space="preserve">1,681 </w:t>
            </w:r>
          </w:p>
        </w:tc>
        <w:tc>
          <w:tcPr>
            <w:tcW w:w="970" w:type="dxa"/>
            <w:shd w:val="clear" w:color="auto" w:fill="auto"/>
            <w:vAlign w:val="center"/>
          </w:tcPr>
          <w:p w:rsidR="005E29FA" w:rsidRPr="00DE475B" w:rsidRDefault="00747B35" w:rsidP="007113B4">
            <w:pPr>
              <w:jc w:val="right"/>
              <w:rPr>
                <w:rFonts w:ascii="Arial" w:hAnsi="Arial" w:cs="Arial"/>
                <w:sz w:val="20"/>
                <w:szCs w:val="20"/>
              </w:rPr>
            </w:pPr>
            <w:r>
              <w:rPr>
                <w:rFonts w:ascii="Arial" w:hAnsi="Arial" w:cs="Arial"/>
                <w:sz w:val="20"/>
                <w:szCs w:val="20"/>
              </w:rPr>
              <w:t>1,624</w:t>
            </w:r>
          </w:p>
        </w:tc>
        <w:tc>
          <w:tcPr>
            <w:tcW w:w="979" w:type="dxa"/>
            <w:gridSpan w:val="2"/>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 xml:space="preserve">1,675 </w:t>
            </w:r>
          </w:p>
        </w:tc>
      </w:tr>
      <w:tr w:rsidR="005E29FA" w:rsidRPr="00DE475B" w:rsidTr="00186250">
        <w:trPr>
          <w:trHeight w:val="250"/>
        </w:trPr>
        <w:tc>
          <w:tcPr>
            <w:tcW w:w="270" w:type="dxa"/>
            <w:shd w:val="clear" w:color="auto" w:fill="auto"/>
            <w:vAlign w:val="bottom"/>
          </w:tcPr>
          <w:p w:rsidR="005E29FA" w:rsidRPr="00DE475B" w:rsidRDefault="005E29FA">
            <w:pPr>
              <w:snapToGrid w:val="0"/>
              <w:rPr>
                <w:rFonts w:ascii="Arial" w:hAnsi="Arial" w:cs="Arial"/>
                <w:b/>
                <w:bCs/>
                <w:sz w:val="20"/>
                <w:szCs w:val="20"/>
              </w:rPr>
            </w:pPr>
          </w:p>
        </w:tc>
        <w:tc>
          <w:tcPr>
            <w:tcW w:w="3717" w:type="dxa"/>
            <w:gridSpan w:val="6"/>
            <w:shd w:val="clear" w:color="auto" w:fill="auto"/>
            <w:vAlign w:val="bottom"/>
          </w:tcPr>
          <w:p w:rsidR="005E29FA" w:rsidRPr="00DE475B" w:rsidRDefault="005E29FA">
            <w:pPr>
              <w:rPr>
                <w:rFonts w:ascii="Arial" w:hAnsi="Arial" w:cs="Arial"/>
                <w:b/>
                <w:bCs/>
                <w:sz w:val="20"/>
                <w:szCs w:val="20"/>
              </w:rPr>
            </w:pPr>
            <w:r w:rsidRPr="00DE475B">
              <w:rPr>
                <w:rFonts w:ascii="Arial" w:hAnsi="Arial" w:cs="Arial"/>
                <w:sz w:val="20"/>
                <w:szCs w:val="20"/>
              </w:rPr>
              <w:t>Accrued employee benefits</w:t>
            </w:r>
          </w:p>
        </w:tc>
        <w:tc>
          <w:tcPr>
            <w:tcW w:w="921" w:type="dxa"/>
            <w:shd w:val="clear" w:color="auto" w:fill="auto"/>
            <w:vAlign w:val="center"/>
          </w:tcPr>
          <w:p w:rsidR="005E29FA" w:rsidRPr="00DE475B" w:rsidRDefault="005E29FA" w:rsidP="00085548">
            <w:pPr>
              <w:jc w:val="center"/>
              <w:rPr>
                <w:rFonts w:ascii="Arial" w:hAnsi="Arial" w:cs="Arial"/>
                <w:sz w:val="20"/>
                <w:szCs w:val="20"/>
              </w:rPr>
            </w:pPr>
            <w:r w:rsidRPr="00DE475B">
              <w:rPr>
                <w:rFonts w:ascii="Arial" w:hAnsi="Arial" w:cs="Arial"/>
                <w:b/>
                <w:bCs/>
                <w:sz w:val="20"/>
                <w:szCs w:val="20"/>
              </w:rPr>
              <w:t>C6</w:t>
            </w:r>
          </w:p>
        </w:tc>
        <w:tc>
          <w:tcPr>
            <w:tcW w:w="970" w:type="dxa"/>
            <w:shd w:val="clear" w:color="auto" w:fill="auto"/>
            <w:vAlign w:val="center"/>
          </w:tcPr>
          <w:p w:rsidR="005E29FA" w:rsidRPr="00DE475B" w:rsidRDefault="005E29FA" w:rsidP="00D30B5C">
            <w:pPr>
              <w:jc w:val="right"/>
              <w:rPr>
                <w:rFonts w:ascii="Arial" w:hAnsi="Arial" w:cs="Arial"/>
                <w:sz w:val="20"/>
                <w:szCs w:val="20"/>
              </w:rPr>
            </w:pPr>
            <w:r>
              <w:rPr>
                <w:rFonts w:ascii="Arial" w:hAnsi="Arial" w:cs="Arial"/>
                <w:sz w:val="20"/>
                <w:szCs w:val="20"/>
              </w:rPr>
              <w:t>2,746</w:t>
            </w:r>
          </w:p>
        </w:tc>
        <w:tc>
          <w:tcPr>
            <w:tcW w:w="970" w:type="dxa"/>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 xml:space="preserve">2,758 </w:t>
            </w:r>
          </w:p>
        </w:tc>
        <w:tc>
          <w:tcPr>
            <w:tcW w:w="970" w:type="dxa"/>
            <w:shd w:val="clear" w:color="auto" w:fill="auto"/>
            <w:vAlign w:val="center"/>
          </w:tcPr>
          <w:p w:rsidR="005E29FA" w:rsidRPr="00DE475B" w:rsidRDefault="00747B35" w:rsidP="007113B4">
            <w:pPr>
              <w:jc w:val="right"/>
              <w:rPr>
                <w:rFonts w:ascii="Arial" w:hAnsi="Arial" w:cs="Arial"/>
                <w:sz w:val="20"/>
                <w:szCs w:val="20"/>
              </w:rPr>
            </w:pPr>
            <w:r>
              <w:rPr>
                <w:rFonts w:ascii="Arial" w:hAnsi="Arial" w:cs="Arial"/>
                <w:sz w:val="20"/>
                <w:szCs w:val="20"/>
              </w:rPr>
              <w:t>2,746</w:t>
            </w:r>
          </w:p>
        </w:tc>
        <w:tc>
          <w:tcPr>
            <w:tcW w:w="979" w:type="dxa"/>
            <w:gridSpan w:val="2"/>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 xml:space="preserve">2,758 </w:t>
            </w:r>
          </w:p>
        </w:tc>
      </w:tr>
      <w:tr w:rsidR="005E29FA" w:rsidRPr="00DE475B" w:rsidTr="00186250">
        <w:trPr>
          <w:gridAfter w:val="1"/>
          <w:wAfter w:w="9" w:type="dxa"/>
          <w:trHeight w:val="250"/>
        </w:trPr>
        <w:tc>
          <w:tcPr>
            <w:tcW w:w="270" w:type="dxa"/>
            <w:shd w:val="clear" w:color="auto" w:fill="auto"/>
            <w:vAlign w:val="bottom"/>
          </w:tcPr>
          <w:p w:rsidR="005E29FA" w:rsidRPr="00DE475B" w:rsidRDefault="005E29FA">
            <w:pPr>
              <w:snapToGrid w:val="0"/>
              <w:rPr>
                <w:rFonts w:ascii="Arial" w:hAnsi="Arial" w:cs="Arial"/>
                <w:b/>
                <w:bCs/>
                <w:sz w:val="20"/>
                <w:szCs w:val="20"/>
              </w:rPr>
            </w:pPr>
          </w:p>
        </w:tc>
        <w:tc>
          <w:tcPr>
            <w:tcW w:w="3717" w:type="dxa"/>
            <w:gridSpan w:val="6"/>
            <w:shd w:val="clear" w:color="auto" w:fill="auto"/>
            <w:vAlign w:val="bottom"/>
          </w:tcPr>
          <w:p w:rsidR="005E29FA" w:rsidRPr="00DE475B" w:rsidRDefault="005E29FA">
            <w:pPr>
              <w:snapToGrid w:val="0"/>
              <w:rPr>
                <w:rFonts w:ascii="Arial" w:hAnsi="Arial" w:cs="Arial"/>
                <w:sz w:val="20"/>
                <w:szCs w:val="20"/>
              </w:rPr>
            </w:pPr>
            <w:r w:rsidRPr="00DE475B">
              <w:rPr>
                <w:rFonts w:ascii="Arial" w:hAnsi="Arial" w:cs="Arial"/>
                <w:sz w:val="20"/>
                <w:szCs w:val="20"/>
              </w:rPr>
              <w:t>Unearned revenue</w:t>
            </w:r>
          </w:p>
        </w:tc>
        <w:tc>
          <w:tcPr>
            <w:tcW w:w="921" w:type="dxa"/>
            <w:shd w:val="clear" w:color="auto" w:fill="auto"/>
            <w:vAlign w:val="center"/>
          </w:tcPr>
          <w:p w:rsidR="005E29FA" w:rsidRPr="00DE475B" w:rsidRDefault="005E29FA" w:rsidP="00085548">
            <w:pPr>
              <w:jc w:val="center"/>
              <w:rPr>
                <w:rFonts w:ascii="Arial" w:hAnsi="Arial" w:cs="Arial"/>
                <w:sz w:val="20"/>
                <w:szCs w:val="20"/>
              </w:rPr>
            </w:pPr>
          </w:p>
        </w:tc>
        <w:tc>
          <w:tcPr>
            <w:tcW w:w="970" w:type="dxa"/>
            <w:shd w:val="clear" w:color="auto" w:fill="auto"/>
            <w:vAlign w:val="center"/>
          </w:tcPr>
          <w:p w:rsidR="005E29FA" w:rsidRPr="00DE475B" w:rsidRDefault="005E29FA" w:rsidP="00D30B5C">
            <w:pPr>
              <w:jc w:val="right"/>
              <w:rPr>
                <w:rFonts w:ascii="Arial" w:hAnsi="Arial" w:cs="Arial"/>
                <w:sz w:val="20"/>
                <w:szCs w:val="20"/>
              </w:rPr>
            </w:pPr>
            <w:r>
              <w:rPr>
                <w:rFonts w:ascii="Arial" w:hAnsi="Arial" w:cs="Arial"/>
                <w:sz w:val="20"/>
                <w:szCs w:val="20"/>
              </w:rPr>
              <w:t>153</w:t>
            </w:r>
          </w:p>
        </w:tc>
        <w:tc>
          <w:tcPr>
            <w:tcW w:w="970" w:type="dxa"/>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 xml:space="preserve">313 </w:t>
            </w:r>
          </w:p>
        </w:tc>
        <w:tc>
          <w:tcPr>
            <w:tcW w:w="970" w:type="dxa"/>
            <w:shd w:val="clear" w:color="auto" w:fill="auto"/>
            <w:vAlign w:val="center"/>
          </w:tcPr>
          <w:p w:rsidR="005E29FA" w:rsidRPr="00DE475B" w:rsidRDefault="00747B35" w:rsidP="007113B4">
            <w:pPr>
              <w:jc w:val="right"/>
              <w:rPr>
                <w:rFonts w:ascii="Arial" w:hAnsi="Arial" w:cs="Arial"/>
                <w:sz w:val="20"/>
                <w:szCs w:val="20"/>
              </w:rPr>
            </w:pPr>
            <w:r>
              <w:rPr>
                <w:rFonts w:ascii="Arial" w:hAnsi="Arial" w:cs="Arial"/>
                <w:sz w:val="20"/>
                <w:szCs w:val="20"/>
              </w:rPr>
              <w:t>153</w:t>
            </w:r>
          </w:p>
        </w:tc>
        <w:tc>
          <w:tcPr>
            <w:tcW w:w="970" w:type="dxa"/>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 xml:space="preserve">313 </w:t>
            </w:r>
          </w:p>
        </w:tc>
      </w:tr>
      <w:tr w:rsidR="005E29FA" w:rsidRPr="00DE475B" w:rsidTr="00186250">
        <w:trPr>
          <w:gridAfter w:val="1"/>
          <w:wAfter w:w="9" w:type="dxa"/>
          <w:trHeight w:val="117"/>
        </w:trPr>
        <w:tc>
          <w:tcPr>
            <w:tcW w:w="1687" w:type="dxa"/>
            <w:gridSpan w:val="4"/>
            <w:shd w:val="clear" w:color="auto" w:fill="auto"/>
            <w:vAlign w:val="bottom"/>
          </w:tcPr>
          <w:p w:rsidR="005E29FA" w:rsidRPr="00DE475B" w:rsidRDefault="005E29FA">
            <w:pPr>
              <w:snapToGrid w:val="0"/>
              <w:rPr>
                <w:rFonts w:ascii="Arial" w:hAnsi="Arial" w:cs="Arial"/>
                <w:sz w:val="20"/>
                <w:szCs w:val="20"/>
              </w:rPr>
            </w:pPr>
          </w:p>
        </w:tc>
        <w:tc>
          <w:tcPr>
            <w:tcW w:w="918" w:type="dxa"/>
            <w:gridSpan w:val="2"/>
            <w:shd w:val="clear" w:color="auto" w:fill="auto"/>
            <w:vAlign w:val="bottom"/>
          </w:tcPr>
          <w:p w:rsidR="005E29FA" w:rsidRPr="00DE475B" w:rsidRDefault="005E29FA">
            <w:pPr>
              <w:snapToGrid w:val="0"/>
              <w:rPr>
                <w:rFonts w:ascii="Arial" w:hAnsi="Arial" w:cs="Arial"/>
                <w:sz w:val="20"/>
                <w:szCs w:val="20"/>
              </w:rPr>
            </w:pPr>
          </w:p>
        </w:tc>
        <w:tc>
          <w:tcPr>
            <w:tcW w:w="1382" w:type="dxa"/>
            <w:shd w:val="clear" w:color="auto" w:fill="auto"/>
            <w:vAlign w:val="bottom"/>
          </w:tcPr>
          <w:p w:rsidR="005E29FA" w:rsidRPr="00DE475B" w:rsidRDefault="005E29FA">
            <w:pPr>
              <w:snapToGrid w:val="0"/>
              <w:rPr>
                <w:rFonts w:ascii="Arial" w:hAnsi="Arial" w:cs="Arial"/>
                <w:sz w:val="20"/>
                <w:szCs w:val="20"/>
              </w:rPr>
            </w:pPr>
          </w:p>
        </w:tc>
        <w:tc>
          <w:tcPr>
            <w:tcW w:w="921" w:type="dxa"/>
            <w:shd w:val="clear" w:color="auto" w:fill="auto"/>
            <w:vAlign w:val="center"/>
          </w:tcPr>
          <w:p w:rsidR="005E29FA" w:rsidRPr="00DE475B" w:rsidRDefault="005E29FA" w:rsidP="00085548">
            <w:pPr>
              <w:snapToGrid w:val="0"/>
              <w:jc w:val="center"/>
              <w:rPr>
                <w:rFonts w:ascii="Arial" w:hAnsi="Arial" w:cs="Arial"/>
                <w:b/>
                <w:bCs/>
                <w:sz w:val="20"/>
                <w:szCs w:val="20"/>
              </w:rPr>
            </w:pPr>
          </w:p>
        </w:tc>
        <w:tc>
          <w:tcPr>
            <w:tcW w:w="970" w:type="dxa"/>
            <w:tcBorders>
              <w:bottom w:val="single" w:sz="4" w:space="0" w:color="000000"/>
            </w:tcBorders>
            <w:shd w:val="clear" w:color="auto" w:fill="auto"/>
            <w:vAlign w:val="bottom"/>
          </w:tcPr>
          <w:p w:rsidR="005E29FA" w:rsidRPr="00DE475B" w:rsidRDefault="005E29FA" w:rsidP="005B0698">
            <w:pPr>
              <w:jc w:val="right"/>
              <w:rPr>
                <w:rFonts w:ascii="Arial" w:hAnsi="Arial" w:cs="Arial"/>
                <w:sz w:val="20"/>
                <w:szCs w:val="20"/>
              </w:rPr>
            </w:pPr>
            <w:r w:rsidRPr="00DE475B">
              <w:rPr>
                <w:rFonts w:ascii="Arial" w:hAnsi="Arial" w:cs="Arial"/>
                <w:sz w:val="20"/>
                <w:szCs w:val="20"/>
              </w:rPr>
              <w:t> </w:t>
            </w:r>
          </w:p>
        </w:tc>
        <w:tc>
          <w:tcPr>
            <w:tcW w:w="970" w:type="dxa"/>
            <w:tcBorders>
              <w:bottom w:val="single" w:sz="4" w:space="0" w:color="000000"/>
            </w:tcBorders>
            <w:shd w:val="clear" w:color="auto" w:fill="auto"/>
            <w:vAlign w:val="bottom"/>
          </w:tcPr>
          <w:p w:rsidR="005E29FA" w:rsidRPr="00DE475B" w:rsidRDefault="005E29FA" w:rsidP="005B0698">
            <w:pPr>
              <w:jc w:val="right"/>
              <w:rPr>
                <w:rFonts w:ascii="Arial" w:hAnsi="Arial" w:cs="Arial"/>
                <w:sz w:val="20"/>
                <w:szCs w:val="20"/>
              </w:rPr>
            </w:pPr>
            <w:r w:rsidRPr="00DE475B">
              <w:rPr>
                <w:rFonts w:ascii="Arial" w:hAnsi="Arial" w:cs="Arial"/>
                <w:sz w:val="20"/>
                <w:szCs w:val="20"/>
              </w:rPr>
              <w:t> </w:t>
            </w:r>
          </w:p>
        </w:tc>
        <w:tc>
          <w:tcPr>
            <w:tcW w:w="970" w:type="dxa"/>
            <w:tcBorders>
              <w:bottom w:val="single" w:sz="4" w:space="0" w:color="000000"/>
            </w:tcBorders>
            <w:shd w:val="clear" w:color="auto" w:fill="auto"/>
            <w:vAlign w:val="bottom"/>
          </w:tcPr>
          <w:p w:rsidR="005E29FA" w:rsidRPr="00DE475B" w:rsidRDefault="005E29FA" w:rsidP="005B0698">
            <w:pPr>
              <w:jc w:val="right"/>
              <w:rPr>
                <w:rFonts w:ascii="Arial" w:hAnsi="Arial" w:cs="Arial"/>
                <w:sz w:val="20"/>
                <w:szCs w:val="20"/>
              </w:rPr>
            </w:pPr>
            <w:r w:rsidRPr="00DE475B">
              <w:rPr>
                <w:rFonts w:ascii="Arial" w:hAnsi="Arial" w:cs="Arial"/>
                <w:sz w:val="20"/>
                <w:szCs w:val="20"/>
              </w:rPr>
              <w:t> </w:t>
            </w:r>
          </w:p>
        </w:tc>
        <w:tc>
          <w:tcPr>
            <w:tcW w:w="970" w:type="dxa"/>
            <w:tcBorders>
              <w:bottom w:val="single" w:sz="4" w:space="0" w:color="000000"/>
            </w:tcBorders>
            <w:shd w:val="clear" w:color="auto" w:fill="auto"/>
            <w:vAlign w:val="bottom"/>
          </w:tcPr>
          <w:p w:rsidR="005E29FA" w:rsidRPr="00DE475B" w:rsidRDefault="005E29FA">
            <w:pPr>
              <w:rPr>
                <w:rFonts w:ascii="Arial" w:hAnsi="Arial" w:cs="Arial"/>
                <w:b/>
                <w:bCs/>
                <w:sz w:val="20"/>
                <w:szCs w:val="20"/>
              </w:rPr>
            </w:pPr>
            <w:r w:rsidRPr="00DE475B">
              <w:rPr>
                <w:rFonts w:ascii="Arial" w:hAnsi="Arial" w:cs="Arial"/>
                <w:sz w:val="20"/>
                <w:szCs w:val="20"/>
              </w:rPr>
              <w:t> </w:t>
            </w:r>
          </w:p>
        </w:tc>
      </w:tr>
      <w:tr w:rsidR="005E29FA" w:rsidRPr="00DE475B" w:rsidTr="00186250">
        <w:trPr>
          <w:trHeight w:val="339"/>
        </w:trPr>
        <w:tc>
          <w:tcPr>
            <w:tcW w:w="3987" w:type="dxa"/>
            <w:gridSpan w:val="7"/>
            <w:shd w:val="clear" w:color="auto" w:fill="auto"/>
            <w:vAlign w:val="center"/>
          </w:tcPr>
          <w:p w:rsidR="005E29FA" w:rsidRPr="00DE475B" w:rsidRDefault="005E29FA" w:rsidP="005B0698">
            <w:pPr>
              <w:rPr>
                <w:rFonts w:ascii="Arial" w:hAnsi="Arial" w:cs="Arial"/>
                <w:b/>
                <w:bCs/>
                <w:sz w:val="20"/>
                <w:szCs w:val="20"/>
              </w:rPr>
            </w:pPr>
            <w:r w:rsidRPr="00DE475B">
              <w:rPr>
                <w:rFonts w:ascii="Arial" w:hAnsi="Arial" w:cs="Arial"/>
                <w:b/>
                <w:bCs/>
                <w:sz w:val="20"/>
                <w:szCs w:val="20"/>
              </w:rPr>
              <w:t>Total Current Liabilities</w:t>
            </w:r>
          </w:p>
        </w:tc>
        <w:tc>
          <w:tcPr>
            <w:tcW w:w="921" w:type="dxa"/>
            <w:shd w:val="clear" w:color="auto" w:fill="auto"/>
            <w:vAlign w:val="center"/>
          </w:tcPr>
          <w:p w:rsidR="005E29FA" w:rsidRPr="00DE475B" w:rsidRDefault="005E29FA" w:rsidP="00085548">
            <w:pPr>
              <w:snapToGrid w:val="0"/>
              <w:jc w:val="center"/>
              <w:rPr>
                <w:rFonts w:ascii="Arial" w:hAnsi="Arial" w:cs="Arial"/>
                <w:b/>
                <w:bCs/>
                <w:sz w:val="20"/>
                <w:szCs w:val="20"/>
              </w:rPr>
            </w:pPr>
          </w:p>
        </w:tc>
        <w:tc>
          <w:tcPr>
            <w:tcW w:w="970" w:type="dxa"/>
            <w:tcBorders>
              <w:top w:val="single" w:sz="8" w:space="0" w:color="000000"/>
              <w:bottom w:val="single" w:sz="8" w:space="0" w:color="000000"/>
            </w:tcBorders>
            <w:shd w:val="clear" w:color="auto" w:fill="auto"/>
            <w:vAlign w:val="center"/>
          </w:tcPr>
          <w:p w:rsidR="005E29FA" w:rsidRPr="00DE475B" w:rsidRDefault="005E29FA" w:rsidP="00654D27">
            <w:pPr>
              <w:jc w:val="right"/>
              <w:rPr>
                <w:rFonts w:ascii="Arial" w:hAnsi="Arial" w:cs="Arial"/>
                <w:sz w:val="20"/>
                <w:szCs w:val="20"/>
              </w:rPr>
            </w:pPr>
            <w:r>
              <w:rPr>
                <w:rFonts w:ascii="Arial" w:hAnsi="Arial" w:cs="Arial"/>
                <w:sz w:val="20"/>
                <w:szCs w:val="20"/>
              </w:rPr>
              <w:t>4,477</w:t>
            </w:r>
          </w:p>
        </w:tc>
        <w:tc>
          <w:tcPr>
            <w:tcW w:w="970" w:type="dxa"/>
            <w:tcBorders>
              <w:top w:val="single" w:sz="8" w:space="0" w:color="000000"/>
              <w:bottom w:val="single" w:sz="8" w:space="0" w:color="000000"/>
            </w:tcBorders>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4,752</w:t>
            </w:r>
          </w:p>
        </w:tc>
        <w:tc>
          <w:tcPr>
            <w:tcW w:w="970" w:type="dxa"/>
            <w:tcBorders>
              <w:top w:val="single" w:sz="8" w:space="0" w:color="000000"/>
              <w:bottom w:val="single" w:sz="8" w:space="0" w:color="000000"/>
            </w:tcBorders>
            <w:shd w:val="clear" w:color="auto" w:fill="auto"/>
            <w:vAlign w:val="center"/>
          </w:tcPr>
          <w:p w:rsidR="005E29FA" w:rsidRPr="00DE475B" w:rsidRDefault="00747B35" w:rsidP="007113B4">
            <w:pPr>
              <w:jc w:val="right"/>
              <w:rPr>
                <w:rFonts w:ascii="Arial" w:hAnsi="Arial" w:cs="Arial"/>
                <w:sz w:val="20"/>
                <w:szCs w:val="20"/>
              </w:rPr>
            </w:pPr>
            <w:r>
              <w:rPr>
                <w:rFonts w:ascii="Arial" w:hAnsi="Arial" w:cs="Arial"/>
                <w:sz w:val="20"/>
                <w:szCs w:val="20"/>
              </w:rPr>
              <w:t>4,523</w:t>
            </w:r>
          </w:p>
        </w:tc>
        <w:tc>
          <w:tcPr>
            <w:tcW w:w="979" w:type="dxa"/>
            <w:gridSpan w:val="2"/>
            <w:tcBorders>
              <w:top w:val="single" w:sz="8" w:space="0" w:color="000000"/>
              <w:bottom w:val="single" w:sz="8" w:space="0" w:color="000000"/>
            </w:tcBorders>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4,746</w:t>
            </w:r>
          </w:p>
        </w:tc>
      </w:tr>
      <w:tr w:rsidR="005E29FA" w:rsidRPr="00DE475B" w:rsidTr="00186250">
        <w:trPr>
          <w:trHeight w:val="339"/>
        </w:trPr>
        <w:tc>
          <w:tcPr>
            <w:tcW w:w="3987" w:type="dxa"/>
            <w:gridSpan w:val="7"/>
            <w:shd w:val="clear" w:color="auto" w:fill="auto"/>
            <w:vAlign w:val="center"/>
          </w:tcPr>
          <w:p w:rsidR="005E29FA" w:rsidRPr="00DE475B" w:rsidRDefault="005E29FA" w:rsidP="005B0698">
            <w:pPr>
              <w:rPr>
                <w:rFonts w:ascii="Arial" w:hAnsi="Arial" w:cs="Arial"/>
                <w:b/>
                <w:bCs/>
                <w:sz w:val="20"/>
                <w:szCs w:val="20"/>
              </w:rPr>
            </w:pPr>
            <w:r w:rsidRPr="00DE475B">
              <w:rPr>
                <w:rFonts w:ascii="Arial" w:hAnsi="Arial" w:cs="Arial"/>
                <w:b/>
                <w:bCs/>
                <w:sz w:val="20"/>
                <w:szCs w:val="20"/>
              </w:rPr>
              <w:t>Total Liabilities</w:t>
            </w:r>
          </w:p>
        </w:tc>
        <w:tc>
          <w:tcPr>
            <w:tcW w:w="921" w:type="dxa"/>
            <w:shd w:val="clear" w:color="auto" w:fill="auto"/>
            <w:vAlign w:val="center"/>
          </w:tcPr>
          <w:p w:rsidR="005E29FA" w:rsidRPr="00DE475B" w:rsidRDefault="005E29FA" w:rsidP="00085548">
            <w:pPr>
              <w:snapToGrid w:val="0"/>
              <w:jc w:val="center"/>
              <w:rPr>
                <w:rFonts w:ascii="Arial" w:hAnsi="Arial" w:cs="Arial"/>
                <w:b/>
                <w:bCs/>
                <w:sz w:val="20"/>
                <w:szCs w:val="20"/>
              </w:rPr>
            </w:pPr>
          </w:p>
        </w:tc>
        <w:tc>
          <w:tcPr>
            <w:tcW w:w="970" w:type="dxa"/>
            <w:tcBorders>
              <w:top w:val="single" w:sz="8" w:space="0" w:color="000000"/>
              <w:bottom w:val="single" w:sz="8" w:space="0" w:color="000000"/>
            </w:tcBorders>
            <w:shd w:val="clear" w:color="auto" w:fill="auto"/>
            <w:vAlign w:val="center"/>
          </w:tcPr>
          <w:p w:rsidR="005E29FA" w:rsidRPr="00DE475B" w:rsidRDefault="005E29FA" w:rsidP="00654D27">
            <w:pPr>
              <w:jc w:val="right"/>
              <w:rPr>
                <w:rFonts w:ascii="Arial" w:hAnsi="Arial" w:cs="Arial"/>
                <w:sz w:val="20"/>
                <w:szCs w:val="20"/>
              </w:rPr>
            </w:pPr>
            <w:r>
              <w:rPr>
                <w:rFonts w:ascii="Arial" w:hAnsi="Arial" w:cs="Arial"/>
                <w:sz w:val="20"/>
                <w:szCs w:val="20"/>
              </w:rPr>
              <w:t>4,477</w:t>
            </w:r>
          </w:p>
        </w:tc>
        <w:tc>
          <w:tcPr>
            <w:tcW w:w="970" w:type="dxa"/>
            <w:tcBorders>
              <w:top w:val="single" w:sz="8" w:space="0" w:color="000000"/>
              <w:bottom w:val="single" w:sz="8" w:space="0" w:color="000000"/>
            </w:tcBorders>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4,752</w:t>
            </w:r>
          </w:p>
        </w:tc>
        <w:tc>
          <w:tcPr>
            <w:tcW w:w="970" w:type="dxa"/>
            <w:tcBorders>
              <w:top w:val="single" w:sz="8" w:space="0" w:color="000000"/>
              <w:bottom w:val="single" w:sz="8" w:space="0" w:color="000000"/>
            </w:tcBorders>
            <w:shd w:val="clear" w:color="auto" w:fill="auto"/>
            <w:vAlign w:val="center"/>
          </w:tcPr>
          <w:p w:rsidR="005E29FA" w:rsidRPr="00DE475B" w:rsidRDefault="00747B35" w:rsidP="007113B4">
            <w:pPr>
              <w:jc w:val="right"/>
              <w:rPr>
                <w:rFonts w:ascii="Arial" w:hAnsi="Arial" w:cs="Arial"/>
                <w:sz w:val="20"/>
                <w:szCs w:val="20"/>
              </w:rPr>
            </w:pPr>
            <w:r>
              <w:rPr>
                <w:rFonts w:ascii="Arial" w:hAnsi="Arial" w:cs="Arial"/>
                <w:sz w:val="20"/>
                <w:szCs w:val="20"/>
              </w:rPr>
              <w:t>4,523</w:t>
            </w:r>
          </w:p>
        </w:tc>
        <w:tc>
          <w:tcPr>
            <w:tcW w:w="979" w:type="dxa"/>
            <w:gridSpan w:val="2"/>
            <w:tcBorders>
              <w:top w:val="single" w:sz="8" w:space="0" w:color="000000"/>
              <w:bottom w:val="single" w:sz="8" w:space="0" w:color="000000"/>
            </w:tcBorders>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4,746</w:t>
            </w:r>
          </w:p>
        </w:tc>
      </w:tr>
      <w:tr w:rsidR="005E29FA" w:rsidRPr="00DE475B" w:rsidTr="00186250">
        <w:trPr>
          <w:trHeight w:val="498"/>
        </w:trPr>
        <w:tc>
          <w:tcPr>
            <w:tcW w:w="1681" w:type="dxa"/>
            <w:gridSpan w:val="3"/>
            <w:shd w:val="clear" w:color="auto" w:fill="auto"/>
            <w:vAlign w:val="center"/>
          </w:tcPr>
          <w:p w:rsidR="005E29FA" w:rsidRPr="00DE475B" w:rsidRDefault="005E29FA" w:rsidP="00302139">
            <w:pPr>
              <w:rPr>
                <w:rFonts w:ascii="Arial" w:hAnsi="Arial" w:cs="Arial"/>
                <w:sz w:val="20"/>
                <w:szCs w:val="20"/>
              </w:rPr>
            </w:pPr>
            <w:r w:rsidRPr="00DE475B">
              <w:rPr>
                <w:rFonts w:ascii="Arial" w:hAnsi="Arial" w:cs="Arial"/>
                <w:b/>
                <w:bCs/>
                <w:sz w:val="20"/>
                <w:szCs w:val="20"/>
              </w:rPr>
              <w:t>Net Assets</w:t>
            </w:r>
          </w:p>
        </w:tc>
        <w:tc>
          <w:tcPr>
            <w:tcW w:w="924" w:type="dxa"/>
            <w:gridSpan w:val="3"/>
            <w:shd w:val="clear" w:color="auto" w:fill="auto"/>
            <w:vAlign w:val="center"/>
          </w:tcPr>
          <w:p w:rsidR="005E29FA" w:rsidRPr="00DE475B" w:rsidRDefault="005E29FA" w:rsidP="00302139">
            <w:pPr>
              <w:snapToGrid w:val="0"/>
              <w:rPr>
                <w:rFonts w:ascii="Arial" w:hAnsi="Arial" w:cs="Arial"/>
                <w:sz w:val="20"/>
                <w:szCs w:val="20"/>
              </w:rPr>
            </w:pPr>
          </w:p>
        </w:tc>
        <w:tc>
          <w:tcPr>
            <w:tcW w:w="1382" w:type="dxa"/>
            <w:shd w:val="clear" w:color="auto" w:fill="auto"/>
            <w:vAlign w:val="center"/>
          </w:tcPr>
          <w:p w:rsidR="005E29FA" w:rsidRPr="00DE475B" w:rsidRDefault="005E29FA" w:rsidP="00302139">
            <w:pPr>
              <w:snapToGrid w:val="0"/>
              <w:rPr>
                <w:rFonts w:ascii="Arial" w:hAnsi="Arial" w:cs="Arial"/>
                <w:sz w:val="20"/>
                <w:szCs w:val="20"/>
              </w:rPr>
            </w:pPr>
          </w:p>
        </w:tc>
        <w:tc>
          <w:tcPr>
            <w:tcW w:w="921" w:type="dxa"/>
            <w:shd w:val="clear" w:color="auto" w:fill="auto"/>
            <w:vAlign w:val="center"/>
          </w:tcPr>
          <w:p w:rsidR="005E29FA" w:rsidRPr="00DE475B" w:rsidRDefault="005E29FA" w:rsidP="00085548">
            <w:pPr>
              <w:snapToGrid w:val="0"/>
              <w:jc w:val="center"/>
              <w:rPr>
                <w:rFonts w:ascii="Arial" w:hAnsi="Arial" w:cs="Arial"/>
                <w:b/>
                <w:bCs/>
                <w:sz w:val="20"/>
                <w:szCs w:val="20"/>
              </w:rPr>
            </w:pPr>
          </w:p>
        </w:tc>
        <w:tc>
          <w:tcPr>
            <w:tcW w:w="970" w:type="dxa"/>
            <w:tcBorders>
              <w:top w:val="single" w:sz="8" w:space="0" w:color="000000"/>
              <w:bottom w:val="single" w:sz="8" w:space="0" w:color="000000"/>
            </w:tcBorders>
            <w:shd w:val="clear" w:color="auto" w:fill="auto"/>
            <w:vAlign w:val="center"/>
          </w:tcPr>
          <w:p w:rsidR="005E29FA" w:rsidRPr="00DE475B" w:rsidRDefault="005E29FA" w:rsidP="0033774F">
            <w:pPr>
              <w:jc w:val="right"/>
              <w:rPr>
                <w:rFonts w:ascii="Arial" w:hAnsi="Arial" w:cs="Arial"/>
                <w:sz w:val="20"/>
                <w:szCs w:val="20"/>
              </w:rPr>
            </w:pPr>
            <w:r>
              <w:rPr>
                <w:rFonts w:ascii="Arial" w:hAnsi="Arial" w:cs="Arial"/>
                <w:sz w:val="20"/>
                <w:szCs w:val="20"/>
              </w:rPr>
              <w:t>148,362</w:t>
            </w:r>
          </w:p>
        </w:tc>
        <w:tc>
          <w:tcPr>
            <w:tcW w:w="970" w:type="dxa"/>
            <w:tcBorders>
              <w:top w:val="single" w:sz="8" w:space="0" w:color="000000"/>
              <w:bottom w:val="single" w:sz="8" w:space="0" w:color="000000"/>
            </w:tcBorders>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128,777</w:t>
            </w:r>
          </w:p>
        </w:tc>
        <w:tc>
          <w:tcPr>
            <w:tcW w:w="970" w:type="dxa"/>
            <w:tcBorders>
              <w:top w:val="single" w:sz="8" w:space="0" w:color="000000"/>
              <w:bottom w:val="single" w:sz="8" w:space="0" w:color="000000"/>
            </w:tcBorders>
            <w:shd w:val="clear" w:color="auto" w:fill="auto"/>
            <w:vAlign w:val="center"/>
          </w:tcPr>
          <w:p w:rsidR="005E29FA" w:rsidRPr="00DE475B" w:rsidRDefault="00747B35" w:rsidP="007113B4">
            <w:pPr>
              <w:jc w:val="right"/>
              <w:rPr>
                <w:rFonts w:ascii="Arial" w:hAnsi="Arial" w:cs="Arial"/>
                <w:sz w:val="20"/>
                <w:szCs w:val="20"/>
              </w:rPr>
            </w:pPr>
            <w:r>
              <w:rPr>
                <w:rFonts w:ascii="Arial" w:hAnsi="Arial" w:cs="Arial"/>
                <w:sz w:val="20"/>
                <w:szCs w:val="20"/>
              </w:rPr>
              <w:t>142,567</w:t>
            </w:r>
          </w:p>
        </w:tc>
        <w:tc>
          <w:tcPr>
            <w:tcW w:w="979" w:type="dxa"/>
            <w:gridSpan w:val="2"/>
            <w:tcBorders>
              <w:top w:val="single" w:sz="8" w:space="0" w:color="000000"/>
              <w:bottom w:val="single" w:sz="8" w:space="0" w:color="000000"/>
            </w:tcBorders>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123,176</w:t>
            </w:r>
          </w:p>
        </w:tc>
      </w:tr>
      <w:tr w:rsidR="005E29FA" w:rsidRPr="00DE475B" w:rsidTr="00186250">
        <w:trPr>
          <w:trHeight w:val="203"/>
        </w:trPr>
        <w:tc>
          <w:tcPr>
            <w:tcW w:w="270" w:type="dxa"/>
            <w:shd w:val="clear" w:color="auto" w:fill="auto"/>
            <w:vAlign w:val="bottom"/>
          </w:tcPr>
          <w:p w:rsidR="005E29FA" w:rsidRPr="00DE475B" w:rsidRDefault="005E29FA">
            <w:pPr>
              <w:snapToGrid w:val="0"/>
              <w:rPr>
                <w:rFonts w:ascii="Arial" w:hAnsi="Arial" w:cs="Arial"/>
                <w:b/>
                <w:bCs/>
                <w:sz w:val="20"/>
                <w:szCs w:val="20"/>
              </w:rPr>
            </w:pPr>
          </w:p>
        </w:tc>
        <w:tc>
          <w:tcPr>
            <w:tcW w:w="326" w:type="dxa"/>
            <w:shd w:val="clear" w:color="auto" w:fill="auto"/>
            <w:vAlign w:val="bottom"/>
          </w:tcPr>
          <w:p w:rsidR="005E29FA" w:rsidRPr="00DE475B" w:rsidRDefault="005E29FA">
            <w:pPr>
              <w:snapToGrid w:val="0"/>
              <w:rPr>
                <w:rFonts w:ascii="Arial" w:hAnsi="Arial" w:cs="Arial"/>
                <w:sz w:val="20"/>
                <w:szCs w:val="20"/>
              </w:rPr>
            </w:pPr>
          </w:p>
        </w:tc>
        <w:tc>
          <w:tcPr>
            <w:tcW w:w="1085" w:type="dxa"/>
            <w:shd w:val="clear" w:color="auto" w:fill="auto"/>
            <w:vAlign w:val="bottom"/>
          </w:tcPr>
          <w:p w:rsidR="005E29FA" w:rsidRPr="00DE475B" w:rsidRDefault="005E29FA">
            <w:pPr>
              <w:snapToGrid w:val="0"/>
              <w:rPr>
                <w:rFonts w:ascii="Arial" w:hAnsi="Arial" w:cs="Arial"/>
                <w:sz w:val="20"/>
                <w:szCs w:val="20"/>
              </w:rPr>
            </w:pPr>
          </w:p>
        </w:tc>
        <w:tc>
          <w:tcPr>
            <w:tcW w:w="924" w:type="dxa"/>
            <w:gridSpan w:val="3"/>
            <w:shd w:val="clear" w:color="auto" w:fill="auto"/>
            <w:vAlign w:val="bottom"/>
          </w:tcPr>
          <w:p w:rsidR="005E29FA" w:rsidRPr="00DE475B" w:rsidRDefault="005E29FA">
            <w:pPr>
              <w:snapToGrid w:val="0"/>
              <w:rPr>
                <w:rFonts w:ascii="Arial" w:hAnsi="Arial" w:cs="Arial"/>
                <w:sz w:val="20"/>
                <w:szCs w:val="20"/>
              </w:rPr>
            </w:pPr>
          </w:p>
        </w:tc>
        <w:tc>
          <w:tcPr>
            <w:tcW w:w="1382" w:type="dxa"/>
            <w:shd w:val="clear" w:color="auto" w:fill="auto"/>
            <w:vAlign w:val="bottom"/>
          </w:tcPr>
          <w:p w:rsidR="005E29FA" w:rsidRPr="00DE475B" w:rsidRDefault="005E29FA">
            <w:pPr>
              <w:snapToGrid w:val="0"/>
              <w:rPr>
                <w:rFonts w:ascii="Arial" w:hAnsi="Arial" w:cs="Arial"/>
                <w:sz w:val="20"/>
                <w:szCs w:val="20"/>
              </w:rPr>
            </w:pPr>
          </w:p>
        </w:tc>
        <w:tc>
          <w:tcPr>
            <w:tcW w:w="921" w:type="dxa"/>
            <w:shd w:val="clear" w:color="auto" w:fill="auto"/>
            <w:vAlign w:val="center"/>
          </w:tcPr>
          <w:p w:rsidR="005E29FA" w:rsidRPr="00DE475B" w:rsidRDefault="005E29FA" w:rsidP="00085548">
            <w:pPr>
              <w:snapToGrid w:val="0"/>
              <w:jc w:val="center"/>
              <w:rPr>
                <w:rFonts w:ascii="Arial" w:hAnsi="Arial" w:cs="Arial"/>
                <w:b/>
                <w:bCs/>
                <w:sz w:val="20"/>
                <w:szCs w:val="20"/>
              </w:rPr>
            </w:pPr>
          </w:p>
        </w:tc>
        <w:tc>
          <w:tcPr>
            <w:tcW w:w="970" w:type="dxa"/>
            <w:shd w:val="clear" w:color="auto" w:fill="auto"/>
            <w:vAlign w:val="bottom"/>
          </w:tcPr>
          <w:p w:rsidR="005E29FA" w:rsidRPr="00DE475B" w:rsidRDefault="005E29FA">
            <w:pPr>
              <w:snapToGrid w:val="0"/>
              <w:rPr>
                <w:rFonts w:ascii="Arial" w:hAnsi="Arial" w:cs="Arial"/>
                <w:sz w:val="20"/>
                <w:szCs w:val="20"/>
              </w:rPr>
            </w:pPr>
          </w:p>
        </w:tc>
        <w:tc>
          <w:tcPr>
            <w:tcW w:w="970" w:type="dxa"/>
            <w:shd w:val="clear" w:color="auto" w:fill="auto"/>
            <w:vAlign w:val="bottom"/>
          </w:tcPr>
          <w:p w:rsidR="005E29FA" w:rsidRPr="00DE475B" w:rsidRDefault="005E29FA">
            <w:pPr>
              <w:snapToGrid w:val="0"/>
              <w:rPr>
                <w:rFonts w:ascii="Arial" w:hAnsi="Arial" w:cs="Arial"/>
                <w:sz w:val="20"/>
                <w:szCs w:val="20"/>
              </w:rPr>
            </w:pPr>
          </w:p>
        </w:tc>
        <w:tc>
          <w:tcPr>
            <w:tcW w:w="970" w:type="dxa"/>
            <w:shd w:val="clear" w:color="auto" w:fill="auto"/>
            <w:vAlign w:val="bottom"/>
          </w:tcPr>
          <w:p w:rsidR="005E29FA" w:rsidRPr="00DE475B" w:rsidRDefault="005E29FA">
            <w:pPr>
              <w:snapToGrid w:val="0"/>
              <w:rPr>
                <w:rFonts w:ascii="Arial" w:hAnsi="Arial" w:cs="Arial"/>
                <w:sz w:val="20"/>
                <w:szCs w:val="20"/>
              </w:rPr>
            </w:pPr>
          </w:p>
        </w:tc>
        <w:tc>
          <w:tcPr>
            <w:tcW w:w="979" w:type="dxa"/>
            <w:gridSpan w:val="2"/>
            <w:shd w:val="clear" w:color="auto" w:fill="auto"/>
            <w:vAlign w:val="bottom"/>
          </w:tcPr>
          <w:p w:rsidR="005E29FA" w:rsidRPr="00DE475B" w:rsidRDefault="005E29FA">
            <w:pPr>
              <w:snapToGrid w:val="0"/>
              <w:rPr>
                <w:rFonts w:ascii="Arial" w:hAnsi="Arial" w:cs="Arial"/>
                <w:sz w:val="20"/>
                <w:szCs w:val="20"/>
              </w:rPr>
            </w:pPr>
          </w:p>
        </w:tc>
      </w:tr>
      <w:tr w:rsidR="005E29FA" w:rsidRPr="00DE475B" w:rsidTr="00186250">
        <w:trPr>
          <w:trHeight w:val="250"/>
        </w:trPr>
        <w:tc>
          <w:tcPr>
            <w:tcW w:w="1681" w:type="dxa"/>
            <w:gridSpan w:val="3"/>
            <w:shd w:val="clear" w:color="auto" w:fill="auto"/>
            <w:vAlign w:val="bottom"/>
          </w:tcPr>
          <w:p w:rsidR="005E29FA" w:rsidRPr="00DE475B" w:rsidRDefault="005E29FA">
            <w:pPr>
              <w:rPr>
                <w:rFonts w:ascii="Arial" w:hAnsi="Arial" w:cs="Arial"/>
                <w:sz w:val="20"/>
                <w:szCs w:val="20"/>
              </w:rPr>
            </w:pPr>
            <w:r w:rsidRPr="00DE475B">
              <w:rPr>
                <w:rFonts w:ascii="Arial" w:hAnsi="Arial" w:cs="Arial"/>
                <w:b/>
                <w:bCs/>
                <w:sz w:val="20"/>
                <w:szCs w:val="20"/>
              </w:rPr>
              <w:t>Equity</w:t>
            </w:r>
          </w:p>
        </w:tc>
        <w:tc>
          <w:tcPr>
            <w:tcW w:w="924" w:type="dxa"/>
            <w:gridSpan w:val="3"/>
            <w:shd w:val="clear" w:color="auto" w:fill="auto"/>
            <w:vAlign w:val="bottom"/>
          </w:tcPr>
          <w:p w:rsidR="005E29FA" w:rsidRPr="00DE475B" w:rsidRDefault="005E29FA">
            <w:pPr>
              <w:snapToGrid w:val="0"/>
              <w:rPr>
                <w:rFonts w:ascii="Arial" w:hAnsi="Arial" w:cs="Arial"/>
                <w:sz w:val="20"/>
                <w:szCs w:val="20"/>
              </w:rPr>
            </w:pPr>
          </w:p>
        </w:tc>
        <w:tc>
          <w:tcPr>
            <w:tcW w:w="1382" w:type="dxa"/>
            <w:shd w:val="clear" w:color="auto" w:fill="auto"/>
            <w:vAlign w:val="bottom"/>
          </w:tcPr>
          <w:p w:rsidR="005E29FA" w:rsidRPr="00DE475B" w:rsidRDefault="005E29FA">
            <w:pPr>
              <w:snapToGrid w:val="0"/>
              <w:rPr>
                <w:rFonts w:ascii="Arial" w:hAnsi="Arial" w:cs="Arial"/>
                <w:sz w:val="20"/>
                <w:szCs w:val="20"/>
              </w:rPr>
            </w:pPr>
          </w:p>
        </w:tc>
        <w:tc>
          <w:tcPr>
            <w:tcW w:w="921" w:type="dxa"/>
            <w:shd w:val="clear" w:color="auto" w:fill="auto"/>
            <w:vAlign w:val="center"/>
          </w:tcPr>
          <w:p w:rsidR="005E29FA" w:rsidRPr="00DE475B" w:rsidRDefault="005E29FA" w:rsidP="00085548">
            <w:pPr>
              <w:snapToGrid w:val="0"/>
              <w:jc w:val="center"/>
              <w:rPr>
                <w:rFonts w:ascii="Arial" w:hAnsi="Arial" w:cs="Arial"/>
                <w:b/>
                <w:bCs/>
                <w:sz w:val="20"/>
                <w:szCs w:val="20"/>
              </w:rPr>
            </w:pPr>
          </w:p>
        </w:tc>
        <w:tc>
          <w:tcPr>
            <w:tcW w:w="970" w:type="dxa"/>
            <w:shd w:val="clear" w:color="auto" w:fill="auto"/>
            <w:vAlign w:val="bottom"/>
          </w:tcPr>
          <w:p w:rsidR="005E29FA" w:rsidRPr="00DE475B" w:rsidRDefault="005E29FA">
            <w:pPr>
              <w:snapToGrid w:val="0"/>
              <w:rPr>
                <w:rFonts w:ascii="Arial" w:hAnsi="Arial" w:cs="Arial"/>
                <w:sz w:val="20"/>
                <w:szCs w:val="20"/>
              </w:rPr>
            </w:pPr>
          </w:p>
        </w:tc>
        <w:tc>
          <w:tcPr>
            <w:tcW w:w="970" w:type="dxa"/>
            <w:shd w:val="clear" w:color="auto" w:fill="auto"/>
            <w:vAlign w:val="bottom"/>
          </w:tcPr>
          <w:p w:rsidR="005E29FA" w:rsidRPr="00DE475B" w:rsidRDefault="005E29FA">
            <w:pPr>
              <w:snapToGrid w:val="0"/>
              <w:rPr>
                <w:rFonts w:ascii="Arial" w:hAnsi="Arial" w:cs="Arial"/>
                <w:sz w:val="20"/>
                <w:szCs w:val="20"/>
              </w:rPr>
            </w:pPr>
          </w:p>
        </w:tc>
        <w:tc>
          <w:tcPr>
            <w:tcW w:w="970" w:type="dxa"/>
            <w:shd w:val="clear" w:color="auto" w:fill="auto"/>
            <w:vAlign w:val="bottom"/>
          </w:tcPr>
          <w:p w:rsidR="005E29FA" w:rsidRPr="00DE475B" w:rsidRDefault="005E29FA">
            <w:pPr>
              <w:snapToGrid w:val="0"/>
              <w:rPr>
                <w:rFonts w:ascii="Arial" w:hAnsi="Arial" w:cs="Arial"/>
                <w:sz w:val="20"/>
                <w:szCs w:val="20"/>
              </w:rPr>
            </w:pPr>
          </w:p>
        </w:tc>
        <w:tc>
          <w:tcPr>
            <w:tcW w:w="979" w:type="dxa"/>
            <w:gridSpan w:val="2"/>
            <w:shd w:val="clear" w:color="auto" w:fill="auto"/>
            <w:vAlign w:val="bottom"/>
          </w:tcPr>
          <w:p w:rsidR="005E29FA" w:rsidRPr="00DE475B" w:rsidRDefault="005E29FA">
            <w:pPr>
              <w:snapToGrid w:val="0"/>
              <w:rPr>
                <w:rFonts w:ascii="Arial" w:hAnsi="Arial" w:cs="Arial"/>
                <w:sz w:val="20"/>
                <w:szCs w:val="20"/>
              </w:rPr>
            </w:pPr>
          </w:p>
        </w:tc>
      </w:tr>
      <w:tr w:rsidR="005E29FA" w:rsidRPr="00DE475B" w:rsidTr="00186250">
        <w:trPr>
          <w:trHeight w:val="250"/>
        </w:trPr>
        <w:tc>
          <w:tcPr>
            <w:tcW w:w="270" w:type="dxa"/>
            <w:shd w:val="clear" w:color="auto" w:fill="auto"/>
            <w:vAlign w:val="bottom"/>
          </w:tcPr>
          <w:p w:rsidR="005E29FA" w:rsidRPr="00DE475B" w:rsidRDefault="005E29FA">
            <w:pPr>
              <w:snapToGrid w:val="0"/>
              <w:rPr>
                <w:rFonts w:ascii="Arial" w:hAnsi="Arial" w:cs="Arial"/>
                <w:b/>
                <w:bCs/>
                <w:sz w:val="20"/>
                <w:szCs w:val="20"/>
              </w:rPr>
            </w:pPr>
          </w:p>
        </w:tc>
        <w:tc>
          <w:tcPr>
            <w:tcW w:w="3717" w:type="dxa"/>
            <w:gridSpan w:val="6"/>
            <w:shd w:val="clear" w:color="auto" w:fill="auto"/>
            <w:vAlign w:val="bottom"/>
          </w:tcPr>
          <w:p w:rsidR="005E29FA" w:rsidRPr="00DE475B" w:rsidRDefault="005E29FA">
            <w:pPr>
              <w:snapToGrid w:val="0"/>
              <w:rPr>
                <w:rFonts w:ascii="Arial" w:hAnsi="Arial" w:cs="Arial"/>
                <w:sz w:val="20"/>
                <w:szCs w:val="20"/>
              </w:rPr>
            </w:pPr>
            <w:r w:rsidRPr="00DE475B">
              <w:rPr>
                <w:rFonts w:ascii="Arial" w:hAnsi="Arial" w:cs="Arial"/>
                <w:sz w:val="20"/>
                <w:szCs w:val="20"/>
              </w:rPr>
              <w:t>Contributed equity</w:t>
            </w:r>
          </w:p>
        </w:tc>
        <w:tc>
          <w:tcPr>
            <w:tcW w:w="921" w:type="dxa"/>
            <w:shd w:val="clear" w:color="auto" w:fill="auto"/>
            <w:vAlign w:val="center"/>
          </w:tcPr>
          <w:p w:rsidR="005E29FA" w:rsidRPr="00DE475B" w:rsidRDefault="005E29FA" w:rsidP="00085548">
            <w:pPr>
              <w:jc w:val="center"/>
              <w:rPr>
                <w:rFonts w:ascii="Arial" w:hAnsi="Arial" w:cs="Arial"/>
                <w:sz w:val="20"/>
                <w:szCs w:val="20"/>
              </w:rPr>
            </w:pPr>
          </w:p>
        </w:tc>
        <w:tc>
          <w:tcPr>
            <w:tcW w:w="970" w:type="dxa"/>
            <w:shd w:val="clear" w:color="auto" w:fill="auto"/>
            <w:vAlign w:val="center"/>
          </w:tcPr>
          <w:p w:rsidR="005E29FA" w:rsidRPr="00DE475B" w:rsidRDefault="005E29FA" w:rsidP="0033774F">
            <w:pPr>
              <w:jc w:val="right"/>
              <w:rPr>
                <w:rFonts w:ascii="Arial" w:hAnsi="Arial" w:cs="Arial"/>
                <w:sz w:val="20"/>
                <w:szCs w:val="20"/>
              </w:rPr>
            </w:pPr>
            <w:r>
              <w:rPr>
                <w:rFonts w:ascii="Arial" w:hAnsi="Arial" w:cs="Arial"/>
                <w:sz w:val="20"/>
                <w:szCs w:val="20"/>
              </w:rPr>
              <w:t>1,465</w:t>
            </w:r>
          </w:p>
        </w:tc>
        <w:tc>
          <w:tcPr>
            <w:tcW w:w="970" w:type="dxa"/>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 xml:space="preserve">1,465 </w:t>
            </w:r>
          </w:p>
        </w:tc>
        <w:tc>
          <w:tcPr>
            <w:tcW w:w="970" w:type="dxa"/>
            <w:shd w:val="clear" w:color="auto" w:fill="auto"/>
            <w:vAlign w:val="center"/>
          </w:tcPr>
          <w:p w:rsidR="005E29FA" w:rsidRPr="00DE475B" w:rsidRDefault="005E29FA" w:rsidP="007113B4">
            <w:pPr>
              <w:jc w:val="right"/>
              <w:rPr>
                <w:rFonts w:ascii="Arial" w:hAnsi="Arial" w:cs="Arial"/>
                <w:sz w:val="20"/>
                <w:szCs w:val="20"/>
              </w:rPr>
            </w:pPr>
            <w:r>
              <w:rPr>
                <w:rFonts w:ascii="Arial" w:hAnsi="Arial" w:cs="Arial"/>
                <w:sz w:val="20"/>
                <w:szCs w:val="20"/>
              </w:rPr>
              <w:t>1,465</w:t>
            </w:r>
          </w:p>
        </w:tc>
        <w:tc>
          <w:tcPr>
            <w:tcW w:w="979" w:type="dxa"/>
            <w:gridSpan w:val="2"/>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 xml:space="preserve">1,465 </w:t>
            </w:r>
          </w:p>
        </w:tc>
      </w:tr>
      <w:tr w:rsidR="005E29FA" w:rsidRPr="00DE475B" w:rsidTr="00186250">
        <w:trPr>
          <w:trHeight w:val="250"/>
        </w:trPr>
        <w:tc>
          <w:tcPr>
            <w:tcW w:w="270" w:type="dxa"/>
            <w:shd w:val="clear" w:color="auto" w:fill="auto"/>
            <w:vAlign w:val="bottom"/>
          </w:tcPr>
          <w:p w:rsidR="005E29FA" w:rsidRPr="00DE475B" w:rsidRDefault="005E29FA">
            <w:pPr>
              <w:snapToGrid w:val="0"/>
              <w:rPr>
                <w:rFonts w:ascii="Arial" w:hAnsi="Arial" w:cs="Arial"/>
                <w:b/>
                <w:bCs/>
                <w:sz w:val="20"/>
                <w:szCs w:val="20"/>
              </w:rPr>
            </w:pPr>
          </w:p>
        </w:tc>
        <w:tc>
          <w:tcPr>
            <w:tcW w:w="3717" w:type="dxa"/>
            <w:gridSpan w:val="6"/>
            <w:shd w:val="clear" w:color="auto" w:fill="auto"/>
            <w:vAlign w:val="bottom"/>
          </w:tcPr>
          <w:p w:rsidR="005E29FA" w:rsidRPr="00DE475B" w:rsidRDefault="005E29FA">
            <w:pPr>
              <w:snapToGrid w:val="0"/>
              <w:rPr>
                <w:rFonts w:ascii="Arial" w:hAnsi="Arial" w:cs="Arial"/>
                <w:sz w:val="20"/>
                <w:szCs w:val="20"/>
              </w:rPr>
            </w:pPr>
            <w:r w:rsidRPr="00DE475B">
              <w:rPr>
                <w:rFonts w:ascii="Arial" w:hAnsi="Arial" w:cs="Arial"/>
                <w:sz w:val="20"/>
                <w:szCs w:val="20"/>
              </w:rPr>
              <w:t>Accumulated surplus</w:t>
            </w:r>
          </w:p>
        </w:tc>
        <w:tc>
          <w:tcPr>
            <w:tcW w:w="921" w:type="dxa"/>
            <w:shd w:val="clear" w:color="auto" w:fill="auto"/>
            <w:vAlign w:val="center"/>
          </w:tcPr>
          <w:p w:rsidR="005E29FA" w:rsidRPr="00DE475B" w:rsidRDefault="005E29FA" w:rsidP="00085548">
            <w:pPr>
              <w:snapToGrid w:val="0"/>
              <w:jc w:val="center"/>
              <w:rPr>
                <w:rFonts w:ascii="Arial" w:hAnsi="Arial" w:cs="Arial"/>
                <w:b/>
                <w:bCs/>
                <w:sz w:val="20"/>
                <w:szCs w:val="20"/>
              </w:rPr>
            </w:pPr>
          </w:p>
        </w:tc>
        <w:tc>
          <w:tcPr>
            <w:tcW w:w="970" w:type="dxa"/>
            <w:shd w:val="clear" w:color="auto" w:fill="auto"/>
            <w:vAlign w:val="center"/>
          </w:tcPr>
          <w:p w:rsidR="005E29FA" w:rsidRPr="00DE475B" w:rsidRDefault="005E29FA" w:rsidP="0033774F">
            <w:pPr>
              <w:jc w:val="right"/>
              <w:rPr>
                <w:rFonts w:ascii="Arial" w:hAnsi="Arial" w:cs="Arial"/>
                <w:sz w:val="20"/>
                <w:szCs w:val="20"/>
              </w:rPr>
            </w:pPr>
            <w:r>
              <w:rPr>
                <w:rFonts w:ascii="Arial" w:hAnsi="Arial" w:cs="Arial"/>
                <w:sz w:val="20"/>
                <w:szCs w:val="20"/>
              </w:rPr>
              <w:t>75,818</w:t>
            </w:r>
          </w:p>
        </w:tc>
        <w:tc>
          <w:tcPr>
            <w:tcW w:w="970" w:type="dxa"/>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 xml:space="preserve">72,606 </w:t>
            </w:r>
          </w:p>
        </w:tc>
        <w:tc>
          <w:tcPr>
            <w:tcW w:w="970" w:type="dxa"/>
            <w:shd w:val="clear" w:color="auto" w:fill="auto"/>
            <w:vAlign w:val="center"/>
          </w:tcPr>
          <w:p w:rsidR="005E29FA" w:rsidRPr="00DE475B" w:rsidRDefault="005E29FA" w:rsidP="005E29FA">
            <w:pPr>
              <w:jc w:val="right"/>
              <w:rPr>
                <w:rFonts w:ascii="Arial" w:hAnsi="Arial" w:cs="Arial"/>
                <w:sz w:val="20"/>
                <w:szCs w:val="20"/>
              </w:rPr>
            </w:pPr>
            <w:r>
              <w:rPr>
                <w:rFonts w:ascii="Arial" w:hAnsi="Arial" w:cs="Arial"/>
                <w:sz w:val="20"/>
                <w:szCs w:val="20"/>
              </w:rPr>
              <w:t>70,023</w:t>
            </w:r>
          </w:p>
        </w:tc>
        <w:tc>
          <w:tcPr>
            <w:tcW w:w="979" w:type="dxa"/>
            <w:gridSpan w:val="2"/>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 xml:space="preserve">67,005 </w:t>
            </w:r>
          </w:p>
        </w:tc>
      </w:tr>
      <w:tr w:rsidR="005E29FA" w:rsidRPr="00DE475B" w:rsidTr="00186250">
        <w:trPr>
          <w:trHeight w:val="250"/>
        </w:trPr>
        <w:tc>
          <w:tcPr>
            <w:tcW w:w="270" w:type="dxa"/>
            <w:shd w:val="clear" w:color="auto" w:fill="auto"/>
            <w:vAlign w:val="bottom"/>
          </w:tcPr>
          <w:p w:rsidR="005E29FA" w:rsidRPr="00DE475B" w:rsidRDefault="005E29FA">
            <w:pPr>
              <w:snapToGrid w:val="0"/>
              <w:rPr>
                <w:rFonts w:ascii="Arial" w:hAnsi="Arial" w:cs="Arial"/>
                <w:b/>
                <w:bCs/>
                <w:sz w:val="20"/>
                <w:szCs w:val="20"/>
              </w:rPr>
            </w:pPr>
          </w:p>
        </w:tc>
        <w:tc>
          <w:tcPr>
            <w:tcW w:w="3717" w:type="dxa"/>
            <w:gridSpan w:val="6"/>
            <w:shd w:val="clear" w:color="auto" w:fill="auto"/>
            <w:vAlign w:val="bottom"/>
          </w:tcPr>
          <w:p w:rsidR="005E29FA" w:rsidRPr="00DE475B" w:rsidRDefault="005E29FA">
            <w:pPr>
              <w:rPr>
                <w:rFonts w:ascii="Arial" w:hAnsi="Arial" w:cs="Arial"/>
                <w:b/>
                <w:bCs/>
                <w:sz w:val="20"/>
                <w:szCs w:val="20"/>
              </w:rPr>
            </w:pPr>
            <w:r w:rsidRPr="00DE475B">
              <w:rPr>
                <w:rFonts w:ascii="Arial" w:hAnsi="Arial" w:cs="Arial"/>
                <w:sz w:val="20"/>
                <w:szCs w:val="20"/>
              </w:rPr>
              <w:t>Asset revaluation surplus</w:t>
            </w:r>
          </w:p>
        </w:tc>
        <w:tc>
          <w:tcPr>
            <w:tcW w:w="921" w:type="dxa"/>
            <w:shd w:val="clear" w:color="auto" w:fill="auto"/>
            <w:vAlign w:val="center"/>
          </w:tcPr>
          <w:p w:rsidR="005E29FA" w:rsidRPr="00DE475B" w:rsidRDefault="005E29FA" w:rsidP="00085548">
            <w:pPr>
              <w:jc w:val="center"/>
              <w:rPr>
                <w:rFonts w:ascii="Arial" w:hAnsi="Arial" w:cs="Arial"/>
                <w:sz w:val="20"/>
                <w:szCs w:val="20"/>
              </w:rPr>
            </w:pPr>
            <w:r w:rsidRPr="00DE475B">
              <w:rPr>
                <w:rFonts w:ascii="Arial" w:hAnsi="Arial" w:cs="Arial"/>
                <w:b/>
                <w:bCs/>
                <w:sz w:val="20"/>
                <w:szCs w:val="20"/>
              </w:rPr>
              <w:t>C7</w:t>
            </w:r>
          </w:p>
        </w:tc>
        <w:tc>
          <w:tcPr>
            <w:tcW w:w="970" w:type="dxa"/>
            <w:shd w:val="clear" w:color="auto" w:fill="auto"/>
            <w:vAlign w:val="center"/>
          </w:tcPr>
          <w:p w:rsidR="005E29FA" w:rsidRPr="00DE475B" w:rsidRDefault="005E29FA" w:rsidP="0033774F">
            <w:pPr>
              <w:jc w:val="right"/>
              <w:rPr>
                <w:rFonts w:ascii="Arial" w:hAnsi="Arial" w:cs="Arial"/>
                <w:sz w:val="20"/>
                <w:szCs w:val="20"/>
              </w:rPr>
            </w:pPr>
            <w:r>
              <w:rPr>
                <w:rFonts w:ascii="Arial" w:hAnsi="Arial" w:cs="Arial"/>
                <w:sz w:val="20"/>
                <w:szCs w:val="20"/>
              </w:rPr>
              <w:t>71,079</w:t>
            </w:r>
          </w:p>
        </w:tc>
        <w:tc>
          <w:tcPr>
            <w:tcW w:w="970" w:type="dxa"/>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 xml:space="preserve">54,706 </w:t>
            </w:r>
          </w:p>
        </w:tc>
        <w:tc>
          <w:tcPr>
            <w:tcW w:w="970" w:type="dxa"/>
            <w:shd w:val="clear" w:color="auto" w:fill="auto"/>
            <w:vAlign w:val="center"/>
          </w:tcPr>
          <w:p w:rsidR="005E29FA" w:rsidRPr="00DE475B" w:rsidRDefault="005E29FA" w:rsidP="007113B4">
            <w:pPr>
              <w:jc w:val="right"/>
              <w:rPr>
                <w:rFonts w:ascii="Arial" w:hAnsi="Arial" w:cs="Arial"/>
                <w:sz w:val="20"/>
                <w:szCs w:val="20"/>
              </w:rPr>
            </w:pPr>
            <w:r>
              <w:rPr>
                <w:rFonts w:ascii="Arial" w:hAnsi="Arial" w:cs="Arial"/>
                <w:sz w:val="20"/>
                <w:szCs w:val="20"/>
              </w:rPr>
              <w:t>71,079</w:t>
            </w:r>
          </w:p>
        </w:tc>
        <w:tc>
          <w:tcPr>
            <w:tcW w:w="979" w:type="dxa"/>
            <w:gridSpan w:val="2"/>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 xml:space="preserve">54,706 </w:t>
            </w:r>
          </w:p>
        </w:tc>
      </w:tr>
      <w:tr w:rsidR="005E29FA" w:rsidRPr="00DE475B" w:rsidTr="00186250">
        <w:trPr>
          <w:trHeight w:val="117"/>
        </w:trPr>
        <w:tc>
          <w:tcPr>
            <w:tcW w:w="270" w:type="dxa"/>
            <w:shd w:val="clear" w:color="auto" w:fill="auto"/>
            <w:vAlign w:val="bottom"/>
          </w:tcPr>
          <w:p w:rsidR="005E29FA" w:rsidRPr="00DE475B" w:rsidRDefault="005E29FA">
            <w:pPr>
              <w:snapToGrid w:val="0"/>
              <w:rPr>
                <w:rFonts w:ascii="Arial" w:hAnsi="Arial" w:cs="Arial"/>
                <w:b/>
                <w:bCs/>
                <w:sz w:val="16"/>
                <w:szCs w:val="16"/>
              </w:rPr>
            </w:pPr>
          </w:p>
        </w:tc>
        <w:tc>
          <w:tcPr>
            <w:tcW w:w="326" w:type="dxa"/>
            <w:shd w:val="clear" w:color="auto" w:fill="auto"/>
            <w:vAlign w:val="bottom"/>
          </w:tcPr>
          <w:p w:rsidR="005E29FA" w:rsidRPr="00DE475B" w:rsidRDefault="005E29FA">
            <w:pPr>
              <w:snapToGrid w:val="0"/>
              <w:rPr>
                <w:rFonts w:ascii="Arial" w:hAnsi="Arial" w:cs="Arial"/>
                <w:sz w:val="16"/>
                <w:szCs w:val="16"/>
              </w:rPr>
            </w:pPr>
          </w:p>
        </w:tc>
        <w:tc>
          <w:tcPr>
            <w:tcW w:w="1085" w:type="dxa"/>
            <w:shd w:val="clear" w:color="auto" w:fill="auto"/>
            <w:vAlign w:val="bottom"/>
          </w:tcPr>
          <w:p w:rsidR="005E29FA" w:rsidRPr="00DE475B" w:rsidRDefault="005E29FA">
            <w:pPr>
              <w:snapToGrid w:val="0"/>
              <w:rPr>
                <w:rFonts w:ascii="Arial" w:hAnsi="Arial" w:cs="Arial"/>
                <w:sz w:val="16"/>
                <w:szCs w:val="16"/>
              </w:rPr>
            </w:pPr>
          </w:p>
        </w:tc>
        <w:tc>
          <w:tcPr>
            <w:tcW w:w="924" w:type="dxa"/>
            <w:gridSpan w:val="3"/>
            <w:shd w:val="clear" w:color="auto" w:fill="auto"/>
            <w:vAlign w:val="bottom"/>
          </w:tcPr>
          <w:p w:rsidR="005E29FA" w:rsidRPr="00DE475B" w:rsidRDefault="005E29FA">
            <w:pPr>
              <w:snapToGrid w:val="0"/>
              <w:rPr>
                <w:rFonts w:ascii="Arial" w:hAnsi="Arial" w:cs="Arial"/>
                <w:sz w:val="16"/>
                <w:szCs w:val="16"/>
              </w:rPr>
            </w:pPr>
          </w:p>
        </w:tc>
        <w:tc>
          <w:tcPr>
            <w:tcW w:w="1382" w:type="dxa"/>
            <w:shd w:val="clear" w:color="auto" w:fill="auto"/>
            <w:vAlign w:val="bottom"/>
          </w:tcPr>
          <w:p w:rsidR="005E29FA" w:rsidRPr="00DE475B" w:rsidRDefault="005E29FA">
            <w:pPr>
              <w:snapToGrid w:val="0"/>
              <w:rPr>
                <w:rFonts w:ascii="Arial" w:hAnsi="Arial" w:cs="Arial"/>
                <w:sz w:val="16"/>
                <w:szCs w:val="16"/>
              </w:rPr>
            </w:pPr>
          </w:p>
        </w:tc>
        <w:tc>
          <w:tcPr>
            <w:tcW w:w="921" w:type="dxa"/>
            <w:shd w:val="clear" w:color="auto" w:fill="auto"/>
            <w:vAlign w:val="bottom"/>
          </w:tcPr>
          <w:p w:rsidR="005E29FA" w:rsidRPr="00DE475B" w:rsidRDefault="005E29FA">
            <w:pPr>
              <w:snapToGrid w:val="0"/>
              <w:jc w:val="center"/>
              <w:rPr>
                <w:rFonts w:ascii="Arial" w:hAnsi="Arial" w:cs="Arial"/>
                <w:b/>
                <w:bCs/>
                <w:sz w:val="16"/>
                <w:szCs w:val="16"/>
              </w:rPr>
            </w:pPr>
          </w:p>
        </w:tc>
        <w:tc>
          <w:tcPr>
            <w:tcW w:w="970" w:type="dxa"/>
            <w:tcBorders>
              <w:bottom w:val="single" w:sz="4" w:space="0" w:color="000000"/>
            </w:tcBorders>
            <w:shd w:val="clear" w:color="auto" w:fill="auto"/>
            <w:vAlign w:val="bottom"/>
          </w:tcPr>
          <w:p w:rsidR="005E29FA" w:rsidRPr="00DE475B" w:rsidRDefault="005E29FA">
            <w:pPr>
              <w:rPr>
                <w:rFonts w:ascii="Arial" w:hAnsi="Arial" w:cs="Arial"/>
                <w:sz w:val="16"/>
                <w:szCs w:val="16"/>
              </w:rPr>
            </w:pPr>
            <w:r w:rsidRPr="00DE475B">
              <w:rPr>
                <w:rFonts w:ascii="Arial" w:hAnsi="Arial" w:cs="Arial"/>
                <w:sz w:val="16"/>
                <w:szCs w:val="16"/>
              </w:rPr>
              <w:t> </w:t>
            </w:r>
          </w:p>
        </w:tc>
        <w:tc>
          <w:tcPr>
            <w:tcW w:w="970" w:type="dxa"/>
            <w:tcBorders>
              <w:bottom w:val="single" w:sz="4" w:space="0" w:color="000000"/>
            </w:tcBorders>
            <w:shd w:val="clear" w:color="auto" w:fill="auto"/>
            <w:vAlign w:val="bottom"/>
          </w:tcPr>
          <w:p w:rsidR="005E29FA" w:rsidRPr="00DE475B" w:rsidRDefault="005E29FA">
            <w:pPr>
              <w:rPr>
                <w:rFonts w:ascii="Arial" w:hAnsi="Arial" w:cs="Arial"/>
                <w:sz w:val="16"/>
                <w:szCs w:val="16"/>
              </w:rPr>
            </w:pPr>
            <w:r w:rsidRPr="00DE475B">
              <w:rPr>
                <w:rFonts w:ascii="Arial" w:hAnsi="Arial" w:cs="Arial"/>
                <w:sz w:val="16"/>
                <w:szCs w:val="16"/>
              </w:rPr>
              <w:t> </w:t>
            </w:r>
          </w:p>
        </w:tc>
        <w:tc>
          <w:tcPr>
            <w:tcW w:w="970" w:type="dxa"/>
            <w:tcBorders>
              <w:bottom w:val="single" w:sz="4" w:space="0" w:color="000000"/>
            </w:tcBorders>
            <w:shd w:val="clear" w:color="auto" w:fill="auto"/>
            <w:vAlign w:val="bottom"/>
          </w:tcPr>
          <w:p w:rsidR="005E29FA" w:rsidRPr="00DE475B" w:rsidRDefault="005E29FA">
            <w:pPr>
              <w:rPr>
                <w:rFonts w:ascii="Arial" w:hAnsi="Arial" w:cs="Arial"/>
                <w:sz w:val="16"/>
                <w:szCs w:val="16"/>
              </w:rPr>
            </w:pPr>
            <w:r w:rsidRPr="00DE475B">
              <w:rPr>
                <w:rFonts w:ascii="Arial" w:hAnsi="Arial" w:cs="Arial"/>
                <w:sz w:val="16"/>
                <w:szCs w:val="16"/>
              </w:rPr>
              <w:t> </w:t>
            </w:r>
          </w:p>
        </w:tc>
        <w:tc>
          <w:tcPr>
            <w:tcW w:w="979" w:type="dxa"/>
            <w:gridSpan w:val="2"/>
            <w:tcBorders>
              <w:bottom w:val="single" w:sz="4" w:space="0" w:color="000000"/>
            </w:tcBorders>
            <w:shd w:val="clear" w:color="auto" w:fill="auto"/>
            <w:vAlign w:val="bottom"/>
          </w:tcPr>
          <w:p w:rsidR="005E29FA" w:rsidRPr="00DE475B" w:rsidRDefault="005E29FA">
            <w:pPr>
              <w:rPr>
                <w:rFonts w:ascii="Arial" w:hAnsi="Arial" w:cs="Arial"/>
                <w:b/>
                <w:bCs/>
                <w:sz w:val="20"/>
                <w:szCs w:val="20"/>
              </w:rPr>
            </w:pPr>
            <w:r w:rsidRPr="00DE475B">
              <w:rPr>
                <w:rFonts w:ascii="Arial" w:hAnsi="Arial" w:cs="Arial"/>
                <w:sz w:val="16"/>
                <w:szCs w:val="16"/>
              </w:rPr>
              <w:t> </w:t>
            </w:r>
          </w:p>
        </w:tc>
      </w:tr>
      <w:tr w:rsidR="005E29FA" w:rsidRPr="00DE475B" w:rsidTr="00186250">
        <w:trPr>
          <w:trHeight w:val="524"/>
        </w:trPr>
        <w:tc>
          <w:tcPr>
            <w:tcW w:w="1681" w:type="dxa"/>
            <w:gridSpan w:val="3"/>
            <w:shd w:val="clear" w:color="auto" w:fill="auto"/>
            <w:vAlign w:val="center"/>
          </w:tcPr>
          <w:p w:rsidR="005E29FA" w:rsidRPr="00DE475B" w:rsidRDefault="005E29FA" w:rsidP="00302139">
            <w:pPr>
              <w:rPr>
                <w:rFonts w:ascii="Arial" w:hAnsi="Arial" w:cs="Arial"/>
                <w:sz w:val="20"/>
                <w:szCs w:val="20"/>
              </w:rPr>
            </w:pPr>
            <w:r w:rsidRPr="00DE475B">
              <w:rPr>
                <w:rFonts w:ascii="Arial" w:hAnsi="Arial" w:cs="Arial"/>
                <w:b/>
                <w:bCs/>
                <w:sz w:val="20"/>
                <w:szCs w:val="20"/>
              </w:rPr>
              <w:t>Total Equity</w:t>
            </w:r>
          </w:p>
        </w:tc>
        <w:tc>
          <w:tcPr>
            <w:tcW w:w="924" w:type="dxa"/>
            <w:gridSpan w:val="3"/>
            <w:shd w:val="clear" w:color="auto" w:fill="auto"/>
            <w:vAlign w:val="center"/>
          </w:tcPr>
          <w:p w:rsidR="005E29FA" w:rsidRPr="00DE475B" w:rsidRDefault="005E29FA" w:rsidP="00302139">
            <w:pPr>
              <w:snapToGrid w:val="0"/>
              <w:rPr>
                <w:rFonts w:ascii="Arial" w:hAnsi="Arial" w:cs="Arial"/>
                <w:sz w:val="20"/>
                <w:szCs w:val="20"/>
              </w:rPr>
            </w:pPr>
          </w:p>
        </w:tc>
        <w:tc>
          <w:tcPr>
            <w:tcW w:w="1382" w:type="dxa"/>
            <w:shd w:val="clear" w:color="auto" w:fill="auto"/>
            <w:vAlign w:val="center"/>
          </w:tcPr>
          <w:p w:rsidR="005E29FA" w:rsidRPr="00DE475B" w:rsidRDefault="005E29FA" w:rsidP="00302139">
            <w:pPr>
              <w:snapToGrid w:val="0"/>
              <w:rPr>
                <w:rFonts w:ascii="Arial" w:hAnsi="Arial" w:cs="Arial"/>
                <w:sz w:val="20"/>
                <w:szCs w:val="20"/>
              </w:rPr>
            </w:pPr>
          </w:p>
        </w:tc>
        <w:tc>
          <w:tcPr>
            <w:tcW w:w="921" w:type="dxa"/>
            <w:shd w:val="clear" w:color="auto" w:fill="auto"/>
            <w:vAlign w:val="center"/>
          </w:tcPr>
          <w:p w:rsidR="005E29FA" w:rsidRPr="00DE475B" w:rsidRDefault="005E29FA" w:rsidP="00302139">
            <w:pPr>
              <w:snapToGrid w:val="0"/>
              <w:rPr>
                <w:rFonts w:ascii="Arial" w:hAnsi="Arial" w:cs="Arial"/>
                <w:b/>
                <w:bCs/>
                <w:sz w:val="20"/>
                <w:szCs w:val="20"/>
              </w:rPr>
            </w:pPr>
          </w:p>
        </w:tc>
        <w:tc>
          <w:tcPr>
            <w:tcW w:w="970" w:type="dxa"/>
            <w:tcBorders>
              <w:top w:val="single" w:sz="8" w:space="0" w:color="000000"/>
              <w:bottom w:val="single" w:sz="8" w:space="0" w:color="000000"/>
            </w:tcBorders>
            <w:shd w:val="clear" w:color="auto" w:fill="auto"/>
            <w:vAlign w:val="center"/>
          </w:tcPr>
          <w:p w:rsidR="005E29FA" w:rsidRPr="00DE475B" w:rsidRDefault="005E29FA" w:rsidP="00922E00">
            <w:pPr>
              <w:jc w:val="right"/>
              <w:rPr>
                <w:rFonts w:ascii="Arial" w:hAnsi="Arial" w:cs="Arial"/>
                <w:sz w:val="20"/>
                <w:szCs w:val="20"/>
              </w:rPr>
            </w:pPr>
            <w:r>
              <w:rPr>
                <w:rFonts w:ascii="Arial" w:hAnsi="Arial" w:cs="Arial"/>
                <w:sz w:val="20"/>
                <w:szCs w:val="20"/>
              </w:rPr>
              <w:t>148,362</w:t>
            </w:r>
          </w:p>
        </w:tc>
        <w:tc>
          <w:tcPr>
            <w:tcW w:w="970" w:type="dxa"/>
            <w:tcBorders>
              <w:top w:val="single" w:sz="8" w:space="0" w:color="000000"/>
              <w:bottom w:val="single" w:sz="8" w:space="0" w:color="000000"/>
            </w:tcBorders>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128,777</w:t>
            </w:r>
          </w:p>
        </w:tc>
        <w:tc>
          <w:tcPr>
            <w:tcW w:w="970" w:type="dxa"/>
            <w:tcBorders>
              <w:top w:val="single" w:sz="8" w:space="0" w:color="000000"/>
              <w:bottom w:val="single" w:sz="8" w:space="0" w:color="000000"/>
            </w:tcBorders>
            <w:shd w:val="clear" w:color="auto" w:fill="auto"/>
            <w:vAlign w:val="center"/>
          </w:tcPr>
          <w:p w:rsidR="005E29FA" w:rsidRPr="00DE475B" w:rsidRDefault="005E29FA" w:rsidP="007113B4">
            <w:pPr>
              <w:jc w:val="right"/>
              <w:rPr>
                <w:rFonts w:ascii="Arial" w:hAnsi="Arial" w:cs="Arial"/>
                <w:sz w:val="20"/>
                <w:szCs w:val="20"/>
              </w:rPr>
            </w:pPr>
            <w:r>
              <w:rPr>
                <w:rFonts w:ascii="Arial" w:hAnsi="Arial" w:cs="Arial"/>
                <w:sz w:val="20"/>
                <w:szCs w:val="20"/>
              </w:rPr>
              <w:t>142,567</w:t>
            </w:r>
          </w:p>
        </w:tc>
        <w:tc>
          <w:tcPr>
            <w:tcW w:w="979" w:type="dxa"/>
            <w:gridSpan w:val="2"/>
            <w:tcBorders>
              <w:top w:val="single" w:sz="8" w:space="0" w:color="000000"/>
              <w:bottom w:val="single" w:sz="8" w:space="0" w:color="000000"/>
            </w:tcBorders>
            <w:shd w:val="clear" w:color="auto" w:fill="auto"/>
            <w:vAlign w:val="center"/>
          </w:tcPr>
          <w:p w:rsidR="005E29FA" w:rsidRPr="00DE475B" w:rsidRDefault="005E29FA" w:rsidP="007113B4">
            <w:pPr>
              <w:jc w:val="right"/>
              <w:rPr>
                <w:rFonts w:ascii="Arial" w:hAnsi="Arial" w:cs="Arial"/>
                <w:sz w:val="20"/>
                <w:szCs w:val="20"/>
              </w:rPr>
            </w:pPr>
            <w:r w:rsidRPr="00DE475B">
              <w:rPr>
                <w:rFonts w:ascii="Arial" w:hAnsi="Arial" w:cs="Arial"/>
                <w:sz w:val="20"/>
                <w:szCs w:val="20"/>
              </w:rPr>
              <w:t>123,176</w:t>
            </w:r>
          </w:p>
        </w:tc>
      </w:tr>
    </w:tbl>
    <w:p w:rsidR="00D346B4" w:rsidRPr="00DE475B" w:rsidRDefault="00D346B4">
      <w:pPr>
        <w:pStyle w:val="ARbodytext"/>
        <w:rPr>
          <w:i/>
        </w:rPr>
      </w:pPr>
    </w:p>
    <w:p w:rsidR="00D346B4" w:rsidRPr="00DE475B" w:rsidRDefault="00D346B4">
      <w:pPr>
        <w:pStyle w:val="ARbodytext"/>
        <w:sectPr w:rsidR="00D346B4" w:rsidRPr="00DE475B" w:rsidSect="00B53922">
          <w:type w:val="continuous"/>
          <w:pgSz w:w="11906" w:h="16838"/>
          <w:pgMar w:top="1440" w:right="1701" w:bottom="1440" w:left="1701" w:header="680" w:footer="680" w:gutter="0"/>
          <w:cols w:space="720"/>
          <w:docGrid w:linePitch="360"/>
        </w:sectPr>
      </w:pPr>
      <w:r w:rsidRPr="00DE475B">
        <w:rPr>
          <w:i/>
        </w:rPr>
        <w:t>The accompanying notes form part of these statements.</w:t>
      </w:r>
    </w:p>
    <w:p w:rsidR="00D346B4" w:rsidRPr="00DE475B" w:rsidRDefault="00D346B4">
      <w:pPr>
        <w:sectPr w:rsidR="00D346B4" w:rsidRPr="00DE475B" w:rsidSect="00B53922">
          <w:type w:val="continuous"/>
          <w:pgSz w:w="11906" w:h="16838"/>
          <w:pgMar w:top="1440" w:right="1701" w:bottom="1440" w:left="1701" w:header="680" w:footer="680" w:gutter="0"/>
          <w:cols w:space="720"/>
          <w:docGrid w:linePitch="360"/>
        </w:sectPr>
      </w:pPr>
    </w:p>
    <w:p w:rsidR="00D346B4" w:rsidRPr="00DE475B" w:rsidRDefault="00373FFE">
      <w:pPr>
        <w:pStyle w:val="ARbodytext"/>
        <w:rPr>
          <w:b/>
          <w:bCs/>
        </w:rPr>
      </w:pPr>
      <w:r w:rsidRPr="00DE475B">
        <w:rPr>
          <w:noProof/>
          <w:lang w:eastAsia="en-AU"/>
        </w:rPr>
        <w:lastRenderedPageBreak/>
        <mc:AlternateContent>
          <mc:Choice Requires="wps">
            <w:drawing>
              <wp:anchor distT="0" distB="0" distL="114300" distR="114300" simplePos="0" relativeHeight="251619328" behindDoc="0" locked="0" layoutInCell="1" allowOverlap="1" wp14:anchorId="1BEFBA1A" wp14:editId="56C32633">
                <wp:simplePos x="0" y="0"/>
                <wp:positionH relativeFrom="column">
                  <wp:posOffset>-76200</wp:posOffset>
                </wp:positionH>
                <wp:positionV relativeFrom="paragraph">
                  <wp:posOffset>-93345</wp:posOffset>
                </wp:positionV>
                <wp:extent cx="9061450" cy="0"/>
                <wp:effectExtent l="9525" t="5715" r="6350" b="13335"/>
                <wp:wrapNone/>
                <wp:docPr id="26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35pt" to="70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FmmQIAAHoFAAAOAAAAZHJzL2Uyb0RvYy54bWysVFFvmzAQfp+0/2D5nQIJIQSVVC0he+m2&#10;Su20ZwebYM3YzHZDoqn/fWcnYU33Mk1NJOSz7z5/d9+dr2/2nUA7pg1XssDxVYQRk7WiXG4L/O1p&#10;HWQYGUskJUJJVuADM/hm+fHD9dDnbKJaJSjTCECkyYe+wK21fR6Gpm5ZR8yV6pmEw0bpjlgw9Tak&#10;mgyA3olwEkVpOChNe61qZgzsro6HeOnxm4bV9mvTGGaRKDBws/6r/XfjvuHymuRbTfqW1yca5D9Y&#10;dIRLuHSEWhFL0LPmf0F1vNbKqMZe1aoLVdPwmvkcIJs4epPNY0t65nOB4ph+LJN5P9j6y+5BI04L&#10;PEkXGEnSgUj3XDI0mbniDL3JwaeUD9qlV+/lY3+v6h8GSVW2RG6ZJ/l06CEudhHhRYgzTA9XbIbP&#10;ioIPebbKV2rf6M5BQg3Q3gtyGAVhe4tq2FxEaZzMQLf6fBaS/BzYa2M/MdUhtyiwANIemOzujXVE&#10;SH52cfdIteZCeL2FRAOAT1OHTKDrzE8faZTg1Hk5f6O3m1JotCOudfzPpwcnr906bqGBBe8KnI1O&#10;JG8ZoZWk/jpLuDiugZKQDpz51jzyBGtvYen3IXHfNr8W0aLKqiwJkklaBUm0WgW36zIJ0nU8n62m&#10;q7JcxS+OdZzkLaeUSUf83MJx8m8tchqmY/ONTTyWKrxE9zUFspdMb9ezaJ5Ms2A+n02DZFpFwV22&#10;LoPbMk7TeXVX3lVvmFY+e/M+ZMdSOlbqGdR4bOmAKHdNMZ0tJjEGA0Z+Mj/qg4jYwltVW42RVvY7&#10;t63vYdd9DuNC+Cxy/5PwI/qxEGcNnTWqcMrtT6lA87O+fjTcNBznaqPo4UGfRwYG3AedHiP3gry2&#10;Yf36yVz+BgAA//8DAFBLAwQUAAYACAAAACEA4+ViPeAAAAAMAQAADwAAAGRycy9kb3ducmV2Lnht&#10;bEyPT0vDQBDF74LfYRnBi7Sb1PiHmE0RQTwI0tZS8bbNjkkwOxt2p0389m5AqLeZN483v1csR9uJ&#10;I/rQOlKQzhMQSJUzLdUKtu/Ps3sQgTUZ3TlCBT8YYFmenxU6N26gNR43XIsYQiHXChrmPpcyVA1a&#10;HeauR4q3L+et5rj6WhqvhxhuO7lIkltpdUvxQ6N7fGqw+t4crII3P7SBr7Nshfy5e3n9aFZXdq3U&#10;5cX4+ACCceSTGSb8iA5lZNq7A5kgOgWzdBG78DRkdyAmR5beRGn/J8mykP9LlL8AAAD//wMAUEsB&#10;Ai0AFAAGAAgAAAAhALaDOJL+AAAA4QEAABMAAAAAAAAAAAAAAAAAAAAAAFtDb250ZW50X1R5cGVz&#10;XS54bWxQSwECLQAUAAYACAAAACEAOP0h/9YAAACUAQAACwAAAAAAAAAAAAAAAAAvAQAAX3JlbHMv&#10;LnJlbHNQSwECLQAUAAYACAAAACEAwqghZpkCAAB6BQAADgAAAAAAAAAAAAAAAAAuAgAAZHJzL2Uy&#10;b0RvYy54bWxQSwECLQAUAAYACAAAACEA4+ViPeAAAAAMAQAADwAAAAAAAAAAAAAAAADzBAAAZHJz&#10;L2Rvd25yZXYueG1sUEsFBgAAAAAEAAQA8wAAAAAGAAAAAA==&#10;" strokeweight=".26mm">
                <v:stroke joinstyle="miter" endcap="square"/>
              </v:line>
            </w:pict>
          </mc:Fallback>
        </mc:AlternateContent>
      </w:r>
      <w:r w:rsidR="00D346B4" w:rsidRPr="00DE475B">
        <w:rPr>
          <w:b/>
          <w:bCs/>
          <w:i/>
          <w:iCs/>
        </w:rPr>
        <w:t>Library Board of Queensland</w:t>
      </w:r>
      <w:r w:rsidR="00704C2E" w:rsidRPr="00DE475B">
        <w:rPr>
          <w:b/>
          <w:bCs/>
          <w:i/>
          <w:iCs/>
        </w:rPr>
        <w:t xml:space="preserve"> and controlled entities</w:t>
      </w:r>
    </w:p>
    <w:p w:rsidR="00D346B4" w:rsidRPr="00DE475B" w:rsidRDefault="00D346B4">
      <w:pPr>
        <w:rPr>
          <w:rFonts w:ascii="Arial" w:hAnsi="Arial" w:cs="Arial"/>
          <w:b/>
          <w:bCs/>
          <w:sz w:val="20"/>
          <w:szCs w:val="20"/>
        </w:rPr>
      </w:pPr>
      <w:r w:rsidRPr="00DE475B">
        <w:rPr>
          <w:rFonts w:ascii="Arial" w:hAnsi="Arial" w:cs="Arial"/>
          <w:b/>
          <w:bCs/>
          <w:sz w:val="20"/>
          <w:szCs w:val="20"/>
        </w:rPr>
        <w:t>STATEMENTS OF CHANGES IN EQUITY</w:t>
      </w:r>
    </w:p>
    <w:p w:rsidR="00D346B4" w:rsidRPr="00DE475B" w:rsidRDefault="00373FFE" w:rsidP="00164E9C">
      <w:pPr>
        <w:spacing w:after="120"/>
      </w:pPr>
      <w:r w:rsidRPr="00DE475B">
        <w:rPr>
          <w:noProof/>
          <w:lang w:eastAsia="en-AU"/>
        </w:rPr>
        <mc:AlternateContent>
          <mc:Choice Requires="wps">
            <w:drawing>
              <wp:anchor distT="0" distB="0" distL="114300" distR="114300" simplePos="0" relativeHeight="251620352" behindDoc="0" locked="0" layoutInCell="1" allowOverlap="1" wp14:anchorId="179D598E" wp14:editId="0A816D10">
                <wp:simplePos x="0" y="0"/>
                <wp:positionH relativeFrom="column">
                  <wp:posOffset>-76200</wp:posOffset>
                </wp:positionH>
                <wp:positionV relativeFrom="paragraph">
                  <wp:posOffset>165735</wp:posOffset>
                </wp:positionV>
                <wp:extent cx="9061450" cy="0"/>
                <wp:effectExtent l="9525" t="13970" r="6350" b="5080"/>
                <wp:wrapNone/>
                <wp:docPr id="26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05pt" to="70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xMmQIAAHoFAAAOAAAAZHJzL2Uyb0RvYy54bWysVFFvmzAQfp+0/2D5nQIJIQSVVC0he+m2&#10;Su20ZwebYM3YzHZDoqn/fWcnYU33Mk1NJOSz7z5/d9+dr2/2nUA7pg1XssDxVYQRk7WiXG4L/O1p&#10;HWQYGUskJUJJVuADM/hm+fHD9dDnbKJaJSjTCECkyYe+wK21fR6Gpm5ZR8yV6pmEw0bpjlgw9Tak&#10;mgyA3olwEkVpOChNe61qZgzsro6HeOnxm4bV9mvTGGaRKDBws/6r/XfjvuHymuRbTfqW1yca5D9Y&#10;dIRLuHSEWhFL0LPmf0F1vNbKqMZe1aoLVdPwmvkcIJs4epPNY0t65nOB4ph+LJN5P9j6y+5BI04L&#10;PEnnGEnSgUj3XDI0SV1xht7k4FPKB+3Sq/fysb9X9Q+DpCpbIrfMk3w69BAXu4jwIsQZpocrNsNn&#10;RcGHPFvlK7VvdOcgoQZo7wU5jIKwvUU1bC6iNE5moFt9PgtJfg7stbGfmOqQWxRYAGkPTHb3xjoi&#10;JD+7uHukWnMhvN5CogHAp6lDJtB15qePNEpw6rycv9HbTSk02hHXOv7n04OT124dt9DAgncFzkYn&#10;kreM0EpSf50lXBzXQElIB858ax55grW3sPT7kLhvm1+LaFFlVZYEySStgiRarYLbdZkE6Tqez1bT&#10;VVmu4hfHOk7yllPKpCN+buE4+bcWOQ3TsfnGJh5LFV6i+5oC2Uumt+tZNE+mWTCfz6ZBMq2i4C5b&#10;l8FtGafpvLor76o3TCufvXkfsmMpHSv1DGo8tnRAlLummM4WkxiDASM/mR/1QURs4a2qrcZIK/ud&#10;29b3sOs+h3EhfBa5/0n4Ef1YiLOGzhpVOOX2p1Sg+VlfPxpuGo5ztVH08KDPIwMD7oNOj5F7QV7b&#10;sH79ZC5/AwAA//8DAFBLAwQUAAYACAAAACEA8llGRN8AAAAKAQAADwAAAGRycy9kb3ducmV2Lnht&#10;bEyPQUvDQBCF74L/YRnBi7SbxFgkZlNEEA+CtFVavG2zYzaYnQ3ZaRP/vVt60OO8ebz3vXI5uU4c&#10;cQitJwXpPAGBVHvTUqPg4/15dg8isCajO0+o4AcDLKvLi1IXxo+0xuOGGxFDKBRagWXuCylDbdHp&#10;MPc9Uvx9+cFpjufQSDPoMYa7TmZJspBOtxQbrO7xyWL9vTk4BW/D2Aa+zfMV8uf25XVnVzdurdT1&#10;1fT4AIJx4j8znPAjOlSRae8PZILoFMzSLG5hBdkiBXEy5OldVPZnRVal/D+h+gUAAP//AwBQSwEC&#10;LQAUAAYACAAAACEAtoM4kv4AAADhAQAAEwAAAAAAAAAAAAAAAAAAAAAAW0NvbnRlbnRfVHlwZXNd&#10;LnhtbFBLAQItABQABgAIAAAAIQA4/SH/1gAAAJQBAAALAAAAAAAAAAAAAAAAAC8BAABfcmVscy8u&#10;cmVsc1BLAQItABQABgAIAAAAIQAtMRxMmQIAAHoFAAAOAAAAAAAAAAAAAAAAAC4CAABkcnMvZTJv&#10;RG9jLnhtbFBLAQItABQABgAIAAAAIQDyWUZE3wAAAAoBAAAPAAAAAAAAAAAAAAAAAPMEAABkcnMv&#10;ZG93bnJldi54bWxQSwUGAAAAAAQABADzAAAA/wUAAAAA&#10;" strokeweight=".26mm">
                <v:stroke joinstyle="miter" endcap="square"/>
              </v:line>
            </w:pict>
          </mc:Fallback>
        </mc:AlternateContent>
      </w:r>
      <w:r w:rsidR="00D346B4" w:rsidRPr="00DE475B">
        <w:rPr>
          <w:rFonts w:ascii="Arial" w:hAnsi="Arial" w:cs="Arial"/>
          <w:b/>
          <w:bCs/>
          <w:sz w:val="20"/>
          <w:szCs w:val="20"/>
        </w:rPr>
        <w:t>For the year ended 30 June 201</w:t>
      </w:r>
      <w:r w:rsidR="008549C6">
        <w:rPr>
          <w:rFonts w:ascii="Arial" w:hAnsi="Arial" w:cs="Arial"/>
          <w:b/>
          <w:bCs/>
          <w:sz w:val="20"/>
          <w:szCs w:val="20"/>
        </w:rPr>
        <w:t>7</w:t>
      </w:r>
      <w:r w:rsidR="00BA05D1">
        <w:rPr>
          <w:rFonts w:ascii="Arial" w:hAnsi="Arial" w:cs="Arial"/>
          <w:b/>
          <w:bCs/>
          <w:sz w:val="20"/>
          <w:szCs w:val="20"/>
        </w:rPr>
        <w:t xml:space="preserve"> </w:t>
      </w:r>
    </w:p>
    <w:tbl>
      <w:tblPr>
        <w:tblW w:w="14206" w:type="dxa"/>
        <w:tblInd w:w="108" w:type="dxa"/>
        <w:tblLayout w:type="fixed"/>
        <w:tblLook w:val="0000" w:firstRow="0" w:lastRow="0" w:firstColumn="0" w:lastColumn="0" w:noHBand="0" w:noVBand="0"/>
      </w:tblPr>
      <w:tblGrid>
        <w:gridCol w:w="368"/>
        <w:gridCol w:w="263"/>
        <w:gridCol w:w="263"/>
        <w:gridCol w:w="1206"/>
        <w:gridCol w:w="2482"/>
        <w:gridCol w:w="1203"/>
        <w:gridCol w:w="1203"/>
        <w:gridCol w:w="1203"/>
        <w:gridCol w:w="1203"/>
        <w:gridCol w:w="1203"/>
        <w:gridCol w:w="1203"/>
        <w:gridCol w:w="1203"/>
        <w:gridCol w:w="1203"/>
      </w:tblGrid>
      <w:tr w:rsidR="00D346B4" w:rsidRPr="00DE475B" w:rsidTr="00BA05D1">
        <w:trPr>
          <w:trHeight w:val="196"/>
        </w:trPr>
        <w:tc>
          <w:tcPr>
            <w:tcW w:w="368" w:type="dxa"/>
            <w:shd w:val="clear" w:color="auto" w:fill="auto"/>
            <w:vAlign w:val="bottom"/>
          </w:tcPr>
          <w:p w:rsidR="00D346B4" w:rsidRPr="00DE475B" w:rsidRDefault="00D346B4">
            <w:pPr>
              <w:snapToGrid w:val="0"/>
              <w:rPr>
                <w:rFonts w:ascii="Arial" w:hAnsi="Arial" w:cs="Arial"/>
                <w:i/>
                <w:iCs/>
                <w:sz w:val="20"/>
                <w:szCs w:val="20"/>
              </w:rPr>
            </w:pPr>
          </w:p>
        </w:tc>
        <w:tc>
          <w:tcPr>
            <w:tcW w:w="263" w:type="dxa"/>
            <w:shd w:val="clear" w:color="auto" w:fill="auto"/>
            <w:vAlign w:val="bottom"/>
          </w:tcPr>
          <w:p w:rsidR="00D346B4" w:rsidRPr="00DE475B" w:rsidRDefault="00D346B4">
            <w:pPr>
              <w:snapToGrid w:val="0"/>
              <w:rPr>
                <w:rFonts w:ascii="Arial" w:hAnsi="Arial" w:cs="Arial"/>
                <w:sz w:val="20"/>
                <w:szCs w:val="20"/>
              </w:rPr>
            </w:pPr>
          </w:p>
        </w:tc>
        <w:tc>
          <w:tcPr>
            <w:tcW w:w="263" w:type="dxa"/>
            <w:shd w:val="clear" w:color="auto" w:fill="auto"/>
            <w:vAlign w:val="bottom"/>
          </w:tcPr>
          <w:p w:rsidR="00D346B4" w:rsidRPr="00DE475B" w:rsidRDefault="00D346B4">
            <w:pPr>
              <w:snapToGrid w:val="0"/>
              <w:rPr>
                <w:rFonts w:ascii="Arial" w:hAnsi="Arial" w:cs="Arial"/>
                <w:sz w:val="20"/>
                <w:szCs w:val="20"/>
              </w:rPr>
            </w:pPr>
          </w:p>
        </w:tc>
        <w:tc>
          <w:tcPr>
            <w:tcW w:w="1206" w:type="dxa"/>
            <w:shd w:val="clear" w:color="auto" w:fill="auto"/>
            <w:vAlign w:val="bottom"/>
          </w:tcPr>
          <w:p w:rsidR="00D346B4" w:rsidRPr="00DE475B" w:rsidRDefault="00D346B4">
            <w:pPr>
              <w:snapToGrid w:val="0"/>
              <w:rPr>
                <w:rFonts w:ascii="Arial" w:hAnsi="Arial" w:cs="Arial"/>
                <w:sz w:val="20"/>
                <w:szCs w:val="20"/>
              </w:rPr>
            </w:pPr>
          </w:p>
        </w:tc>
        <w:tc>
          <w:tcPr>
            <w:tcW w:w="2482" w:type="dxa"/>
            <w:shd w:val="clear" w:color="auto" w:fill="auto"/>
            <w:vAlign w:val="bottom"/>
          </w:tcPr>
          <w:p w:rsidR="00D346B4" w:rsidRPr="00DE475B" w:rsidRDefault="00D346B4">
            <w:pPr>
              <w:snapToGrid w:val="0"/>
              <w:rPr>
                <w:rFonts w:ascii="Arial" w:hAnsi="Arial" w:cs="Arial"/>
                <w:sz w:val="20"/>
                <w:szCs w:val="20"/>
              </w:rPr>
            </w:pPr>
          </w:p>
        </w:tc>
        <w:tc>
          <w:tcPr>
            <w:tcW w:w="2406" w:type="dxa"/>
            <w:gridSpan w:val="2"/>
            <w:shd w:val="clear" w:color="auto" w:fill="auto"/>
            <w:vAlign w:val="center"/>
          </w:tcPr>
          <w:p w:rsidR="00D346B4" w:rsidRPr="00DE475B" w:rsidRDefault="00D346B4">
            <w:pPr>
              <w:jc w:val="center"/>
              <w:rPr>
                <w:rFonts w:ascii="Arial" w:hAnsi="Arial" w:cs="Arial"/>
                <w:b/>
                <w:bCs/>
                <w:spacing w:val="-2"/>
                <w:sz w:val="20"/>
                <w:szCs w:val="20"/>
              </w:rPr>
            </w:pPr>
            <w:r w:rsidRPr="00DE475B">
              <w:rPr>
                <w:rFonts w:ascii="Arial" w:hAnsi="Arial" w:cs="Arial"/>
                <w:b/>
                <w:bCs/>
                <w:spacing w:val="-2"/>
                <w:sz w:val="20"/>
                <w:szCs w:val="20"/>
              </w:rPr>
              <w:t>Accumulated Surplus</w:t>
            </w:r>
          </w:p>
        </w:tc>
        <w:tc>
          <w:tcPr>
            <w:tcW w:w="2406" w:type="dxa"/>
            <w:gridSpan w:val="2"/>
            <w:shd w:val="clear" w:color="auto" w:fill="auto"/>
            <w:vAlign w:val="bottom"/>
          </w:tcPr>
          <w:p w:rsidR="00D346B4" w:rsidRPr="00DE475B" w:rsidRDefault="00D346B4">
            <w:pPr>
              <w:jc w:val="center"/>
              <w:rPr>
                <w:rFonts w:ascii="Arial" w:hAnsi="Arial" w:cs="Arial"/>
                <w:b/>
                <w:bCs/>
                <w:sz w:val="20"/>
                <w:szCs w:val="20"/>
              </w:rPr>
            </w:pPr>
            <w:r w:rsidRPr="00DE475B">
              <w:rPr>
                <w:rFonts w:ascii="Arial" w:hAnsi="Arial" w:cs="Arial"/>
                <w:b/>
                <w:bCs/>
                <w:spacing w:val="-2"/>
                <w:sz w:val="20"/>
                <w:szCs w:val="20"/>
              </w:rPr>
              <w:t>Asset Revaluation Surplus</w:t>
            </w:r>
          </w:p>
        </w:tc>
        <w:tc>
          <w:tcPr>
            <w:tcW w:w="2406" w:type="dxa"/>
            <w:gridSpan w:val="2"/>
            <w:shd w:val="clear" w:color="auto" w:fill="auto"/>
            <w:vAlign w:val="center"/>
          </w:tcPr>
          <w:p w:rsidR="00D346B4" w:rsidRPr="00DE475B" w:rsidRDefault="00D346B4">
            <w:pPr>
              <w:jc w:val="center"/>
              <w:rPr>
                <w:rFonts w:ascii="Arial" w:hAnsi="Arial" w:cs="Arial"/>
                <w:b/>
                <w:bCs/>
                <w:sz w:val="20"/>
                <w:szCs w:val="20"/>
              </w:rPr>
            </w:pPr>
            <w:r w:rsidRPr="00DE475B">
              <w:rPr>
                <w:rFonts w:ascii="Arial" w:hAnsi="Arial" w:cs="Arial"/>
                <w:b/>
                <w:bCs/>
                <w:sz w:val="20"/>
                <w:szCs w:val="20"/>
              </w:rPr>
              <w:t>Contributed equity</w:t>
            </w:r>
          </w:p>
        </w:tc>
        <w:tc>
          <w:tcPr>
            <w:tcW w:w="2406" w:type="dxa"/>
            <w:gridSpan w:val="2"/>
            <w:shd w:val="clear" w:color="auto" w:fill="auto"/>
            <w:vAlign w:val="center"/>
          </w:tcPr>
          <w:p w:rsidR="00D346B4" w:rsidRPr="00DE475B" w:rsidRDefault="00D346B4">
            <w:pPr>
              <w:jc w:val="center"/>
              <w:rPr>
                <w:rFonts w:ascii="Arial" w:hAnsi="Arial" w:cs="Arial"/>
                <w:i/>
                <w:iCs/>
                <w:sz w:val="20"/>
                <w:szCs w:val="20"/>
              </w:rPr>
            </w:pPr>
            <w:r w:rsidRPr="00DE475B">
              <w:rPr>
                <w:rFonts w:ascii="Arial" w:hAnsi="Arial" w:cs="Arial"/>
                <w:b/>
                <w:bCs/>
                <w:sz w:val="20"/>
                <w:szCs w:val="20"/>
              </w:rPr>
              <w:t>TOTAL</w:t>
            </w:r>
          </w:p>
        </w:tc>
      </w:tr>
      <w:tr w:rsidR="00D346B4" w:rsidRPr="00DE475B" w:rsidTr="00BA05D1">
        <w:trPr>
          <w:trHeight w:val="196"/>
        </w:trPr>
        <w:tc>
          <w:tcPr>
            <w:tcW w:w="368" w:type="dxa"/>
            <w:shd w:val="clear" w:color="auto" w:fill="auto"/>
            <w:vAlign w:val="bottom"/>
          </w:tcPr>
          <w:p w:rsidR="00D346B4" w:rsidRPr="00DE475B" w:rsidRDefault="00D346B4">
            <w:pPr>
              <w:snapToGrid w:val="0"/>
              <w:rPr>
                <w:rFonts w:ascii="Arial" w:hAnsi="Arial" w:cs="Arial"/>
                <w:i/>
                <w:iCs/>
                <w:sz w:val="20"/>
                <w:szCs w:val="20"/>
              </w:rPr>
            </w:pPr>
          </w:p>
        </w:tc>
        <w:tc>
          <w:tcPr>
            <w:tcW w:w="263" w:type="dxa"/>
            <w:shd w:val="clear" w:color="auto" w:fill="auto"/>
            <w:vAlign w:val="bottom"/>
          </w:tcPr>
          <w:p w:rsidR="00D346B4" w:rsidRPr="00DE475B" w:rsidRDefault="00D346B4">
            <w:pPr>
              <w:snapToGrid w:val="0"/>
              <w:rPr>
                <w:rFonts w:ascii="Arial" w:hAnsi="Arial" w:cs="Arial"/>
                <w:sz w:val="20"/>
                <w:szCs w:val="20"/>
              </w:rPr>
            </w:pPr>
          </w:p>
        </w:tc>
        <w:tc>
          <w:tcPr>
            <w:tcW w:w="263" w:type="dxa"/>
            <w:shd w:val="clear" w:color="auto" w:fill="auto"/>
            <w:vAlign w:val="bottom"/>
          </w:tcPr>
          <w:p w:rsidR="00D346B4" w:rsidRPr="00DE475B" w:rsidRDefault="00D346B4">
            <w:pPr>
              <w:snapToGrid w:val="0"/>
              <w:rPr>
                <w:rFonts w:ascii="Arial" w:hAnsi="Arial" w:cs="Arial"/>
                <w:sz w:val="20"/>
                <w:szCs w:val="20"/>
              </w:rPr>
            </w:pPr>
          </w:p>
        </w:tc>
        <w:tc>
          <w:tcPr>
            <w:tcW w:w="1206" w:type="dxa"/>
            <w:shd w:val="clear" w:color="auto" w:fill="auto"/>
            <w:vAlign w:val="bottom"/>
          </w:tcPr>
          <w:p w:rsidR="00D346B4" w:rsidRPr="00DE475B" w:rsidRDefault="00D346B4">
            <w:pPr>
              <w:snapToGrid w:val="0"/>
              <w:rPr>
                <w:rFonts w:ascii="Arial" w:hAnsi="Arial" w:cs="Arial"/>
                <w:sz w:val="20"/>
                <w:szCs w:val="20"/>
              </w:rPr>
            </w:pPr>
          </w:p>
        </w:tc>
        <w:tc>
          <w:tcPr>
            <w:tcW w:w="2482" w:type="dxa"/>
            <w:shd w:val="clear" w:color="auto" w:fill="auto"/>
            <w:vAlign w:val="bottom"/>
          </w:tcPr>
          <w:p w:rsidR="00D346B4" w:rsidRPr="00DE475B" w:rsidRDefault="00D346B4">
            <w:pPr>
              <w:snapToGrid w:val="0"/>
              <w:rPr>
                <w:rFonts w:ascii="Arial" w:hAnsi="Arial" w:cs="Arial"/>
                <w:sz w:val="20"/>
                <w:szCs w:val="20"/>
              </w:rPr>
            </w:pPr>
          </w:p>
        </w:tc>
        <w:tc>
          <w:tcPr>
            <w:tcW w:w="1203" w:type="dxa"/>
            <w:shd w:val="clear" w:color="auto" w:fill="auto"/>
            <w:vAlign w:val="center"/>
          </w:tcPr>
          <w:p w:rsidR="00D346B4" w:rsidRPr="00DE475B" w:rsidRDefault="00D346B4">
            <w:pPr>
              <w:snapToGrid w:val="0"/>
              <w:jc w:val="center"/>
              <w:rPr>
                <w:rFonts w:ascii="Arial" w:hAnsi="Arial" w:cs="Arial"/>
                <w:b/>
                <w:bCs/>
                <w:sz w:val="20"/>
                <w:szCs w:val="20"/>
              </w:rPr>
            </w:pPr>
          </w:p>
        </w:tc>
        <w:tc>
          <w:tcPr>
            <w:tcW w:w="1203" w:type="dxa"/>
            <w:shd w:val="clear" w:color="auto" w:fill="auto"/>
            <w:vAlign w:val="center"/>
          </w:tcPr>
          <w:p w:rsidR="00D346B4" w:rsidRPr="00DE475B" w:rsidRDefault="00D346B4">
            <w:pPr>
              <w:snapToGrid w:val="0"/>
              <w:jc w:val="center"/>
              <w:rPr>
                <w:rFonts w:ascii="Arial" w:hAnsi="Arial" w:cs="Arial"/>
                <w:b/>
                <w:bCs/>
                <w:sz w:val="20"/>
                <w:szCs w:val="20"/>
              </w:rPr>
            </w:pPr>
          </w:p>
        </w:tc>
        <w:tc>
          <w:tcPr>
            <w:tcW w:w="2406" w:type="dxa"/>
            <w:gridSpan w:val="2"/>
            <w:shd w:val="clear" w:color="auto" w:fill="auto"/>
            <w:vAlign w:val="bottom"/>
          </w:tcPr>
          <w:p w:rsidR="00D346B4" w:rsidRPr="00DE475B" w:rsidRDefault="00D346B4" w:rsidP="00FC6E42">
            <w:pPr>
              <w:jc w:val="center"/>
              <w:rPr>
                <w:rFonts w:ascii="Arial" w:hAnsi="Arial" w:cs="Arial"/>
                <w:b/>
                <w:bCs/>
                <w:sz w:val="20"/>
                <w:szCs w:val="20"/>
              </w:rPr>
            </w:pPr>
            <w:r w:rsidRPr="00DE475B">
              <w:rPr>
                <w:rFonts w:ascii="Arial" w:hAnsi="Arial" w:cs="Arial"/>
                <w:b/>
                <w:bCs/>
                <w:sz w:val="20"/>
                <w:szCs w:val="20"/>
              </w:rPr>
              <w:t xml:space="preserve">(Note </w:t>
            </w:r>
            <w:r w:rsidR="006403E0" w:rsidRPr="00DE475B">
              <w:rPr>
                <w:rFonts w:ascii="Arial" w:hAnsi="Arial" w:cs="Arial"/>
                <w:b/>
                <w:bCs/>
                <w:sz w:val="20"/>
                <w:szCs w:val="20"/>
              </w:rPr>
              <w:t>C</w:t>
            </w:r>
            <w:r w:rsidR="00FC6E42" w:rsidRPr="00DE475B">
              <w:rPr>
                <w:rFonts w:ascii="Arial" w:hAnsi="Arial" w:cs="Arial"/>
                <w:b/>
                <w:bCs/>
                <w:sz w:val="20"/>
                <w:szCs w:val="20"/>
              </w:rPr>
              <w:t>7</w:t>
            </w:r>
            <w:r w:rsidR="006403E0" w:rsidRPr="00DE475B">
              <w:rPr>
                <w:rFonts w:ascii="Arial" w:hAnsi="Arial" w:cs="Arial"/>
                <w:b/>
                <w:bCs/>
                <w:sz w:val="20"/>
                <w:szCs w:val="20"/>
              </w:rPr>
              <w:t>-</w:t>
            </w:r>
            <w:r w:rsidR="00BA05D1">
              <w:rPr>
                <w:rFonts w:ascii="Arial" w:hAnsi="Arial" w:cs="Arial"/>
                <w:b/>
                <w:bCs/>
                <w:sz w:val="20"/>
                <w:szCs w:val="20"/>
              </w:rPr>
              <w:t>2</w:t>
            </w:r>
            <w:r w:rsidRPr="00DE475B">
              <w:rPr>
                <w:rFonts w:ascii="Arial" w:hAnsi="Arial" w:cs="Arial"/>
                <w:b/>
                <w:bCs/>
                <w:sz w:val="20"/>
                <w:szCs w:val="20"/>
              </w:rPr>
              <w:t>)</w:t>
            </w:r>
          </w:p>
        </w:tc>
        <w:tc>
          <w:tcPr>
            <w:tcW w:w="1203" w:type="dxa"/>
            <w:shd w:val="clear" w:color="auto" w:fill="auto"/>
            <w:vAlign w:val="center"/>
          </w:tcPr>
          <w:p w:rsidR="00D346B4" w:rsidRPr="00DE475B" w:rsidRDefault="00D346B4">
            <w:pPr>
              <w:snapToGrid w:val="0"/>
              <w:jc w:val="center"/>
              <w:rPr>
                <w:rFonts w:ascii="Arial" w:hAnsi="Arial" w:cs="Arial"/>
                <w:b/>
                <w:bCs/>
                <w:sz w:val="20"/>
                <w:szCs w:val="20"/>
              </w:rPr>
            </w:pPr>
          </w:p>
        </w:tc>
        <w:tc>
          <w:tcPr>
            <w:tcW w:w="1203" w:type="dxa"/>
            <w:shd w:val="clear" w:color="auto" w:fill="auto"/>
            <w:vAlign w:val="center"/>
          </w:tcPr>
          <w:p w:rsidR="00D346B4" w:rsidRPr="00DE475B" w:rsidRDefault="00D346B4">
            <w:pPr>
              <w:snapToGrid w:val="0"/>
              <w:jc w:val="center"/>
              <w:rPr>
                <w:rFonts w:ascii="Arial" w:hAnsi="Arial" w:cs="Arial"/>
                <w:b/>
                <w:bCs/>
                <w:sz w:val="20"/>
                <w:szCs w:val="20"/>
              </w:rPr>
            </w:pPr>
          </w:p>
        </w:tc>
        <w:tc>
          <w:tcPr>
            <w:tcW w:w="1203" w:type="dxa"/>
            <w:shd w:val="clear" w:color="auto" w:fill="auto"/>
            <w:vAlign w:val="center"/>
          </w:tcPr>
          <w:p w:rsidR="00D346B4" w:rsidRPr="00DE475B" w:rsidRDefault="00D346B4">
            <w:pPr>
              <w:snapToGrid w:val="0"/>
              <w:jc w:val="center"/>
              <w:rPr>
                <w:rFonts w:ascii="Arial" w:hAnsi="Arial" w:cs="Arial"/>
                <w:b/>
                <w:bCs/>
                <w:sz w:val="20"/>
                <w:szCs w:val="20"/>
              </w:rPr>
            </w:pPr>
          </w:p>
        </w:tc>
        <w:tc>
          <w:tcPr>
            <w:tcW w:w="1203" w:type="dxa"/>
            <w:shd w:val="clear" w:color="auto" w:fill="auto"/>
            <w:vAlign w:val="center"/>
          </w:tcPr>
          <w:p w:rsidR="00D346B4" w:rsidRPr="00DE475B" w:rsidRDefault="00D346B4">
            <w:pPr>
              <w:snapToGrid w:val="0"/>
              <w:jc w:val="center"/>
              <w:rPr>
                <w:rFonts w:ascii="Arial" w:hAnsi="Arial" w:cs="Arial"/>
                <w:b/>
                <w:bCs/>
                <w:sz w:val="20"/>
                <w:szCs w:val="20"/>
              </w:rPr>
            </w:pPr>
          </w:p>
        </w:tc>
      </w:tr>
      <w:tr w:rsidR="00D346B4" w:rsidRPr="00DE475B" w:rsidTr="00BA05D1">
        <w:trPr>
          <w:trHeight w:val="196"/>
        </w:trPr>
        <w:tc>
          <w:tcPr>
            <w:tcW w:w="368" w:type="dxa"/>
            <w:shd w:val="clear" w:color="auto" w:fill="auto"/>
            <w:vAlign w:val="bottom"/>
          </w:tcPr>
          <w:p w:rsidR="00D346B4" w:rsidRPr="00DE475B" w:rsidRDefault="00D346B4">
            <w:pPr>
              <w:snapToGrid w:val="0"/>
              <w:rPr>
                <w:rFonts w:ascii="Arial" w:hAnsi="Arial" w:cs="Arial"/>
                <w:b/>
                <w:bCs/>
                <w:sz w:val="20"/>
                <w:szCs w:val="20"/>
              </w:rPr>
            </w:pPr>
          </w:p>
        </w:tc>
        <w:tc>
          <w:tcPr>
            <w:tcW w:w="263" w:type="dxa"/>
            <w:shd w:val="clear" w:color="auto" w:fill="auto"/>
            <w:vAlign w:val="bottom"/>
          </w:tcPr>
          <w:p w:rsidR="00D346B4" w:rsidRPr="00DE475B" w:rsidRDefault="00D346B4">
            <w:pPr>
              <w:snapToGrid w:val="0"/>
              <w:rPr>
                <w:rFonts w:ascii="Arial" w:hAnsi="Arial" w:cs="Arial"/>
                <w:b/>
                <w:bCs/>
                <w:sz w:val="20"/>
                <w:szCs w:val="20"/>
              </w:rPr>
            </w:pPr>
          </w:p>
        </w:tc>
        <w:tc>
          <w:tcPr>
            <w:tcW w:w="263" w:type="dxa"/>
            <w:shd w:val="clear" w:color="auto" w:fill="auto"/>
            <w:vAlign w:val="bottom"/>
          </w:tcPr>
          <w:p w:rsidR="00D346B4" w:rsidRPr="00DE475B" w:rsidRDefault="00D346B4">
            <w:pPr>
              <w:snapToGrid w:val="0"/>
              <w:rPr>
                <w:rFonts w:ascii="Arial" w:hAnsi="Arial" w:cs="Arial"/>
                <w:b/>
                <w:bCs/>
                <w:sz w:val="20"/>
                <w:szCs w:val="20"/>
              </w:rPr>
            </w:pPr>
          </w:p>
        </w:tc>
        <w:tc>
          <w:tcPr>
            <w:tcW w:w="1206" w:type="dxa"/>
            <w:shd w:val="clear" w:color="auto" w:fill="auto"/>
            <w:vAlign w:val="bottom"/>
          </w:tcPr>
          <w:p w:rsidR="00D346B4" w:rsidRPr="00DE475B" w:rsidRDefault="00D346B4">
            <w:pPr>
              <w:snapToGrid w:val="0"/>
              <w:rPr>
                <w:rFonts w:ascii="Arial" w:hAnsi="Arial" w:cs="Arial"/>
                <w:b/>
                <w:bCs/>
                <w:sz w:val="20"/>
                <w:szCs w:val="20"/>
              </w:rPr>
            </w:pPr>
          </w:p>
        </w:tc>
        <w:tc>
          <w:tcPr>
            <w:tcW w:w="2482" w:type="dxa"/>
            <w:shd w:val="clear" w:color="auto" w:fill="auto"/>
            <w:vAlign w:val="bottom"/>
          </w:tcPr>
          <w:p w:rsidR="00D346B4" w:rsidRPr="00DE475B" w:rsidRDefault="00D346B4">
            <w:pPr>
              <w:snapToGrid w:val="0"/>
              <w:rPr>
                <w:rFonts w:ascii="Arial" w:hAnsi="Arial" w:cs="Arial"/>
                <w:b/>
                <w:bCs/>
                <w:sz w:val="20"/>
                <w:szCs w:val="20"/>
              </w:rPr>
            </w:pPr>
          </w:p>
        </w:tc>
        <w:tc>
          <w:tcPr>
            <w:tcW w:w="1203" w:type="dxa"/>
            <w:vMerge w:val="restart"/>
            <w:shd w:val="clear" w:color="auto" w:fill="auto"/>
          </w:tcPr>
          <w:p w:rsidR="00D346B4" w:rsidRPr="00DE475B" w:rsidRDefault="00D346B4">
            <w:pPr>
              <w:jc w:val="right"/>
              <w:rPr>
                <w:rFonts w:ascii="Arial" w:hAnsi="Arial" w:cs="Arial"/>
                <w:b/>
                <w:bCs/>
                <w:spacing w:val="-2"/>
                <w:sz w:val="20"/>
                <w:szCs w:val="20"/>
              </w:rPr>
            </w:pPr>
            <w:r w:rsidRPr="00DE475B">
              <w:rPr>
                <w:rFonts w:ascii="Arial" w:hAnsi="Arial" w:cs="Arial"/>
                <w:b/>
                <w:bCs/>
                <w:spacing w:val="-2"/>
                <w:sz w:val="20"/>
                <w:szCs w:val="20"/>
              </w:rPr>
              <w:t>Economic Entity</w:t>
            </w:r>
          </w:p>
        </w:tc>
        <w:tc>
          <w:tcPr>
            <w:tcW w:w="1203" w:type="dxa"/>
            <w:vMerge w:val="restart"/>
            <w:shd w:val="clear" w:color="auto" w:fill="auto"/>
          </w:tcPr>
          <w:p w:rsidR="00D346B4" w:rsidRPr="00DE475B" w:rsidRDefault="00D346B4">
            <w:pPr>
              <w:jc w:val="right"/>
              <w:rPr>
                <w:rFonts w:ascii="Arial" w:hAnsi="Arial" w:cs="Arial"/>
                <w:b/>
                <w:bCs/>
                <w:spacing w:val="-2"/>
                <w:sz w:val="20"/>
                <w:szCs w:val="20"/>
              </w:rPr>
            </w:pPr>
            <w:r w:rsidRPr="00DE475B">
              <w:rPr>
                <w:rFonts w:ascii="Arial" w:hAnsi="Arial" w:cs="Arial"/>
                <w:b/>
                <w:bCs/>
                <w:spacing w:val="-2"/>
                <w:sz w:val="20"/>
                <w:szCs w:val="20"/>
              </w:rPr>
              <w:t>Parent Entity</w:t>
            </w:r>
          </w:p>
        </w:tc>
        <w:tc>
          <w:tcPr>
            <w:tcW w:w="1203" w:type="dxa"/>
            <w:vMerge w:val="restart"/>
            <w:shd w:val="clear" w:color="auto" w:fill="auto"/>
          </w:tcPr>
          <w:p w:rsidR="00D346B4" w:rsidRPr="00DE475B" w:rsidRDefault="00D346B4">
            <w:pPr>
              <w:jc w:val="right"/>
              <w:rPr>
                <w:rFonts w:ascii="Arial" w:hAnsi="Arial" w:cs="Arial"/>
                <w:b/>
                <w:bCs/>
                <w:spacing w:val="-2"/>
                <w:sz w:val="20"/>
                <w:szCs w:val="20"/>
              </w:rPr>
            </w:pPr>
            <w:r w:rsidRPr="00DE475B">
              <w:rPr>
                <w:rFonts w:ascii="Arial" w:hAnsi="Arial" w:cs="Arial"/>
                <w:b/>
                <w:bCs/>
                <w:spacing w:val="-2"/>
                <w:sz w:val="20"/>
                <w:szCs w:val="20"/>
              </w:rPr>
              <w:t>Economic Entity</w:t>
            </w:r>
          </w:p>
        </w:tc>
        <w:tc>
          <w:tcPr>
            <w:tcW w:w="1203" w:type="dxa"/>
            <w:vMerge w:val="restart"/>
            <w:shd w:val="clear" w:color="auto" w:fill="auto"/>
          </w:tcPr>
          <w:p w:rsidR="00D346B4" w:rsidRPr="00DE475B" w:rsidRDefault="00D346B4">
            <w:pPr>
              <w:jc w:val="right"/>
              <w:rPr>
                <w:rFonts w:ascii="Arial" w:hAnsi="Arial" w:cs="Arial"/>
                <w:b/>
                <w:bCs/>
                <w:spacing w:val="-2"/>
                <w:sz w:val="20"/>
                <w:szCs w:val="20"/>
              </w:rPr>
            </w:pPr>
            <w:r w:rsidRPr="00DE475B">
              <w:rPr>
                <w:rFonts w:ascii="Arial" w:hAnsi="Arial" w:cs="Arial"/>
                <w:b/>
                <w:bCs/>
                <w:spacing w:val="-2"/>
                <w:sz w:val="20"/>
                <w:szCs w:val="20"/>
              </w:rPr>
              <w:t>Parent Entity</w:t>
            </w:r>
          </w:p>
        </w:tc>
        <w:tc>
          <w:tcPr>
            <w:tcW w:w="1203" w:type="dxa"/>
            <w:vMerge w:val="restart"/>
            <w:shd w:val="clear" w:color="auto" w:fill="auto"/>
          </w:tcPr>
          <w:p w:rsidR="00D346B4" w:rsidRPr="00DE475B" w:rsidRDefault="00D346B4">
            <w:pPr>
              <w:jc w:val="right"/>
              <w:rPr>
                <w:rFonts w:ascii="Arial" w:hAnsi="Arial" w:cs="Arial"/>
                <w:b/>
                <w:bCs/>
                <w:spacing w:val="-2"/>
                <w:sz w:val="20"/>
                <w:szCs w:val="20"/>
              </w:rPr>
            </w:pPr>
            <w:r w:rsidRPr="00DE475B">
              <w:rPr>
                <w:rFonts w:ascii="Arial" w:hAnsi="Arial" w:cs="Arial"/>
                <w:b/>
                <w:bCs/>
                <w:spacing w:val="-2"/>
                <w:sz w:val="20"/>
                <w:szCs w:val="20"/>
              </w:rPr>
              <w:t>Economic Entity</w:t>
            </w:r>
          </w:p>
        </w:tc>
        <w:tc>
          <w:tcPr>
            <w:tcW w:w="1203" w:type="dxa"/>
            <w:vMerge w:val="restart"/>
            <w:shd w:val="clear" w:color="auto" w:fill="auto"/>
          </w:tcPr>
          <w:p w:rsidR="00D346B4" w:rsidRPr="00DE475B" w:rsidRDefault="00D346B4">
            <w:pPr>
              <w:jc w:val="right"/>
              <w:rPr>
                <w:rFonts w:ascii="Arial" w:hAnsi="Arial" w:cs="Arial"/>
                <w:b/>
                <w:bCs/>
                <w:spacing w:val="-2"/>
                <w:sz w:val="20"/>
                <w:szCs w:val="20"/>
              </w:rPr>
            </w:pPr>
            <w:r w:rsidRPr="00DE475B">
              <w:rPr>
                <w:rFonts w:ascii="Arial" w:hAnsi="Arial" w:cs="Arial"/>
                <w:b/>
                <w:bCs/>
                <w:spacing w:val="-2"/>
                <w:sz w:val="20"/>
                <w:szCs w:val="20"/>
              </w:rPr>
              <w:t>Parent Entity</w:t>
            </w:r>
          </w:p>
        </w:tc>
        <w:tc>
          <w:tcPr>
            <w:tcW w:w="1203" w:type="dxa"/>
            <w:vMerge w:val="restart"/>
            <w:shd w:val="clear" w:color="auto" w:fill="auto"/>
          </w:tcPr>
          <w:p w:rsidR="00D346B4" w:rsidRPr="00DE475B" w:rsidRDefault="00D346B4">
            <w:pPr>
              <w:jc w:val="right"/>
              <w:rPr>
                <w:rFonts w:ascii="Arial" w:hAnsi="Arial" w:cs="Arial"/>
                <w:b/>
                <w:bCs/>
                <w:spacing w:val="-2"/>
                <w:sz w:val="20"/>
                <w:szCs w:val="20"/>
              </w:rPr>
            </w:pPr>
            <w:r w:rsidRPr="00DE475B">
              <w:rPr>
                <w:rFonts w:ascii="Arial" w:hAnsi="Arial" w:cs="Arial"/>
                <w:b/>
                <w:bCs/>
                <w:spacing w:val="-2"/>
                <w:sz w:val="20"/>
                <w:szCs w:val="20"/>
              </w:rPr>
              <w:t>Economic Entity</w:t>
            </w:r>
          </w:p>
        </w:tc>
        <w:tc>
          <w:tcPr>
            <w:tcW w:w="1203" w:type="dxa"/>
            <w:vMerge w:val="restart"/>
            <w:shd w:val="clear" w:color="auto" w:fill="auto"/>
          </w:tcPr>
          <w:p w:rsidR="00D346B4" w:rsidRPr="00DE475B" w:rsidRDefault="00D346B4">
            <w:pPr>
              <w:jc w:val="right"/>
              <w:rPr>
                <w:rFonts w:ascii="Arial" w:hAnsi="Arial" w:cs="Arial"/>
                <w:b/>
                <w:bCs/>
                <w:sz w:val="20"/>
                <w:szCs w:val="20"/>
              </w:rPr>
            </w:pPr>
            <w:r w:rsidRPr="00DE475B">
              <w:rPr>
                <w:rFonts w:ascii="Arial" w:hAnsi="Arial" w:cs="Arial"/>
                <w:b/>
                <w:bCs/>
                <w:spacing w:val="-2"/>
                <w:sz w:val="20"/>
                <w:szCs w:val="20"/>
              </w:rPr>
              <w:t>Parent Entity</w:t>
            </w:r>
          </w:p>
        </w:tc>
      </w:tr>
      <w:tr w:rsidR="00D346B4" w:rsidRPr="00DE475B" w:rsidTr="00BA05D1">
        <w:trPr>
          <w:trHeight w:val="196"/>
        </w:trPr>
        <w:tc>
          <w:tcPr>
            <w:tcW w:w="368" w:type="dxa"/>
            <w:shd w:val="clear" w:color="auto" w:fill="auto"/>
            <w:vAlign w:val="bottom"/>
          </w:tcPr>
          <w:p w:rsidR="00D346B4" w:rsidRPr="00DE475B" w:rsidRDefault="00D346B4">
            <w:pPr>
              <w:snapToGrid w:val="0"/>
              <w:rPr>
                <w:rFonts w:ascii="Arial" w:hAnsi="Arial" w:cs="Arial"/>
                <w:b/>
                <w:bCs/>
                <w:sz w:val="20"/>
                <w:szCs w:val="20"/>
              </w:rPr>
            </w:pPr>
          </w:p>
        </w:tc>
        <w:tc>
          <w:tcPr>
            <w:tcW w:w="263" w:type="dxa"/>
            <w:shd w:val="clear" w:color="auto" w:fill="auto"/>
            <w:vAlign w:val="bottom"/>
          </w:tcPr>
          <w:p w:rsidR="00D346B4" w:rsidRPr="00DE475B" w:rsidRDefault="00D346B4">
            <w:pPr>
              <w:snapToGrid w:val="0"/>
              <w:rPr>
                <w:rFonts w:ascii="Arial" w:hAnsi="Arial" w:cs="Arial"/>
                <w:b/>
                <w:bCs/>
                <w:sz w:val="20"/>
                <w:szCs w:val="20"/>
              </w:rPr>
            </w:pPr>
          </w:p>
        </w:tc>
        <w:tc>
          <w:tcPr>
            <w:tcW w:w="263" w:type="dxa"/>
            <w:shd w:val="clear" w:color="auto" w:fill="auto"/>
            <w:vAlign w:val="bottom"/>
          </w:tcPr>
          <w:p w:rsidR="00D346B4" w:rsidRPr="00DE475B" w:rsidRDefault="00D346B4">
            <w:pPr>
              <w:snapToGrid w:val="0"/>
              <w:rPr>
                <w:rFonts w:ascii="Arial" w:hAnsi="Arial" w:cs="Arial"/>
                <w:b/>
                <w:bCs/>
                <w:sz w:val="20"/>
                <w:szCs w:val="20"/>
              </w:rPr>
            </w:pPr>
          </w:p>
        </w:tc>
        <w:tc>
          <w:tcPr>
            <w:tcW w:w="1206" w:type="dxa"/>
            <w:shd w:val="clear" w:color="auto" w:fill="auto"/>
            <w:vAlign w:val="bottom"/>
          </w:tcPr>
          <w:p w:rsidR="00D346B4" w:rsidRPr="00DE475B" w:rsidRDefault="00D346B4">
            <w:pPr>
              <w:snapToGrid w:val="0"/>
              <w:rPr>
                <w:rFonts w:ascii="Arial" w:hAnsi="Arial" w:cs="Arial"/>
                <w:b/>
                <w:bCs/>
                <w:sz w:val="20"/>
                <w:szCs w:val="20"/>
              </w:rPr>
            </w:pPr>
          </w:p>
        </w:tc>
        <w:tc>
          <w:tcPr>
            <w:tcW w:w="2482" w:type="dxa"/>
            <w:shd w:val="clear" w:color="auto" w:fill="auto"/>
            <w:vAlign w:val="bottom"/>
          </w:tcPr>
          <w:p w:rsidR="00D346B4" w:rsidRPr="00DE475B" w:rsidRDefault="00D346B4">
            <w:pPr>
              <w:snapToGrid w:val="0"/>
              <w:rPr>
                <w:rFonts w:ascii="Arial" w:hAnsi="Arial" w:cs="Arial"/>
                <w:b/>
                <w:bCs/>
                <w:sz w:val="20"/>
                <w:szCs w:val="20"/>
              </w:rPr>
            </w:pPr>
          </w:p>
        </w:tc>
        <w:tc>
          <w:tcPr>
            <w:tcW w:w="1203" w:type="dxa"/>
            <w:vMerge/>
            <w:shd w:val="clear" w:color="auto" w:fill="auto"/>
            <w:vAlign w:val="center"/>
          </w:tcPr>
          <w:p w:rsidR="00D346B4" w:rsidRPr="00DE475B" w:rsidRDefault="00D346B4">
            <w:pPr>
              <w:snapToGrid w:val="0"/>
              <w:rPr>
                <w:rFonts w:ascii="Arial" w:hAnsi="Arial" w:cs="Arial"/>
                <w:b/>
                <w:bCs/>
                <w:sz w:val="20"/>
                <w:szCs w:val="20"/>
              </w:rPr>
            </w:pPr>
          </w:p>
        </w:tc>
        <w:tc>
          <w:tcPr>
            <w:tcW w:w="1203" w:type="dxa"/>
            <w:vMerge/>
            <w:shd w:val="clear" w:color="auto" w:fill="auto"/>
            <w:vAlign w:val="center"/>
          </w:tcPr>
          <w:p w:rsidR="00D346B4" w:rsidRPr="00DE475B" w:rsidRDefault="00D346B4">
            <w:pPr>
              <w:snapToGrid w:val="0"/>
              <w:rPr>
                <w:rFonts w:ascii="Arial" w:hAnsi="Arial" w:cs="Arial"/>
                <w:b/>
                <w:bCs/>
                <w:sz w:val="20"/>
                <w:szCs w:val="20"/>
              </w:rPr>
            </w:pPr>
          </w:p>
        </w:tc>
        <w:tc>
          <w:tcPr>
            <w:tcW w:w="1203" w:type="dxa"/>
            <w:vMerge/>
            <w:shd w:val="clear" w:color="auto" w:fill="auto"/>
            <w:vAlign w:val="center"/>
          </w:tcPr>
          <w:p w:rsidR="00D346B4" w:rsidRPr="00DE475B" w:rsidRDefault="00D346B4">
            <w:pPr>
              <w:snapToGrid w:val="0"/>
              <w:rPr>
                <w:rFonts w:ascii="Arial" w:hAnsi="Arial" w:cs="Arial"/>
                <w:b/>
                <w:bCs/>
                <w:sz w:val="20"/>
                <w:szCs w:val="20"/>
              </w:rPr>
            </w:pPr>
          </w:p>
        </w:tc>
        <w:tc>
          <w:tcPr>
            <w:tcW w:w="1203" w:type="dxa"/>
            <w:vMerge/>
            <w:shd w:val="clear" w:color="auto" w:fill="auto"/>
            <w:vAlign w:val="center"/>
          </w:tcPr>
          <w:p w:rsidR="00D346B4" w:rsidRPr="00DE475B" w:rsidRDefault="00D346B4">
            <w:pPr>
              <w:snapToGrid w:val="0"/>
              <w:rPr>
                <w:rFonts w:ascii="Arial" w:hAnsi="Arial" w:cs="Arial"/>
                <w:b/>
                <w:bCs/>
                <w:sz w:val="20"/>
                <w:szCs w:val="20"/>
              </w:rPr>
            </w:pPr>
          </w:p>
        </w:tc>
        <w:tc>
          <w:tcPr>
            <w:tcW w:w="1203" w:type="dxa"/>
            <w:vMerge/>
            <w:shd w:val="clear" w:color="auto" w:fill="auto"/>
            <w:vAlign w:val="center"/>
          </w:tcPr>
          <w:p w:rsidR="00D346B4" w:rsidRPr="00DE475B" w:rsidRDefault="00D346B4">
            <w:pPr>
              <w:snapToGrid w:val="0"/>
              <w:rPr>
                <w:rFonts w:ascii="Arial" w:hAnsi="Arial" w:cs="Arial"/>
                <w:b/>
                <w:bCs/>
                <w:sz w:val="20"/>
                <w:szCs w:val="20"/>
              </w:rPr>
            </w:pPr>
          </w:p>
        </w:tc>
        <w:tc>
          <w:tcPr>
            <w:tcW w:w="1203" w:type="dxa"/>
            <w:vMerge/>
            <w:shd w:val="clear" w:color="auto" w:fill="auto"/>
            <w:vAlign w:val="center"/>
          </w:tcPr>
          <w:p w:rsidR="00D346B4" w:rsidRPr="00DE475B" w:rsidRDefault="00D346B4">
            <w:pPr>
              <w:snapToGrid w:val="0"/>
              <w:rPr>
                <w:rFonts w:ascii="Arial" w:hAnsi="Arial" w:cs="Arial"/>
                <w:b/>
                <w:bCs/>
                <w:sz w:val="20"/>
                <w:szCs w:val="20"/>
              </w:rPr>
            </w:pPr>
          </w:p>
        </w:tc>
        <w:tc>
          <w:tcPr>
            <w:tcW w:w="1203" w:type="dxa"/>
            <w:vMerge/>
            <w:shd w:val="clear" w:color="auto" w:fill="auto"/>
            <w:vAlign w:val="center"/>
          </w:tcPr>
          <w:p w:rsidR="00D346B4" w:rsidRPr="00DE475B" w:rsidRDefault="00D346B4">
            <w:pPr>
              <w:snapToGrid w:val="0"/>
              <w:rPr>
                <w:rFonts w:ascii="Arial" w:hAnsi="Arial" w:cs="Arial"/>
                <w:b/>
                <w:bCs/>
                <w:sz w:val="20"/>
                <w:szCs w:val="20"/>
              </w:rPr>
            </w:pPr>
          </w:p>
        </w:tc>
        <w:tc>
          <w:tcPr>
            <w:tcW w:w="1203" w:type="dxa"/>
            <w:vMerge/>
            <w:shd w:val="clear" w:color="auto" w:fill="auto"/>
            <w:vAlign w:val="center"/>
          </w:tcPr>
          <w:p w:rsidR="00D346B4" w:rsidRPr="00DE475B" w:rsidRDefault="00D346B4">
            <w:pPr>
              <w:snapToGrid w:val="0"/>
              <w:rPr>
                <w:rFonts w:ascii="Arial" w:hAnsi="Arial" w:cs="Arial"/>
                <w:b/>
                <w:bCs/>
                <w:sz w:val="20"/>
                <w:szCs w:val="20"/>
              </w:rPr>
            </w:pPr>
          </w:p>
        </w:tc>
      </w:tr>
      <w:tr w:rsidR="00D346B4" w:rsidRPr="00DE475B" w:rsidTr="00BA05D1">
        <w:trPr>
          <w:trHeight w:val="196"/>
        </w:trPr>
        <w:tc>
          <w:tcPr>
            <w:tcW w:w="368" w:type="dxa"/>
            <w:shd w:val="clear" w:color="auto" w:fill="auto"/>
            <w:vAlign w:val="bottom"/>
          </w:tcPr>
          <w:p w:rsidR="00D346B4" w:rsidRPr="00DE475B" w:rsidRDefault="00D346B4">
            <w:pPr>
              <w:snapToGrid w:val="0"/>
              <w:jc w:val="right"/>
              <w:rPr>
                <w:rFonts w:ascii="Arial" w:hAnsi="Arial" w:cs="Arial"/>
                <w:b/>
                <w:bCs/>
                <w:sz w:val="20"/>
                <w:szCs w:val="20"/>
              </w:rPr>
            </w:pPr>
          </w:p>
        </w:tc>
        <w:tc>
          <w:tcPr>
            <w:tcW w:w="263" w:type="dxa"/>
            <w:shd w:val="clear" w:color="auto" w:fill="auto"/>
            <w:vAlign w:val="bottom"/>
          </w:tcPr>
          <w:p w:rsidR="00D346B4" w:rsidRPr="00DE475B" w:rsidRDefault="00D346B4">
            <w:pPr>
              <w:snapToGrid w:val="0"/>
              <w:jc w:val="right"/>
              <w:rPr>
                <w:rFonts w:ascii="Arial" w:hAnsi="Arial" w:cs="Arial"/>
                <w:b/>
                <w:bCs/>
                <w:sz w:val="20"/>
                <w:szCs w:val="20"/>
              </w:rPr>
            </w:pPr>
          </w:p>
        </w:tc>
        <w:tc>
          <w:tcPr>
            <w:tcW w:w="263" w:type="dxa"/>
            <w:shd w:val="clear" w:color="auto" w:fill="auto"/>
            <w:vAlign w:val="bottom"/>
          </w:tcPr>
          <w:p w:rsidR="00D346B4" w:rsidRPr="00DE475B" w:rsidRDefault="00D346B4">
            <w:pPr>
              <w:snapToGrid w:val="0"/>
              <w:jc w:val="right"/>
              <w:rPr>
                <w:rFonts w:ascii="Arial" w:hAnsi="Arial" w:cs="Arial"/>
                <w:b/>
                <w:bCs/>
                <w:sz w:val="20"/>
                <w:szCs w:val="20"/>
              </w:rPr>
            </w:pPr>
          </w:p>
        </w:tc>
        <w:tc>
          <w:tcPr>
            <w:tcW w:w="1206" w:type="dxa"/>
            <w:shd w:val="clear" w:color="auto" w:fill="auto"/>
            <w:vAlign w:val="bottom"/>
          </w:tcPr>
          <w:p w:rsidR="00D346B4" w:rsidRPr="00DE475B" w:rsidRDefault="00D346B4">
            <w:pPr>
              <w:snapToGrid w:val="0"/>
              <w:jc w:val="right"/>
              <w:rPr>
                <w:rFonts w:ascii="Arial" w:hAnsi="Arial" w:cs="Arial"/>
                <w:b/>
                <w:bCs/>
                <w:sz w:val="20"/>
                <w:szCs w:val="20"/>
              </w:rPr>
            </w:pPr>
          </w:p>
        </w:tc>
        <w:tc>
          <w:tcPr>
            <w:tcW w:w="2482" w:type="dxa"/>
            <w:shd w:val="clear" w:color="auto" w:fill="auto"/>
            <w:vAlign w:val="bottom"/>
          </w:tcPr>
          <w:p w:rsidR="00D346B4" w:rsidRPr="00DE475B" w:rsidRDefault="00D346B4">
            <w:pPr>
              <w:snapToGrid w:val="0"/>
              <w:jc w:val="right"/>
              <w:rPr>
                <w:rFonts w:ascii="Arial" w:hAnsi="Arial" w:cs="Arial"/>
                <w:b/>
                <w:bCs/>
                <w:sz w:val="20"/>
                <w:szCs w:val="20"/>
              </w:rPr>
            </w:pPr>
          </w:p>
        </w:tc>
        <w:tc>
          <w:tcPr>
            <w:tcW w:w="1203" w:type="dxa"/>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$'000</w:t>
            </w:r>
          </w:p>
        </w:tc>
        <w:tc>
          <w:tcPr>
            <w:tcW w:w="1203" w:type="dxa"/>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$'000</w:t>
            </w:r>
          </w:p>
        </w:tc>
        <w:tc>
          <w:tcPr>
            <w:tcW w:w="1203" w:type="dxa"/>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$'000</w:t>
            </w:r>
          </w:p>
        </w:tc>
        <w:tc>
          <w:tcPr>
            <w:tcW w:w="1203" w:type="dxa"/>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$'000</w:t>
            </w:r>
          </w:p>
        </w:tc>
        <w:tc>
          <w:tcPr>
            <w:tcW w:w="1203" w:type="dxa"/>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$'000</w:t>
            </w:r>
          </w:p>
        </w:tc>
        <w:tc>
          <w:tcPr>
            <w:tcW w:w="1203" w:type="dxa"/>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$'000</w:t>
            </w:r>
          </w:p>
        </w:tc>
        <w:tc>
          <w:tcPr>
            <w:tcW w:w="1203" w:type="dxa"/>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$'000</w:t>
            </w:r>
          </w:p>
        </w:tc>
        <w:tc>
          <w:tcPr>
            <w:tcW w:w="1203" w:type="dxa"/>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$'000</w:t>
            </w:r>
          </w:p>
        </w:tc>
      </w:tr>
      <w:tr w:rsidR="00D346B4" w:rsidRPr="00DE475B" w:rsidTr="00BA05D1">
        <w:trPr>
          <w:trHeight w:val="104"/>
        </w:trPr>
        <w:tc>
          <w:tcPr>
            <w:tcW w:w="368" w:type="dxa"/>
            <w:shd w:val="clear" w:color="auto" w:fill="auto"/>
            <w:vAlign w:val="bottom"/>
          </w:tcPr>
          <w:p w:rsidR="00D346B4" w:rsidRPr="00DE475B" w:rsidRDefault="00D346B4">
            <w:pPr>
              <w:snapToGrid w:val="0"/>
              <w:rPr>
                <w:rFonts w:ascii="Arial" w:hAnsi="Arial" w:cs="Arial"/>
                <w:b/>
                <w:bCs/>
                <w:sz w:val="16"/>
                <w:szCs w:val="16"/>
              </w:rPr>
            </w:pPr>
          </w:p>
        </w:tc>
        <w:tc>
          <w:tcPr>
            <w:tcW w:w="263" w:type="dxa"/>
            <w:shd w:val="clear" w:color="auto" w:fill="auto"/>
            <w:vAlign w:val="bottom"/>
          </w:tcPr>
          <w:p w:rsidR="00D346B4" w:rsidRPr="00DE475B" w:rsidRDefault="00D346B4">
            <w:pPr>
              <w:snapToGrid w:val="0"/>
              <w:rPr>
                <w:rFonts w:ascii="Arial" w:hAnsi="Arial" w:cs="Arial"/>
                <w:b/>
                <w:bCs/>
                <w:sz w:val="16"/>
                <w:szCs w:val="16"/>
              </w:rPr>
            </w:pPr>
          </w:p>
        </w:tc>
        <w:tc>
          <w:tcPr>
            <w:tcW w:w="263" w:type="dxa"/>
            <w:shd w:val="clear" w:color="auto" w:fill="auto"/>
            <w:vAlign w:val="bottom"/>
          </w:tcPr>
          <w:p w:rsidR="00D346B4" w:rsidRPr="00DE475B" w:rsidRDefault="00D346B4">
            <w:pPr>
              <w:snapToGrid w:val="0"/>
              <w:rPr>
                <w:rFonts w:ascii="Arial" w:hAnsi="Arial" w:cs="Arial"/>
                <w:sz w:val="16"/>
                <w:szCs w:val="16"/>
              </w:rPr>
            </w:pPr>
          </w:p>
        </w:tc>
        <w:tc>
          <w:tcPr>
            <w:tcW w:w="1206" w:type="dxa"/>
            <w:shd w:val="clear" w:color="auto" w:fill="auto"/>
            <w:vAlign w:val="bottom"/>
          </w:tcPr>
          <w:p w:rsidR="00D346B4" w:rsidRPr="00DE475B" w:rsidRDefault="00D346B4">
            <w:pPr>
              <w:snapToGrid w:val="0"/>
              <w:rPr>
                <w:rFonts w:ascii="Arial" w:hAnsi="Arial" w:cs="Arial"/>
                <w:sz w:val="16"/>
                <w:szCs w:val="16"/>
              </w:rPr>
            </w:pPr>
          </w:p>
        </w:tc>
        <w:tc>
          <w:tcPr>
            <w:tcW w:w="2482" w:type="dxa"/>
            <w:shd w:val="clear" w:color="auto" w:fill="auto"/>
            <w:vAlign w:val="bottom"/>
          </w:tcPr>
          <w:p w:rsidR="00D346B4" w:rsidRPr="00DE475B" w:rsidRDefault="00D346B4">
            <w:pPr>
              <w:snapToGrid w:val="0"/>
              <w:rPr>
                <w:rFonts w:ascii="Arial" w:hAnsi="Arial" w:cs="Arial"/>
                <w:sz w:val="16"/>
                <w:szCs w:val="16"/>
              </w:rPr>
            </w:pPr>
          </w:p>
        </w:tc>
        <w:tc>
          <w:tcPr>
            <w:tcW w:w="1203" w:type="dxa"/>
            <w:shd w:val="clear" w:color="auto" w:fill="auto"/>
            <w:vAlign w:val="bottom"/>
          </w:tcPr>
          <w:p w:rsidR="00D346B4" w:rsidRPr="00DE475B" w:rsidRDefault="00D346B4">
            <w:pPr>
              <w:snapToGrid w:val="0"/>
              <w:rPr>
                <w:rFonts w:ascii="Arial" w:hAnsi="Arial" w:cs="Arial"/>
                <w:sz w:val="16"/>
                <w:szCs w:val="16"/>
              </w:rPr>
            </w:pPr>
          </w:p>
        </w:tc>
        <w:tc>
          <w:tcPr>
            <w:tcW w:w="1203" w:type="dxa"/>
            <w:shd w:val="clear" w:color="auto" w:fill="auto"/>
            <w:vAlign w:val="bottom"/>
          </w:tcPr>
          <w:p w:rsidR="00D346B4" w:rsidRPr="00DE475B" w:rsidRDefault="00D346B4">
            <w:pPr>
              <w:snapToGrid w:val="0"/>
              <w:rPr>
                <w:rFonts w:ascii="Arial" w:hAnsi="Arial" w:cs="Arial"/>
                <w:sz w:val="16"/>
                <w:szCs w:val="16"/>
              </w:rPr>
            </w:pPr>
          </w:p>
        </w:tc>
        <w:tc>
          <w:tcPr>
            <w:tcW w:w="1203" w:type="dxa"/>
            <w:shd w:val="clear" w:color="auto" w:fill="auto"/>
            <w:vAlign w:val="bottom"/>
          </w:tcPr>
          <w:p w:rsidR="00D346B4" w:rsidRPr="00DE475B" w:rsidRDefault="00D346B4">
            <w:pPr>
              <w:snapToGrid w:val="0"/>
              <w:rPr>
                <w:rFonts w:ascii="Arial" w:hAnsi="Arial" w:cs="Arial"/>
                <w:sz w:val="16"/>
                <w:szCs w:val="16"/>
              </w:rPr>
            </w:pPr>
          </w:p>
        </w:tc>
        <w:tc>
          <w:tcPr>
            <w:tcW w:w="1203" w:type="dxa"/>
            <w:shd w:val="clear" w:color="auto" w:fill="auto"/>
            <w:vAlign w:val="bottom"/>
          </w:tcPr>
          <w:p w:rsidR="00D346B4" w:rsidRPr="00DE475B" w:rsidRDefault="00D346B4">
            <w:pPr>
              <w:snapToGrid w:val="0"/>
              <w:rPr>
                <w:rFonts w:ascii="Arial" w:hAnsi="Arial" w:cs="Arial"/>
                <w:sz w:val="16"/>
                <w:szCs w:val="16"/>
              </w:rPr>
            </w:pPr>
          </w:p>
        </w:tc>
        <w:tc>
          <w:tcPr>
            <w:tcW w:w="1203" w:type="dxa"/>
            <w:shd w:val="clear" w:color="auto" w:fill="auto"/>
            <w:vAlign w:val="bottom"/>
          </w:tcPr>
          <w:p w:rsidR="00D346B4" w:rsidRPr="00DE475B" w:rsidRDefault="00D346B4">
            <w:pPr>
              <w:snapToGrid w:val="0"/>
              <w:rPr>
                <w:rFonts w:ascii="Arial" w:hAnsi="Arial" w:cs="Arial"/>
                <w:sz w:val="16"/>
                <w:szCs w:val="16"/>
              </w:rPr>
            </w:pPr>
          </w:p>
        </w:tc>
        <w:tc>
          <w:tcPr>
            <w:tcW w:w="1203" w:type="dxa"/>
            <w:shd w:val="clear" w:color="auto" w:fill="auto"/>
            <w:vAlign w:val="bottom"/>
          </w:tcPr>
          <w:p w:rsidR="00D346B4" w:rsidRPr="00DE475B" w:rsidRDefault="00D346B4">
            <w:pPr>
              <w:snapToGrid w:val="0"/>
              <w:rPr>
                <w:rFonts w:ascii="Arial" w:hAnsi="Arial" w:cs="Arial"/>
                <w:sz w:val="16"/>
                <w:szCs w:val="16"/>
              </w:rPr>
            </w:pPr>
          </w:p>
        </w:tc>
        <w:tc>
          <w:tcPr>
            <w:tcW w:w="1203" w:type="dxa"/>
            <w:shd w:val="clear" w:color="auto" w:fill="auto"/>
            <w:vAlign w:val="bottom"/>
          </w:tcPr>
          <w:p w:rsidR="00D346B4" w:rsidRPr="00DE475B" w:rsidRDefault="00D346B4">
            <w:pPr>
              <w:snapToGrid w:val="0"/>
              <w:rPr>
                <w:rFonts w:ascii="Arial" w:hAnsi="Arial" w:cs="Arial"/>
                <w:sz w:val="16"/>
                <w:szCs w:val="16"/>
              </w:rPr>
            </w:pPr>
          </w:p>
        </w:tc>
        <w:tc>
          <w:tcPr>
            <w:tcW w:w="1203" w:type="dxa"/>
            <w:shd w:val="clear" w:color="auto" w:fill="auto"/>
            <w:vAlign w:val="bottom"/>
          </w:tcPr>
          <w:p w:rsidR="00D346B4" w:rsidRPr="00DE475B" w:rsidRDefault="00D346B4">
            <w:pPr>
              <w:snapToGrid w:val="0"/>
              <w:rPr>
                <w:rFonts w:ascii="Arial" w:hAnsi="Arial" w:cs="Arial"/>
                <w:sz w:val="16"/>
                <w:szCs w:val="16"/>
              </w:rPr>
            </w:pPr>
          </w:p>
        </w:tc>
      </w:tr>
      <w:tr w:rsidR="00BA05D1" w:rsidRPr="00DE475B" w:rsidTr="00BA05D1">
        <w:trPr>
          <w:trHeight w:val="196"/>
        </w:trPr>
        <w:tc>
          <w:tcPr>
            <w:tcW w:w="4582" w:type="dxa"/>
            <w:gridSpan w:val="5"/>
            <w:shd w:val="clear" w:color="auto" w:fill="auto"/>
            <w:vAlign w:val="bottom"/>
          </w:tcPr>
          <w:p w:rsidR="00BA05D1" w:rsidRPr="00DE475B" w:rsidRDefault="00BA05D1" w:rsidP="00E11A54">
            <w:pPr>
              <w:rPr>
                <w:rFonts w:ascii="Arial" w:hAnsi="Arial" w:cs="Arial"/>
                <w:sz w:val="20"/>
                <w:szCs w:val="20"/>
              </w:rPr>
            </w:pPr>
            <w:r>
              <w:rPr>
                <w:rFonts w:ascii="Arial" w:hAnsi="Arial" w:cs="Arial"/>
                <w:b/>
                <w:bCs/>
                <w:sz w:val="20"/>
                <w:szCs w:val="20"/>
              </w:rPr>
              <w:t>Balance 1 July 2015</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70,145</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64,730</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55,359</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55,359</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1,465 </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1,465 </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126,969 </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121,554 </w:t>
            </w:r>
          </w:p>
        </w:tc>
      </w:tr>
      <w:tr w:rsidR="00BA05D1" w:rsidRPr="00DE475B" w:rsidTr="001F339E">
        <w:trPr>
          <w:trHeight w:val="196"/>
        </w:trPr>
        <w:tc>
          <w:tcPr>
            <w:tcW w:w="4582" w:type="dxa"/>
            <w:gridSpan w:val="5"/>
            <w:shd w:val="clear" w:color="auto" w:fill="auto"/>
            <w:vAlign w:val="bottom"/>
          </w:tcPr>
          <w:p w:rsidR="00BA05D1" w:rsidRPr="00DE475B" w:rsidRDefault="00BA05D1">
            <w:pPr>
              <w:rPr>
                <w:rFonts w:ascii="Arial" w:hAnsi="Arial" w:cs="Arial"/>
                <w:sz w:val="20"/>
                <w:szCs w:val="20"/>
              </w:rPr>
            </w:pPr>
            <w:r w:rsidRPr="00DE475B">
              <w:rPr>
                <w:rFonts w:ascii="Arial" w:hAnsi="Arial" w:cs="Arial"/>
                <w:sz w:val="20"/>
                <w:szCs w:val="20"/>
              </w:rPr>
              <w:t>Operating Result from Continuing Operations</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2,461 </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2,275 </w:t>
            </w:r>
          </w:p>
        </w:tc>
        <w:tc>
          <w:tcPr>
            <w:tcW w:w="1203" w:type="dxa"/>
            <w:shd w:val="clear" w:color="auto" w:fill="auto"/>
            <w:vAlign w:val="bottom"/>
          </w:tcPr>
          <w:p w:rsidR="00BA05D1" w:rsidRPr="00DE475B" w:rsidRDefault="00BA05D1" w:rsidP="00BA05D1">
            <w:pPr>
              <w:jc w:val="right"/>
              <w:rPr>
                <w:rFonts w:ascii="Arial" w:hAnsi="Arial" w:cs="Arial"/>
                <w:sz w:val="20"/>
                <w:szCs w:val="20"/>
              </w:rPr>
            </w:pPr>
            <w:r>
              <w:rPr>
                <w:rFonts w:ascii="Arial" w:hAnsi="Arial" w:cs="Arial"/>
                <w:sz w:val="20"/>
                <w:szCs w:val="20"/>
              </w:rPr>
              <w:t>-</w:t>
            </w:r>
          </w:p>
        </w:tc>
        <w:tc>
          <w:tcPr>
            <w:tcW w:w="1203" w:type="dxa"/>
            <w:shd w:val="clear" w:color="auto" w:fill="auto"/>
            <w:vAlign w:val="bottom"/>
          </w:tcPr>
          <w:p w:rsidR="00BA05D1" w:rsidRPr="00DE475B" w:rsidRDefault="00BA05D1" w:rsidP="00BA05D1">
            <w:pPr>
              <w:jc w:val="right"/>
              <w:rPr>
                <w:rFonts w:ascii="Arial" w:hAnsi="Arial" w:cs="Arial"/>
                <w:sz w:val="20"/>
                <w:szCs w:val="20"/>
              </w:rPr>
            </w:pPr>
            <w:r>
              <w:rPr>
                <w:rFonts w:ascii="Arial" w:hAnsi="Arial" w:cs="Arial"/>
                <w:sz w:val="20"/>
                <w:szCs w:val="20"/>
              </w:rPr>
              <w:t>-</w:t>
            </w:r>
          </w:p>
        </w:tc>
        <w:tc>
          <w:tcPr>
            <w:tcW w:w="1203" w:type="dxa"/>
            <w:shd w:val="clear" w:color="auto" w:fill="auto"/>
            <w:vAlign w:val="bottom"/>
          </w:tcPr>
          <w:p w:rsidR="00BA05D1" w:rsidRPr="00DE475B" w:rsidRDefault="00BA05D1" w:rsidP="00704C2E">
            <w:pPr>
              <w:jc w:val="right"/>
              <w:rPr>
                <w:rFonts w:ascii="Arial" w:hAnsi="Arial" w:cs="Arial"/>
                <w:sz w:val="20"/>
                <w:szCs w:val="20"/>
              </w:rPr>
            </w:pPr>
            <w:r w:rsidRPr="00DE475B">
              <w:rPr>
                <w:rFonts w:ascii="Arial" w:hAnsi="Arial" w:cs="Arial"/>
                <w:sz w:val="20"/>
                <w:szCs w:val="20"/>
              </w:rPr>
              <w:t xml:space="preserve">-  </w:t>
            </w:r>
          </w:p>
        </w:tc>
        <w:tc>
          <w:tcPr>
            <w:tcW w:w="1203" w:type="dxa"/>
            <w:shd w:val="clear" w:color="auto" w:fill="auto"/>
            <w:vAlign w:val="bottom"/>
          </w:tcPr>
          <w:p w:rsidR="00BA05D1" w:rsidRPr="00DE475B" w:rsidRDefault="00BA05D1" w:rsidP="00704C2E">
            <w:pPr>
              <w:jc w:val="right"/>
              <w:rPr>
                <w:rFonts w:ascii="Arial" w:hAnsi="Arial" w:cs="Arial"/>
                <w:sz w:val="20"/>
                <w:szCs w:val="20"/>
              </w:rPr>
            </w:pPr>
            <w:r w:rsidRPr="00DE475B">
              <w:rPr>
                <w:rFonts w:ascii="Arial" w:hAnsi="Arial" w:cs="Arial"/>
                <w:sz w:val="20"/>
                <w:szCs w:val="20"/>
              </w:rPr>
              <w:t xml:space="preserve">-  </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2,461 </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2,275 </w:t>
            </w:r>
          </w:p>
        </w:tc>
      </w:tr>
      <w:tr w:rsidR="00BA05D1" w:rsidRPr="00DE475B" w:rsidTr="00BA05D1">
        <w:trPr>
          <w:trHeight w:val="148"/>
        </w:trPr>
        <w:tc>
          <w:tcPr>
            <w:tcW w:w="368" w:type="dxa"/>
            <w:shd w:val="clear" w:color="auto" w:fill="auto"/>
            <w:vAlign w:val="bottom"/>
          </w:tcPr>
          <w:p w:rsidR="00BA05D1" w:rsidRPr="00DE475B" w:rsidRDefault="00BA05D1">
            <w:pPr>
              <w:snapToGrid w:val="0"/>
              <w:rPr>
                <w:rFonts w:ascii="Arial" w:hAnsi="Arial" w:cs="Arial"/>
                <w:sz w:val="16"/>
                <w:szCs w:val="16"/>
              </w:rPr>
            </w:pPr>
          </w:p>
        </w:tc>
        <w:tc>
          <w:tcPr>
            <w:tcW w:w="263" w:type="dxa"/>
            <w:shd w:val="clear" w:color="auto" w:fill="auto"/>
            <w:vAlign w:val="bottom"/>
          </w:tcPr>
          <w:p w:rsidR="00BA05D1" w:rsidRPr="00DE475B" w:rsidRDefault="00BA05D1">
            <w:pPr>
              <w:snapToGrid w:val="0"/>
              <w:rPr>
                <w:rFonts w:ascii="Arial" w:hAnsi="Arial" w:cs="Arial"/>
                <w:sz w:val="16"/>
                <w:szCs w:val="16"/>
              </w:rPr>
            </w:pPr>
          </w:p>
        </w:tc>
        <w:tc>
          <w:tcPr>
            <w:tcW w:w="263" w:type="dxa"/>
            <w:shd w:val="clear" w:color="auto" w:fill="auto"/>
            <w:vAlign w:val="bottom"/>
          </w:tcPr>
          <w:p w:rsidR="00BA05D1" w:rsidRPr="00DE475B" w:rsidRDefault="00BA05D1">
            <w:pPr>
              <w:snapToGrid w:val="0"/>
              <w:rPr>
                <w:rFonts w:ascii="Arial" w:hAnsi="Arial" w:cs="Arial"/>
                <w:sz w:val="16"/>
                <w:szCs w:val="16"/>
              </w:rPr>
            </w:pPr>
          </w:p>
        </w:tc>
        <w:tc>
          <w:tcPr>
            <w:tcW w:w="1206" w:type="dxa"/>
            <w:shd w:val="clear" w:color="auto" w:fill="auto"/>
            <w:vAlign w:val="bottom"/>
          </w:tcPr>
          <w:p w:rsidR="00BA05D1" w:rsidRPr="00DE475B" w:rsidRDefault="00BA05D1">
            <w:pPr>
              <w:snapToGrid w:val="0"/>
              <w:rPr>
                <w:rFonts w:ascii="Arial" w:hAnsi="Arial" w:cs="Arial"/>
                <w:sz w:val="16"/>
                <w:szCs w:val="16"/>
              </w:rPr>
            </w:pPr>
          </w:p>
        </w:tc>
        <w:tc>
          <w:tcPr>
            <w:tcW w:w="2482" w:type="dxa"/>
            <w:shd w:val="clear" w:color="auto" w:fill="auto"/>
            <w:vAlign w:val="bottom"/>
          </w:tcPr>
          <w:p w:rsidR="00BA05D1" w:rsidRPr="00DE475B" w:rsidRDefault="00BA05D1">
            <w:pPr>
              <w:snapToGrid w:val="0"/>
              <w:rPr>
                <w:rFonts w:ascii="Arial" w:hAnsi="Arial" w:cs="Arial"/>
                <w:sz w:val="16"/>
                <w:szCs w:val="16"/>
              </w:rPr>
            </w:pPr>
          </w:p>
        </w:tc>
        <w:tc>
          <w:tcPr>
            <w:tcW w:w="1203" w:type="dxa"/>
            <w:shd w:val="clear" w:color="auto" w:fill="auto"/>
            <w:vAlign w:val="bottom"/>
          </w:tcPr>
          <w:p w:rsidR="00BA05D1" w:rsidRPr="00DE475B" w:rsidRDefault="00BA05D1">
            <w:pPr>
              <w:snapToGrid w:val="0"/>
              <w:rPr>
                <w:rFonts w:ascii="Arial" w:hAnsi="Arial" w:cs="Arial"/>
                <w:sz w:val="16"/>
                <w:szCs w:val="16"/>
              </w:rPr>
            </w:pPr>
          </w:p>
        </w:tc>
        <w:tc>
          <w:tcPr>
            <w:tcW w:w="1203" w:type="dxa"/>
            <w:shd w:val="clear" w:color="auto" w:fill="auto"/>
            <w:vAlign w:val="bottom"/>
          </w:tcPr>
          <w:p w:rsidR="00BA05D1" w:rsidRPr="00DE475B" w:rsidRDefault="00BA05D1">
            <w:pPr>
              <w:snapToGrid w:val="0"/>
              <w:rPr>
                <w:rFonts w:ascii="Arial" w:hAnsi="Arial" w:cs="Arial"/>
                <w:sz w:val="16"/>
                <w:szCs w:val="16"/>
              </w:rPr>
            </w:pPr>
          </w:p>
        </w:tc>
        <w:tc>
          <w:tcPr>
            <w:tcW w:w="1203" w:type="dxa"/>
            <w:shd w:val="clear" w:color="auto" w:fill="auto"/>
            <w:vAlign w:val="bottom"/>
          </w:tcPr>
          <w:p w:rsidR="00BA05D1" w:rsidRPr="00DE475B" w:rsidRDefault="00BA05D1">
            <w:pPr>
              <w:snapToGrid w:val="0"/>
              <w:rPr>
                <w:rFonts w:ascii="Arial" w:hAnsi="Arial" w:cs="Arial"/>
                <w:sz w:val="16"/>
                <w:szCs w:val="16"/>
              </w:rPr>
            </w:pPr>
          </w:p>
        </w:tc>
        <w:tc>
          <w:tcPr>
            <w:tcW w:w="1203" w:type="dxa"/>
            <w:shd w:val="clear" w:color="auto" w:fill="auto"/>
            <w:vAlign w:val="bottom"/>
          </w:tcPr>
          <w:p w:rsidR="00BA05D1" w:rsidRPr="00DE475B" w:rsidRDefault="00BA05D1">
            <w:pPr>
              <w:snapToGrid w:val="0"/>
              <w:rPr>
                <w:rFonts w:ascii="Arial" w:hAnsi="Arial" w:cs="Arial"/>
                <w:sz w:val="16"/>
                <w:szCs w:val="16"/>
              </w:rPr>
            </w:pPr>
          </w:p>
        </w:tc>
        <w:tc>
          <w:tcPr>
            <w:tcW w:w="1203" w:type="dxa"/>
            <w:shd w:val="clear" w:color="auto" w:fill="auto"/>
            <w:vAlign w:val="bottom"/>
          </w:tcPr>
          <w:p w:rsidR="00BA05D1" w:rsidRPr="00DE475B" w:rsidRDefault="00BA05D1">
            <w:pPr>
              <w:snapToGrid w:val="0"/>
              <w:rPr>
                <w:rFonts w:ascii="Arial" w:hAnsi="Arial" w:cs="Arial"/>
                <w:sz w:val="16"/>
                <w:szCs w:val="16"/>
              </w:rPr>
            </w:pPr>
          </w:p>
        </w:tc>
        <w:tc>
          <w:tcPr>
            <w:tcW w:w="1203" w:type="dxa"/>
            <w:shd w:val="clear" w:color="auto" w:fill="auto"/>
            <w:vAlign w:val="bottom"/>
          </w:tcPr>
          <w:p w:rsidR="00BA05D1" w:rsidRPr="00DE475B" w:rsidRDefault="00BA05D1">
            <w:pPr>
              <w:snapToGrid w:val="0"/>
              <w:rPr>
                <w:rFonts w:ascii="Arial" w:hAnsi="Arial" w:cs="Arial"/>
                <w:sz w:val="16"/>
                <w:szCs w:val="16"/>
              </w:rPr>
            </w:pPr>
          </w:p>
        </w:tc>
        <w:tc>
          <w:tcPr>
            <w:tcW w:w="1203" w:type="dxa"/>
            <w:shd w:val="clear" w:color="auto" w:fill="auto"/>
            <w:vAlign w:val="bottom"/>
          </w:tcPr>
          <w:p w:rsidR="00BA05D1" w:rsidRPr="00DE475B" w:rsidRDefault="00BA05D1">
            <w:pPr>
              <w:snapToGrid w:val="0"/>
              <w:rPr>
                <w:rFonts w:ascii="Arial" w:hAnsi="Arial" w:cs="Arial"/>
                <w:sz w:val="16"/>
                <w:szCs w:val="16"/>
              </w:rPr>
            </w:pPr>
          </w:p>
        </w:tc>
        <w:tc>
          <w:tcPr>
            <w:tcW w:w="1203" w:type="dxa"/>
            <w:shd w:val="clear" w:color="auto" w:fill="auto"/>
            <w:vAlign w:val="bottom"/>
          </w:tcPr>
          <w:p w:rsidR="00BA05D1" w:rsidRPr="00DE475B" w:rsidRDefault="00BA05D1">
            <w:pPr>
              <w:snapToGrid w:val="0"/>
              <w:rPr>
                <w:rFonts w:ascii="Arial" w:hAnsi="Arial" w:cs="Arial"/>
                <w:sz w:val="16"/>
                <w:szCs w:val="16"/>
              </w:rPr>
            </w:pPr>
          </w:p>
        </w:tc>
      </w:tr>
      <w:tr w:rsidR="00BA05D1" w:rsidRPr="00DE475B" w:rsidTr="00BA05D1">
        <w:trPr>
          <w:trHeight w:val="196"/>
        </w:trPr>
        <w:tc>
          <w:tcPr>
            <w:tcW w:w="4582" w:type="dxa"/>
            <w:gridSpan w:val="5"/>
            <w:shd w:val="clear" w:color="auto" w:fill="auto"/>
            <w:vAlign w:val="bottom"/>
          </w:tcPr>
          <w:p w:rsidR="00BA05D1" w:rsidRPr="00DE475B" w:rsidRDefault="00BA05D1">
            <w:pPr>
              <w:rPr>
                <w:rFonts w:ascii="Arial" w:hAnsi="Arial" w:cs="Arial"/>
                <w:sz w:val="20"/>
                <w:szCs w:val="20"/>
              </w:rPr>
            </w:pPr>
            <w:r w:rsidRPr="00DE475B">
              <w:rPr>
                <w:rFonts w:ascii="Arial" w:hAnsi="Arial" w:cs="Arial"/>
                <w:i/>
                <w:iCs/>
                <w:sz w:val="20"/>
                <w:szCs w:val="20"/>
              </w:rPr>
              <w:t>Total Other Comprehensive Income</w:t>
            </w:r>
          </w:p>
        </w:tc>
        <w:tc>
          <w:tcPr>
            <w:tcW w:w="1203" w:type="dxa"/>
            <w:shd w:val="clear" w:color="auto" w:fill="auto"/>
            <w:vAlign w:val="bottom"/>
          </w:tcPr>
          <w:p w:rsidR="00BA05D1" w:rsidRPr="00DE475B" w:rsidRDefault="00BA05D1">
            <w:pPr>
              <w:snapToGrid w:val="0"/>
              <w:rPr>
                <w:rFonts w:ascii="Arial" w:hAnsi="Arial" w:cs="Arial"/>
                <w:sz w:val="20"/>
                <w:szCs w:val="20"/>
              </w:rPr>
            </w:pPr>
          </w:p>
        </w:tc>
        <w:tc>
          <w:tcPr>
            <w:tcW w:w="1203" w:type="dxa"/>
            <w:shd w:val="clear" w:color="auto" w:fill="auto"/>
            <w:vAlign w:val="bottom"/>
          </w:tcPr>
          <w:p w:rsidR="00BA05D1" w:rsidRPr="00DE475B" w:rsidRDefault="00BA05D1">
            <w:pPr>
              <w:snapToGrid w:val="0"/>
              <w:rPr>
                <w:rFonts w:ascii="Arial" w:hAnsi="Arial" w:cs="Arial"/>
                <w:sz w:val="20"/>
                <w:szCs w:val="20"/>
              </w:rPr>
            </w:pPr>
          </w:p>
        </w:tc>
        <w:tc>
          <w:tcPr>
            <w:tcW w:w="1203" w:type="dxa"/>
            <w:shd w:val="clear" w:color="auto" w:fill="auto"/>
            <w:vAlign w:val="bottom"/>
          </w:tcPr>
          <w:p w:rsidR="00BA05D1" w:rsidRPr="00DE475B" w:rsidRDefault="00BA05D1">
            <w:pPr>
              <w:snapToGrid w:val="0"/>
              <w:rPr>
                <w:rFonts w:ascii="Arial" w:hAnsi="Arial" w:cs="Arial"/>
                <w:sz w:val="20"/>
                <w:szCs w:val="20"/>
              </w:rPr>
            </w:pPr>
          </w:p>
        </w:tc>
        <w:tc>
          <w:tcPr>
            <w:tcW w:w="1203" w:type="dxa"/>
            <w:shd w:val="clear" w:color="auto" w:fill="auto"/>
            <w:vAlign w:val="bottom"/>
          </w:tcPr>
          <w:p w:rsidR="00BA05D1" w:rsidRPr="00DE475B" w:rsidRDefault="00BA05D1">
            <w:pPr>
              <w:snapToGrid w:val="0"/>
              <w:rPr>
                <w:rFonts w:ascii="Arial" w:hAnsi="Arial" w:cs="Arial"/>
                <w:sz w:val="20"/>
                <w:szCs w:val="20"/>
              </w:rPr>
            </w:pPr>
          </w:p>
        </w:tc>
        <w:tc>
          <w:tcPr>
            <w:tcW w:w="1203" w:type="dxa"/>
            <w:shd w:val="clear" w:color="auto" w:fill="auto"/>
            <w:vAlign w:val="bottom"/>
          </w:tcPr>
          <w:p w:rsidR="00BA05D1" w:rsidRPr="00DE475B" w:rsidRDefault="00BA05D1">
            <w:pPr>
              <w:snapToGrid w:val="0"/>
              <w:rPr>
                <w:rFonts w:ascii="Arial" w:hAnsi="Arial" w:cs="Arial"/>
                <w:sz w:val="20"/>
                <w:szCs w:val="20"/>
              </w:rPr>
            </w:pPr>
          </w:p>
        </w:tc>
        <w:tc>
          <w:tcPr>
            <w:tcW w:w="1203" w:type="dxa"/>
            <w:shd w:val="clear" w:color="auto" w:fill="auto"/>
            <w:vAlign w:val="bottom"/>
          </w:tcPr>
          <w:p w:rsidR="00BA05D1" w:rsidRPr="00DE475B" w:rsidRDefault="00BA05D1">
            <w:pPr>
              <w:snapToGrid w:val="0"/>
              <w:rPr>
                <w:rFonts w:ascii="Arial" w:hAnsi="Arial" w:cs="Arial"/>
                <w:sz w:val="20"/>
                <w:szCs w:val="20"/>
              </w:rPr>
            </w:pPr>
          </w:p>
        </w:tc>
        <w:tc>
          <w:tcPr>
            <w:tcW w:w="1203" w:type="dxa"/>
            <w:shd w:val="clear" w:color="auto" w:fill="auto"/>
            <w:vAlign w:val="bottom"/>
          </w:tcPr>
          <w:p w:rsidR="00BA05D1" w:rsidRPr="00DE475B" w:rsidRDefault="00BA05D1">
            <w:pPr>
              <w:snapToGrid w:val="0"/>
              <w:rPr>
                <w:rFonts w:ascii="Arial" w:hAnsi="Arial" w:cs="Arial"/>
                <w:sz w:val="20"/>
                <w:szCs w:val="20"/>
              </w:rPr>
            </w:pPr>
          </w:p>
        </w:tc>
        <w:tc>
          <w:tcPr>
            <w:tcW w:w="1203" w:type="dxa"/>
            <w:shd w:val="clear" w:color="auto" w:fill="auto"/>
            <w:vAlign w:val="bottom"/>
          </w:tcPr>
          <w:p w:rsidR="00BA05D1" w:rsidRPr="00DE475B" w:rsidRDefault="00BA05D1">
            <w:pPr>
              <w:snapToGrid w:val="0"/>
              <w:rPr>
                <w:rFonts w:ascii="Arial" w:hAnsi="Arial" w:cs="Arial"/>
                <w:sz w:val="20"/>
                <w:szCs w:val="20"/>
              </w:rPr>
            </w:pPr>
          </w:p>
        </w:tc>
      </w:tr>
      <w:tr w:rsidR="00BA05D1" w:rsidRPr="00DE475B" w:rsidTr="001F339E">
        <w:trPr>
          <w:trHeight w:val="196"/>
        </w:trPr>
        <w:tc>
          <w:tcPr>
            <w:tcW w:w="4582" w:type="dxa"/>
            <w:gridSpan w:val="5"/>
            <w:shd w:val="clear" w:color="auto" w:fill="auto"/>
            <w:vAlign w:val="bottom"/>
          </w:tcPr>
          <w:p w:rsidR="00BA05D1" w:rsidRPr="00DE475B" w:rsidRDefault="00BA05D1" w:rsidP="006403E0">
            <w:pPr>
              <w:rPr>
                <w:rFonts w:ascii="Arial" w:hAnsi="Arial" w:cs="Arial"/>
                <w:sz w:val="20"/>
                <w:szCs w:val="20"/>
              </w:rPr>
            </w:pPr>
            <w:r w:rsidRPr="00DE475B">
              <w:rPr>
                <w:rFonts w:ascii="Arial" w:hAnsi="Arial" w:cs="Arial"/>
                <w:spacing w:val="-2"/>
                <w:sz w:val="20"/>
                <w:szCs w:val="20"/>
              </w:rPr>
              <w:t>Decrease in Asset Revaluation Surplus</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  </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  </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(653)</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(653)</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  </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  </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(653)</w:t>
            </w:r>
          </w:p>
        </w:tc>
        <w:tc>
          <w:tcPr>
            <w:tcW w:w="1203" w:type="dxa"/>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(653)</w:t>
            </w:r>
          </w:p>
        </w:tc>
      </w:tr>
      <w:tr w:rsidR="00BA05D1" w:rsidRPr="00DE475B" w:rsidTr="00BA05D1">
        <w:trPr>
          <w:trHeight w:val="107"/>
        </w:trPr>
        <w:tc>
          <w:tcPr>
            <w:tcW w:w="368" w:type="dxa"/>
            <w:shd w:val="clear" w:color="auto" w:fill="auto"/>
            <w:vAlign w:val="bottom"/>
          </w:tcPr>
          <w:p w:rsidR="00BA05D1" w:rsidRPr="00DE475B" w:rsidRDefault="00BA05D1">
            <w:pPr>
              <w:snapToGrid w:val="0"/>
              <w:rPr>
                <w:rFonts w:ascii="Arial" w:hAnsi="Arial" w:cs="Arial"/>
                <w:sz w:val="16"/>
                <w:szCs w:val="16"/>
              </w:rPr>
            </w:pPr>
          </w:p>
        </w:tc>
        <w:tc>
          <w:tcPr>
            <w:tcW w:w="263" w:type="dxa"/>
            <w:shd w:val="clear" w:color="auto" w:fill="auto"/>
            <w:vAlign w:val="bottom"/>
          </w:tcPr>
          <w:p w:rsidR="00BA05D1" w:rsidRPr="00DE475B" w:rsidRDefault="00BA05D1">
            <w:pPr>
              <w:snapToGrid w:val="0"/>
              <w:rPr>
                <w:rFonts w:ascii="Arial" w:hAnsi="Arial" w:cs="Arial"/>
                <w:sz w:val="16"/>
                <w:szCs w:val="16"/>
              </w:rPr>
            </w:pPr>
          </w:p>
        </w:tc>
        <w:tc>
          <w:tcPr>
            <w:tcW w:w="263" w:type="dxa"/>
            <w:shd w:val="clear" w:color="auto" w:fill="auto"/>
            <w:vAlign w:val="bottom"/>
          </w:tcPr>
          <w:p w:rsidR="00BA05D1" w:rsidRPr="00DE475B" w:rsidRDefault="00BA05D1">
            <w:pPr>
              <w:snapToGrid w:val="0"/>
              <w:rPr>
                <w:rFonts w:ascii="Arial" w:hAnsi="Arial" w:cs="Arial"/>
                <w:sz w:val="16"/>
                <w:szCs w:val="16"/>
              </w:rPr>
            </w:pPr>
          </w:p>
        </w:tc>
        <w:tc>
          <w:tcPr>
            <w:tcW w:w="1206" w:type="dxa"/>
            <w:shd w:val="clear" w:color="auto" w:fill="auto"/>
            <w:vAlign w:val="bottom"/>
          </w:tcPr>
          <w:p w:rsidR="00BA05D1" w:rsidRPr="00DE475B" w:rsidRDefault="00BA05D1">
            <w:pPr>
              <w:snapToGrid w:val="0"/>
              <w:rPr>
                <w:rFonts w:ascii="Arial" w:hAnsi="Arial" w:cs="Arial"/>
                <w:sz w:val="16"/>
                <w:szCs w:val="16"/>
              </w:rPr>
            </w:pPr>
          </w:p>
        </w:tc>
        <w:tc>
          <w:tcPr>
            <w:tcW w:w="2482" w:type="dxa"/>
            <w:shd w:val="clear" w:color="auto" w:fill="auto"/>
            <w:vAlign w:val="bottom"/>
          </w:tcPr>
          <w:p w:rsidR="00BA05D1" w:rsidRPr="00DE475B" w:rsidRDefault="00BA05D1">
            <w:pPr>
              <w:snapToGrid w:val="0"/>
              <w:rPr>
                <w:rFonts w:ascii="Arial" w:hAnsi="Arial" w:cs="Arial"/>
                <w:sz w:val="16"/>
                <w:szCs w:val="16"/>
              </w:rPr>
            </w:pPr>
          </w:p>
        </w:tc>
        <w:tc>
          <w:tcPr>
            <w:tcW w:w="1203" w:type="dxa"/>
            <w:tcBorders>
              <w:bottom w:val="single" w:sz="8" w:space="0" w:color="000000"/>
            </w:tcBorders>
            <w:shd w:val="clear" w:color="auto" w:fill="auto"/>
            <w:vAlign w:val="bottom"/>
          </w:tcPr>
          <w:p w:rsidR="00BA05D1" w:rsidRPr="00DE475B" w:rsidRDefault="00BA05D1">
            <w:pPr>
              <w:rPr>
                <w:rFonts w:ascii="Arial" w:hAnsi="Arial" w:cs="Arial"/>
                <w:sz w:val="16"/>
                <w:szCs w:val="16"/>
              </w:rPr>
            </w:pPr>
            <w:r w:rsidRPr="00DE475B">
              <w:rPr>
                <w:rFonts w:ascii="Arial" w:hAnsi="Arial" w:cs="Arial"/>
                <w:sz w:val="16"/>
                <w:szCs w:val="16"/>
              </w:rPr>
              <w:t> </w:t>
            </w:r>
          </w:p>
        </w:tc>
        <w:tc>
          <w:tcPr>
            <w:tcW w:w="1203" w:type="dxa"/>
            <w:tcBorders>
              <w:bottom w:val="single" w:sz="8" w:space="0" w:color="000000"/>
            </w:tcBorders>
            <w:shd w:val="clear" w:color="auto" w:fill="auto"/>
            <w:vAlign w:val="bottom"/>
          </w:tcPr>
          <w:p w:rsidR="00BA05D1" w:rsidRPr="00DE475B" w:rsidRDefault="00BA05D1">
            <w:pPr>
              <w:rPr>
                <w:rFonts w:ascii="Arial" w:hAnsi="Arial" w:cs="Arial"/>
                <w:sz w:val="16"/>
                <w:szCs w:val="16"/>
              </w:rPr>
            </w:pPr>
            <w:r w:rsidRPr="00DE475B">
              <w:rPr>
                <w:rFonts w:ascii="Arial" w:hAnsi="Arial" w:cs="Arial"/>
                <w:sz w:val="16"/>
                <w:szCs w:val="16"/>
              </w:rPr>
              <w:t> </w:t>
            </w:r>
          </w:p>
        </w:tc>
        <w:tc>
          <w:tcPr>
            <w:tcW w:w="1203" w:type="dxa"/>
            <w:tcBorders>
              <w:bottom w:val="single" w:sz="8" w:space="0" w:color="000000"/>
            </w:tcBorders>
            <w:shd w:val="clear" w:color="auto" w:fill="auto"/>
            <w:vAlign w:val="bottom"/>
          </w:tcPr>
          <w:p w:rsidR="00BA05D1" w:rsidRPr="00DE475B" w:rsidRDefault="00BA05D1">
            <w:pPr>
              <w:rPr>
                <w:rFonts w:ascii="Arial" w:hAnsi="Arial" w:cs="Arial"/>
                <w:sz w:val="16"/>
                <w:szCs w:val="16"/>
              </w:rPr>
            </w:pPr>
            <w:r w:rsidRPr="00DE475B">
              <w:rPr>
                <w:rFonts w:ascii="Arial" w:hAnsi="Arial" w:cs="Arial"/>
                <w:sz w:val="16"/>
                <w:szCs w:val="16"/>
              </w:rPr>
              <w:t> </w:t>
            </w:r>
          </w:p>
        </w:tc>
        <w:tc>
          <w:tcPr>
            <w:tcW w:w="1203" w:type="dxa"/>
            <w:tcBorders>
              <w:bottom w:val="single" w:sz="8" w:space="0" w:color="000000"/>
            </w:tcBorders>
            <w:shd w:val="clear" w:color="auto" w:fill="auto"/>
            <w:vAlign w:val="bottom"/>
          </w:tcPr>
          <w:p w:rsidR="00BA05D1" w:rsidRPr="00DE475B" w:rsidRDefault="00BA05D1">
            <w:pPr>
              <w:rPr>
                <w:rFonts w:ascii="Arial" w:hAnsi="Arial" w:cs="Arial"/>
                <w:sz w:val="16"/>
                <w:szCs w:val="16"/>
              </w:rPr>
            </w:pPr>
            <w:r w:rsidRPr="00DE475B">
              <w:rPr>
                <w:rFonts w:ascii="Arial" w:hAnsi="Arial" w:cs="Arial"/>
                <w:sz w:val="16"/>
                <w:szCs w:val="16"/>
              </w:rPr>
              <w:t> </w:t>
            </w:r>
          </w:p>
        </w:tc>
        <w:tc>
          <w:tcPr>
            <w:tcW w:w="1203" w:type="dxa"/>
            <w:tcBorders>
              <w:bottom w:val="single" w:sz="8" w:space="0" w:color="000000"/>
            </w:tcBorders>
            <w:shd w:val="clear" w:color="auto" w:fill="auto"/>
            <w:vAlign w:val="bottom"/>
          </w:tcPr>
          <w:p w:rsidR="00BA05D1" w:rsidRPr="00DE475B" w:rsidRDefault="00BA05D1">
            <w:pPr>
              <w:rPr>
                <w:rFonts w:ascii="Arial" w:hAnsi="Arial" w:cs="Arial"/>
                <w:sz w:val="16"/>
                <w:szCs w:val="16"/>
              </w:rPr>
            </w:pPr>
            <w:r w:rsidRPr="00DE475B">
              <w:rPr>
                <w:rFonts w:ascii="Arial" w:hAnsi="Arial" w:cs="Arial"/>
                <w:sz w:val="16"/>
                <w:szCs w:val="16"/>
              </w:rPr>
              <w:t> </w:t>
            </w:r>
          </w:p>
        </w:tc>
        <w:tc>
          <w:tcPr>
            <w:tcW w:w="1203" w:type="dxa"/>
            <w:tcBorders>
              <w:bottom w:val="single" w:sz="8" w:space="0" w:color="000000"/>
            </w:tcBorders>
            <w:shd w:val="clear" w:color="auto" w:fill="auto"/>
            <w:vAlign w:val="bottom"/>
          </w:tcPr>
          <w:p w:rsidR="00BA05D1" w:rsidRPr="00DE475B" w:rsidRDefault="00BA05D1">
            <w:pPr>
              <w:rPr>
                <w:rFonts w:ascii="Arial" w:hAnsi="Arial" w:cs="Arial"/>
                <w:sz w:val="16"/>
                <w:szCs w:val="16"/>
              </w:rPr>
            </w:pPr>
            <w:r w:rsidRPr="00DE475B">
              <w:rPr>
                <w:rFonts w:ascii="Arial" w:hAnsi="Arial" w:cs="Arial"/>
                <w:sz w:val="16"/>
                <w:szCs w:val="16"/>
              </w:rPr>
              <w:t> </w:t>
            </w:r>
          </w:p>
        </w:tc>
        <w:tc>
          <w:tcPr>
            <w:tcW w:w="1203" w:type="dxa"/>
            <w:tcBorders>
              <w:bottom w:val="single" w:sz="8" w:space="0" w:color="000000"/>
            </w:tcBorders>
            <w:shd w:val="clear" w:color="auto" w:fill="auto"/>
            <w:vAlign w:val="bottom"/>
          </w:tcPr>
          <w:p w:rsidR="00BA05D1" w:rsidRPr="00DE475B" w:rsidRDefault="00BA05D1">
            <w:pPr>
              <w:rPr>
                <w:rFonts w:ascii="Arial" w:hAnsi="Arial" w:cs="Arial"/>
                <w:sz w:val="16"/>
                <w:szCs w:val="16"/>
              </w:rPr>
            </w:pPr>
            <w:r w:rsidRPr="00DE475B">
              <w:rPr>
                <w:rFonts w:ascii="Arial" w:hAnsi="Arial" w:cs="Arial"/>
                <w:sz w:val="16"/>
                <w:szCs w:val="16"/>
              </w:rPr>
              <w:t> </w:t>
            </w:r>
          </w:p>
        </w:tc>
        <w:tc>
          <w:tcPr>
            <w:tcW w:w="1203" w:type="dxa"/>
            <w:tcBorders>
              <w:bottom w:val="single" w:sz="8" w:space="0" w:color="000000"/>
            </w:tcBorders>
            <w:shd w:val="clear" w:color="auto" w:fill="auto"/>
            <w:vAlign w:val="bottom"/>
          </w:tcPr>
          <w:p w:rsidR="00BA05D1" w:rsidRPr="00DE475B" w:rsidRDefault="00BA05D1">
            <w:pPr>
              <w:rPr>
                <w:rFonts w:ascii="Arial" w:hAnsi="Arial" w:cs="Arial"/>
                <w:sz w:val="16"/>
                <w:szCs w:val="16"/>
              </w:rPr>
            </w:pPr>
            <w:r w:rsidRPr="00DE475B">
              <w:rPr>
                <w:rFonts w:ascii="Arial" w:hAnsi="Arial" w:cs="Arial"/>
                <w:sz w:val="16"/>
                <w:szCs w:val="16"/>
              </w:rPr>
              <w:t> </w:t>
            </w:r>
          </w:p>
        </w:tc>
      </w:tr>
      <w:tr w:rsidR="00BA05D1" w:rsidRPr="00DE475B" w:rsidTr="00BA05D1">
        <w:trPr>
          <w:trHeight w:val="349"/>
        </w:trPr>
        <w:tc>
          <w:tcPr>
            <w:tcW w:w="4582" w:type="dxa"/>
            <w:gridSpan w:val="5"/>
            <w:shd w:val="clear" w:color="auto" w:fill="auto"/>
            <w:vAlign w:val="center"/>
          </w:tcPr>
          <w:p w:rsidR="00BA05D1" w:rsidRPr="00DE475B" w:rsidRDefault="00BA05D1" w:rsidP="00E11A54">
            <w:pPr>
              <w:rPr>
                <w:rFonts w:ascii="Arial" w:hAnsi="Arial" w:cs="Arial"/>
                <w:sz w:val="20"/>
                <w:szCs w:val="20"/>
              </w:rPr>
            </w:pPr>
            <w:r>
              <w:rPr>
                <w:rFonts w:ascii="Arial" w:hAnsi="Arial" w:cs="Arial"/>
                <w:b/>
                <w:bCs/>
                <w:sz w:val="20"/>
                <w:szCs w:val="20"/>
              </w:rPr>
              <w:t>Balance 30 June 2016</w:t>
            </w:r>
          </w:p>
        </w:tc>
        <w:tc>
          <w:tcPr>
            <w:tcW w:w="1203" w:type="dxa"/>
            <w:tcBorders>
              <w:top w:val="single" w:sz="8" w:space="0" w:color="000000"/>
              <w:bottom w:val="single" w:sz="12" w:space="0" w:color="000000"/>
            </w:tcBorders>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72,606 </w:t>
            </w:r>
          </w:p>
        </w:tc>
        <w:tc>
          <w:tcPr>
            <w:tcW w:w="1203" w:type="dxa"/>
            <w:tcBorders>
              <w:top w:val="single" w:sz="8" w:space="0" w:color="000000"/>
              <w:bottom w:val="single" w:sz="12" w:space="0" w:color="000000"/>
            </w:tcBorders>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67,005 </w:t>
            </w:r>
          </w:p>
        </w:tc>
        <w:tc>
          <w:tcPr>
            <w:tcW w:w="1203" w:type="dxa"/>
            <w:tcBorders>
              <w:top w:val="single" w:sz="8" w:space="0" w:color="000000"/>
              <w:bottom w:val="single" w:sz="12" w:space="0" w:color="000000"/>
            </w:tcBorders>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54,706 </w:t>
            </w:r>
          </w:p>
        </w:tc>
        <w:tc>
          <w:tcPr>
            <w:tcW w:w="1203" w:type="dxa"/>
            <w:tcBorders>
              <w:top w:val="single" w:sz="8" w:space="0" w:color="000000"/>
              <w:bottom w:val="single" w:sz="12" w:space="0" w:color="000000"/>
            </w:tcBorders>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54,706 </w:t>
            </w:r>
          </w:p>
        </w:tc>
        <w:tc>
          <w:tcPr>
            <w:tcW w:w="1203" w:type="dxa"/>
            <w:tcBorders>
              <w:top w:val="single" w:sz="8" w:space="0" w:color="000000"/>
              <w:bottom w:val="single" w:sz="12" w:space="0" w:color="000000"/>
            </w:tcBorders>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1,465 </w:t>
            </w:r>
          </w:p>
        </w:tc>
        <w:tc>
          <w:tcPr>
            <w:tcW w:w="1203" w:type="dxa"/>
            <w:tcBorders>
              <w:top w:val="single" w:sz="8" w:space="0" w:color="000000"/>
              <w:bottom w:val="single" w:sz="12" w:space="0" w:color="000000"/>
            </w:tcBorders>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1,465 </w:t>
            </w:r>
          </w:p>
        </w:tc>
        <w:tc>
          <w:tcPr>
            <w:tcW w:w="1203" w:type="dxa"/>
            <w:tcBorders>
              <w:top w:val="single" w:sz="8" w:space="0" w:color="000000"/>
              <w:bottom w:val="single" w:sz="12" w:space="0" w:color="000000"/>
            </w:tcBorders>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128,777 </w:t>
            </w:r>
          </w:p>
        </w:tc>
        <w:tc>
          <w:tcPr>
            <w:tcW w:w="1203" w:type="dxa"/>
            <w:tcBorders>
              <w:top w:val="single" w:sz="8" w:space="0" w:color="000000"/>
              <w:bottom w:val="single" w:sz="12" w:space="0" w:color="000000"/>
            </w:tcBorders>
            <w:shd w:val="clear" w:color="auto" w:fill="auto"/>
            <w:vAlign w:val="center"/>
          </w:tcPr>
          <w:p w:rsidR="00BA05D1" w:rsidRPr="00DE475B" w:rsidRDefault="00BA05D1" w:rsidP="001F339E">
            <w:pPr>
              <w:jc w:val="right"/>
              <w:rPr>
                <w:rFonts w:ascii="Arial" w:hAnsi="Arial" w:cs="Arial"/>
                <w:sz w:val="20"/>
                <w:szCs w:val="20"/>
              </w:rPr>
            </w:pPr>
            <w:r w:rsidRPr="00DE475B">
              <w:rPr>
                <w:rFonts w:ascii="Arial" w:hAnsi="Arial" w:cs="Arial"/>
                <w:sz w:val="20"/>
                <w:szCs w:val="20"/>
              </w:rPr>
              <w:t xml:space="preserve">123,176 </w:t>
            </w:r>
          </w:p>
        </w:tc>
      </w:tr>
      <w:tr w:rsidR="00BA05D1" w:rsidRPr="00DE475B" w:rsidTr="00BA05D1">
        <w:trPr>
          <w:trHeight w:val="107"/>
        </w:trPr>
        <w:tc>
          <w:tcPr>
            <w:tcW w:w="368" w:type="dxa"/>
            <w:shd w:val="clear" w:color="auto" w:fill="auto"/>
            <w:vAlign w:val="bottom"/>
          </w:tcPr>
          <w:p w:rsidR="00BA05D1" w:rsidRPr="00DE475B" w:rsidRDefault="00BA05D1">
            <w:pPr>
              <w:snapToGrid w:val="0"/>
              <w:rPr>
                <w:rFonts w:ascii="Arial" w:hAnsi="Arial" w:cs="Arial"/>
                <w:sz w:val="20"/>
                <w:szCs w:val="20"/>
              </w:rPr>
            </w:pPr>
          </w:p>
        </w:tc>
        <w:tc>
          <w:tcPr>
            <w:tcW w:w="263" w:type="dxa"/>
            <w:shd w:val="clear" w:color="auto" w:fill="auto"/>
            <w:vAlign w:val="bottom"/>
          </w:tcPr>
          <w:p w:rsidR="00BA05D1" w:rsidRPr="00DE475B" w:rsidRDefault="00BA05D1">
            <w:pPr>
              <w:snapToGrid w:val="0"/>
              <w:rPr>
                <w:rFonts w:ascii="Arial" w:hAnsi="Arial" w:cs="Arial"/>
                <w:sz w:val="20"/>
                <w:szCs w:val="20"/>
              </w:rPr>
            </w:pPr>
          </w:p>
        </w:tc>
        <w:tc>
          <w:tcPr>
            <w:tcW w:w="263" w:type="dxa"/>
            <w:shd w:val="clear" w:color="auto" w:fill="auto"/>
            <w:vAlign w:val="bottom"/>
          </w:tcPr>
          <w:p w:rsidR="00BA05D1" w:rsidRPr="00DE475B" w:rsidRDefault="00BA05D1">
            <w:pPr>
              <w:snapToGrid w:val="0"/>
              <w:rPr>
                <w:rFonts w:ascii="Arial" w:hAnsi="Arial" w:cs="Arial"/>
                <w:sz w:val="20"/>
                <w:szCs w:val="20"/>
              </w:rPr>
            </w:pPr>
          </w:p>
        </w:tc>
        <w:tc>
          <w:tcPr>
            <w:tcW w:w="1206" w:type="dxa"/>
            <w:shd w:val="clear" w:color="auto" w:fill="auto"/>
            <w:vAlign w:val="bottom"/>
          </w:tcPr>
          <w:p w:rsidR="00BA05D1" w:rsidRPr="00DE475B" w:rsidRDefault="00BA05D1">
            <w:pPr>
              <w:snapToGrid w:val="0"/>
              <w:rPr>
                <w:rFonts w:ascii="Arial" w:hAnsi="Arial" w:cs="Arial"/>
                <w:sz w:val="20"/>
                <w:szCs w:val="20"/>
              </w:rPr>
            </w:pPr>
          </w:p>
        </w:tc>
        <w:tc>
          <w:tcPr>
            <w:tcW w:w="2482" w:type="dxa"/>
            <w:shd w:val="clear" w:color="auto" w:fill="auto"/>
            <w:vAlign w:val="bottom"/>
          </w:tcPr>
          <w:p w:rsidR="00BA05D1" w:rsidRPr="00DE475B" w:rsidRDefault="00BA05D1">
            <w:pPr>
              <w:snapToGrid w:val="0"/>
              <w:rPr>
                <w:rFonts w:ascii="Arial" w:hAnsi="Arial" w:cs="Arial"/>
                <w:sz w:val="20"/>
                <w:szCs w:val="20"/>
              </w:rPr>
            </w:pPr>
          </w:p>
        </w:tc>
        <w:tc>
          <w:tcPr>
            <w:tcW w:w="1203" w:type="dxa"/>
            <w:shd w:val="clear" w:color="auto" w:fill="auto"/>
            <w:vAlign w:val="bottom"/>
          </w:tcPr>
          <w:p w:rsidR="00BA05D1" w:rsidRPr="00DE475B" w:rsidRDefault="00BA05D1">
            <w:pPr>
              <w:snapToGrid w:val="0"/>
              <w:rPr>
                <w:rFonts w:ascii="Arial" w:hAnsi="Arial" w:cs="Arial"/>
                <w:sz w:val="20"/>
                <w:szCs w:val="20"/>
              </w:rPr>
            </w:pPr>
          </w:p>
        </w:tc>
        <w:tc>
          <w:tcPr>
            <w:tcW w:w="1203" w:type="dxa"/>
            <w:shd w:val="clear" w:color="auto" w:fill="auto"/>
            <w:vAlign w:val="bottom"/>
          </w:tcPr>
          <w:p w:rsidR="00BA05D1" w:rsidRPr="00DE475B" w:rsidRDefault="00BA05D1">
            <w:pPr>
              <w:snapToGrid w:val="0"/>
              <w:rPr>
                <w:rFonts w:ascii="Arial" w:hAnsi="Arial" w:cs="Arial"/>
                <w:sz w:val="20"/>
                <w:szCs w:val="20"/>
              </w:rPr>
            </w:pPr>
          </w:p>
        </w:tc>
        <w:tc>
          <w:tcPr>
            <w:tcW w:w="1203" w:type="dxa"/>
            <w:shd w:val="clear" w:color="auto" w:fill="auto"/>
            <w:vAlign w:val="bottom"/>
          </w:tcPr>
          <w:p w:rsidR="00BA05D1" w:rsidRPr="00DE475B" w:rsidRDefault="00BA05D1">
            <w:pPr>
              <w:snapToGrid w:val="0"/>
              <w:rPr>
                <w:rFonts w:ascii="Arial" w:hAnsi="Arial" w:cs="Arial"/>
                <w:sz w:val="20"/>
                <w:szCs w:val="20"/>
              </w:rPr>
            </w:pPr>
          </w:p>
        </w:tc>
        <w:tc>
          <w:tcPr>
            <w:tcW w:w="1203" w:type="dxa"/>
            <w:shd w:val="clear" w:color="auto" w:fill="auto"/>
            <w:vAlign w:val="bottom"/>
          </w:tcPr>
          <w:p w:rsidR="00BA05D1" w:rsidRPr="00DE475B" w:rsidRDefault="00BA05D1">
            <w:pPr>
              <w:snapToGrid w:val="0"/>
              <w:rPr>
                <w:rFonts w:ascii="Arial" w:hAnsi="Arial" w:cs="Arial"/>
                <w:sz w:val="20"/>
                <w:szCs w:val="20"/>
              </w:rPr>
            </w:pPr>
          </w:p>
        </w:tc>
        <w:tc>
          <w:tcPr>
            <w:tcW w:w="1203" w:type="dxa"/>
            <w:tcBorders>
              <w:top w:val="single" w:sz="12" w:space="0" w:color="000000"/>
            </w:tcBorders>
            <w:shd w:val="clear" w:color="auto" w:fill="auto"/>
            <w:vAlign w:val="bottom"/>
          </w:tcPr>
          <w:p w:rsidR="00BA05D1" w:rsidRPr="00DE475B" w:rsidRDefault="00BA05D1">
            <w:pPr>
              <w:snapToGrid w:val="0"/>
              <w:rPr>
                <w:rFonts w:ascii="Arial" w:hAnsi="Arial" w:cs="Arial"/>
                <w:sz w:val="20"/>
                <w:szCs w:val="20"/>
              </w:rPr>
            </w:pPr>
          </w:p>
        </w:tc>
        <w:tc>
          <w:tcPr>
            <w:tcW w:w="1203" w:type="dxa"/>
            <w:tcBorders>
              <w:top w:val="single" w:sz="12" w:space="0" w:color="000000"/>
            </w:tcBorders>
            <w:shd w:val="clear" w:color="auto" w:fill="auto"/>
            <w:vAlign w:val="bottom"/>
          </w:tcPr>
          <w:p w:rsidR="00BA05D1" w:rsidRPr="00DE475B" w:rsidRDefault="00BA05D1">
            <w:pPr>
              <w:snapToGrid w:val="0"/>
              <w:rPr>
                <w:rFonts w:ascii="Arial" w:hAnsi="Arial" w:cs="Arial"/>
                <w:sz w:val="20"/>
                <w:szCs w:val="20"/>
              </w:rPr>
            </w:pPr>
          </w:p>
        </w:tc>
        <w:tc>
          <w:tcPr>
            <w:tcW w:w="1203" w:type="dxa"/>
            <w:tcBorders>
              <w:top w:val="single" w:sz="12" w:space="0" w:color="000000"/>
            </w:tcBorders>
            <w:shd w:val="clear" w:color="auto" w:fill="auto"/>
            <w:vAlign w:val="bottom"/>
          </w:tcPr>
          <w:p w:rsidR="00BA05D1" w:rsidRPr="00DE475B" w:rsidRDefault="00BA05D1">
            <w:pPr>
              <w:snapToGrid w:val="0"/>
              <w:rPr>
                <w:rFonts w:ascii="Arial" w:hAnsi="Arial" w:cs="Arial"/>
                <w:sz w:val="20"/>
                <w:szCs w:val="20"/>
              </w:rPr>
            </w:pPr>
          </w:p>
        </w:tc>
        <w:tc>
          <w:tcPr>
            <w:tcW w:w="1203" w:type="dxa"/>
            <w:tcBorders>
              <w:top w:val="single" w:sz="12" w:space="0" w:color="000000"/>
            </w:tcBorders>
            <w:shd w:val="clear" w:color="auto" w:fill="auto"/>
            <w:vAlign w:val="bottom"/>
          </w:tcPr>
          <w:p w:rsidR="00BA05D1" w:rsidRPr="00DE475B" w:rsidRDefault="00BA05D1">
            <w:pPr>
              <w:snapToGrid w:val="0"/>
              <w:rPr>
                <w:rFonts w:ascii="Arial" w:hAnsi="Arial" w:cs="Arial"/>
                <w:sz w:val="20"/>
                <w:szCs w:val="20"/>
              </w:rPr>
            </w:pPr>
          </w:p>
        </w:tc>
      </w:tr>
      <w:tr w:rsidR="0007692D" w:rsidRPr="00DE475B" w:rsidTr="00BA05D1">
        <w:trPr>
          <w:trHeight w:val="196"/>
        </w:trPr>
        <w:tc>
          <w:tcPr>
            <w:tcW w:w="4582" w:type="dxa"/>
            <w:gridSpan w:val="5"/>
            <w:shd w:val="clear" w:color="auto" w:fill="auto"/>
            <w:vAlign w:val="bottom"/>
          </w:tcPr>
          <w:p w:rsidR="0007692D" w:rsidRPr="00DE475B" w:rsidRDefault="0007692D">
            <w:pPr>
              <w:rPr>
                <w:rFonts w:ascii="Arial" w:hAnsi="Arial" w:cs="Arial"/>
                <w:sz w:val="20"/>
                <w:szCs w:val="20"/>
              </w:rPr>
            </w:pPr>
            <w:r w:rsidRPr="00DE475B">
              <w:rPr>
                <w:rFonts w:ascii="Arial" w:hAnsi="Arial" w:cs="Arial"/>
                <w:sz w:val="20"/>
                <w:szCs w:val="20"/>
              </w:rPr>
              <w:t>Operating Result from Continuing Operations</w:t>
            </w:r>
          </w:p>
        </w:tc>
        <w:tc>
          <w:tcPr>
            <w:tcW w:w="1203" w:type="dxa"/>
            <w:shd w:val="clear" w:color="auto" w:fill="auto"/>
            <w:vAlign w:val="center"/>
          </w:tcPr>
          <w:p w:rsidR="0007692D" w:rsidRPr="00DE475B" w:rsidRDefault="0007692D" w:rsidP="0033774F">
            <w:pPr>
              <w:jc w:val="right"/>
              <w:rPr>
                <w:rFonts w:ascii="Arial" w:hAnsi="Arial" w:cs="Arial"/>
                <w:sz w:val="20"/>
                <w:szCs w:val="20"/>
              </w:rPr>
            </w:pPr>
            <w:r>
              <w:rPr>
                <w:rFonts w:ascii="Arial" w:hAnsi="Arial" w:cs="Arial"/>
                <w:sz w:val="20"/>
                <w:szCs w:val="20"/>
              </w:rPr>
              <w:t>3,212</w:t>
            </w:r>
          </w:p>
        </w:tc>
        <w:tc>
          <w:tcPr>
            <w:tcW w:w="1203" w:type="dxa"/>
            <w:shd w:val="clear" w:color="auto" w:fill="auto"/>
            <w:vAlign w:val="center"/>
          </w:tcPr>
          <w:p w:rsidR="0007692D" w:rsidRPr="00DE475B" w:rsidRDefault="0007692D" w:rsidP="0033774F">
            <w:pPr>
              <w:jc w:val="right"/>
              <w:rPr>
                <w:rFonts w:ascii="Arial" w:hAnsi="Arial" w:cs="Arial"/>
                <w:sz w:val="20"/>
                <w:szCs w:val="20"/>
              </w:rPr>
            </w:pPr>
            <w:r>
              <w:rPr>
                <w:rFonts w:ascii="Arial" w:hAnsi="Arial" w:cs="Arial"/>
                <w:sz w:val="20"/>
                <w:szCs w:val="20"/>
              </w:rPr>
              <w:t>3,018</w:t>
            </w:r>
          </w:p>
        </w:tc>
        <w:tc>
          <w:tcPr>
            <w:tcW w:w="1203" w:type="dxa"/>
            <w:shd w:val="clear" w:color="auto" w:fill="auto"/>
            <w:vAlign w:val="center"/>
          </w:tcPr>
          <w:p w:rsidR="0007692D" w:rsidRPr="00DE475B" w:rsidRDefault="0007692D" w:rsidP="0033774F">
            <w:pPr>
              <w:jc w:val="right"/>
              <w:rPr>
                <w:rFonts w:ascii="Arial" w:hAnsi="Arial" w:cs="Arial"/>
                <w:sz w:val="20"/>
                <w:szCs w:val="20"/>
              </w:rPr>
            </w:pPr>
            <w:r>
              <w:rPr>
                <w:rFonts w:ascii="Arial" w:hAnsi="Arial" w:cs="Arial"/>
                <w:sz w:val="20"/>
                <w:szCs w:val="20"/>
              </w:rPr>
              <w:t>-</w:t>
            </w:r>
          </w:p>
        </w:tc>
        <w:tc>
          <w:tcPr>
            <w:tcW w:w="1203" w:type="dxa"/>
            <w:shd w:val="clear" w:color="auto" w:fill="auto"/>
            <w:vAlign w:val="center"/>
          </w:tcPr>
          <w:p w:rsidR="0007692D" w:rsidRPr="00DE475B" w:rsidRDefault="0007692D" w:rsidP="0033774F">
            <w:pPr>
              <w:jc w:val="right"/>
              <w:rPr>
                <w:rFonts w:ascii="Arial" w:hAnsi="Arial" w:cs="Arial"/>
                <w:sz w:val="20"/>
                <w:szCs w:val="20"/>
              </w:rPr>
            </w:pPr>
            <w:r>
              <w:rPr>
                <w:rFonts w:ascii="Arial" w:hAnsi="Arial" w:cs="Arial"/>
                <w:sz w:val="20"/>
                <w:szCs w:val="20"/>
              </w:rPr>
              <w:t>-</w:t>
            </w:r>
          </w:p>
        </w:tc>
        <w:tc>
          <w:tcPr>
            <w:tcW w:w="1203" w:type="dxa"/>
            <w:shd w:val="clear" w:color="auto" w:fill="auto"/>
            <w:vAlign w:val="center"/>
          </w:tcPr>
          <w:p w:rsidR="0007692D" w:rsidRPr="00DE475B" w:rsidRDefault="0007692D" w:rsidP="0033774F">
            <w:pPr>
              <w:jc w:val="right"/>
              <w:rPr>
                <w:rFonts w:ascii="Arial" w:hAnsi="Arial" w:cs="Arial"/>
                <w:sz w:val="20"/>
                <w:szCs w:val="20"/>
              </w:rPr>
            </w:pPr>
            <w:r w:rsidRPr="00DE475B">
              <w:rPr>
                <w:rFonts w:ascii="Arial" w:hAnsi="Arial" w:cs="Arial"/>
                <w:sz w:val="20"/>
                <w:szCs w:val="20"/>
              </w:rPr>
              <w:t xml:space="preserve">-  </w:t>
            </w:r>
          </w:p>
        </w:tc>
        <w:tc>
          <w:tcPr>
            <w:tcW w:w="1203" w:type="dxa"/>
            <w:shd w:val="clear" w:color="auto" w:fill="auto"/>
            <w:vAlign w:val="center"/>
          </w:tcPr>
          <w:p w:rsidR="0007692D" w:rsidRPr="00DE475B" w:rsidRDefault="0007692D" w:rsidP="0033774F">
            <w:pPr>
              <w:jc w:val="right"/>
              <w:rPr>
                <w:rFonts w:ascii="Arial" w:hAnsi="Arial" w:cs="Arial"/>
                <w:sz w:val="20"/>
                <w:szCs w:val="20"/>
              </w:rPr>
            </w:pPr>
            <w:r w:rsidRPr="00DE475B">
              <w:rPr>
                <w:rFonts w:ascii="Arial" w:hAnsi="Arial" w:cs="Arial"/>
                <w:sz w:val="20"/>
                <w:szCs w:val="20"/>
              </w:rPr>
              <w:t xml:space="preserve">-  </w:t>
            </w:r>
          </w:p>
        </w:tc>
        <w:tc>
          <w:tcPr>
            <w:tcW w:w="1203" w:type="dxa"/>
            <w:shd w:val="clear" w:color="auto" w:fill="auto"/>
            <w:vAlign w:val="center"/>
          </w:tcPr>
          <w:p w:rsidR="0007692D" w:rsidRPr="00DE475B" w:rsidRDefault="0007692D" w:rsidP="001F339E">
            <w:pPr>
              <w:jc w:val="right"/>
              <w:rPr>
                <w:rFonts w:ascii="Arial" w:hAnsi="Arial" w:cs="Arial"/>
                <w:sz w:val="20"/>
                <w:szCs w:val="20"/>
              </w:rPr>
            </w:pPr>
            <w:r>
              <w:rPr>
                <w:rFonts w:ascii="Arial" w:hAnsi="Arial" w:cs="Arial"/>
                <w:sz w:val="20"/>
                <w:szCs w:val="20"/>
              </w:rPr>
              <w:t>3,212</w:t>
            </w:r>
          </w:p>
        </w:tc>
        <w:tc>
          <w:tcPr>
            <w:tcW w:w="1203" w:type="dxa"/>
            <w:shd w:val="clear" w:color="auto" w:fill="auto"/>
            <w:vAlign w:val="center"/>
          </w:tcPr>
          <w:p w:rsidR="0007692D" w:rsidRPr="00DE475B" w:rsidRDefault="0007692D" w:rsidP="001F339E">
            <w:pPr>
              <w:jc w:val="right"/>
              <w:rPr>
                <w:rFonts w:ascii="Arial" w:hAnsi="Arial" w:cs="Arial"/>
                <w:sz w:val="20"/>
                <w:szCs w:val="20"/>
              </w:rPr>
            </w:pPr>
            <w:r>
              <w:rPr>
                <w:rFonts w:ascii="Arial" w:hAnsi="Arial" w:cs="Arial"/>
                <w:sz w:val="20"/>
                <w:szCs w:val="20"/>
              </w:rPr>
              <w:t>3,018</w:t>
            </w:r>
          </w:p>
        </w:tc>
      </w:tr>
      <w:tr w:rsidR="0007692D" w:rsidRPr="00DE475B" w:rsidTr="00BA05D1">
        <w:trPr>
          <w:trHeight w:val="104"/>
        </w:trPr>
        <w:tc>
          <w:tcPr>
            <w:tcW w:w="368" w:type="dxa"/>
            <w:shd w:val="clear" w:color="auto" w:fill="auto"/>
            <w:vAlign w:val="bottom"/>
          </w:tcPr>
          <w:p w:rsidR="0007692D" w:rsidRPr="00DE475B" w:rsidRDefault="0007692D">
            <w:pPr>
              <w:snapToGrid w:val="0"/>
              <w:rPr>
                <w:rFonts w:ascii="Arial" w:hAnsi="Arial" w:cs="Arial"/>
                <w:sz w:val="16"/>
                <w:szCs w:val="16"/>
              </w:rPr>
            </w:pPr>
          </w:p>
        </w:tc>
        <w:tc>
          <w:tcPr>
            <w:tcW w:w="263" w:type="dxa"/>
            <w:shd w:val="clear" w:color="auto" w:fill="auto"/>
            <w:vAlign w:val="bottom"/>
          </w:tcPr>
          <w:p w:rsidR="0007692D" w:rsidRPr="00DE475B" w:rsidRDefault="0007692D">
            <w:pPr>
              <w:snapToGrid w:val="0"/>
              <w:rPr>
                <w:rFonts w:ascii="Arial" w:hAnsi="Arial" w:cs="Arial"/>
                <w:sz w:val="16"/>
                <w:szCs w:val="16"/>
              </w:rPr>
            </w:pPr>
          </w:p>
        </w:tc>
        <w:tc>
          <w:tcPr>
            <w:tcW w:w="263" w:type="dxa"/>
            <w:shd w:val="clear" w:color="auto" w:fill="auto"/>
            <w:vAlign w:val="bottom"/>
          </w:tcPr>
          <w:p w:rsidR="0007692D" w:rsidRPr="00DE475B" w:rsidRDefault="0007692D">
            <w:pPr>
              <w:snapToGrid w:val="0"/>
              <w:rPr>
                <w:rFonts w:ascii="Arial" w:hAnsi="Arial" w:cs="Arial"/>
                <w:sz w:val="16"/>
                <w:szCs w:val="16"/>
              </w:rPr>
            </w:pPr>
          </w:p>
        </w:tc>
        <w:tc>
          <w:tcPr>
            <w:tcW w:w="1206" w:type="dxa"/>
            <w:shd w:val="clear" w:color="auto" w:fill="auto"/>
            <w:vAlign w:val="bottom"/>
          </w:tcPr>
          <w:p w:rsidR="0007692D" w:rsidRPr="00DE475B" w:rsidRDefault="0007692D">
            <w:pPr>
              <w:snapToGrid w:val="0"/>
              <w:rPr>
                <w:rFonts w:ascii="Arial" w:hAnsi="Arial" w:cs="Arial"/>
                <w:sz w:val="16"/>
                <w:szCs w:val="16"/>
              </w:rPr>
            </w:pPr>
          </w:p>
        </w:tc>
        <w:tc>
          <w:tcPr>
            <w:tcW w:w="2482" w:type="dxa"/>
            <w:shd w:val="clear" w:color="auto" w:fill="auto"/>
            <w:vAlign w:val="bottom"/>
          </w:tcPr>
          <w:p w:rsidR="0007692D" w:rsidRPr="00DE475B" w:rsidRDefault="0007692D">
            <w:pPr>
              <w:snapToGrid w:val="0"/>
              <w:rPr>
                <w:rFonts w:ascii="Arial" w:hAnsi="Arial" w:cs="Arial"/>
                <w:sz w:val="16"/>
                <w:szCs w:val="16"/>
              </w:rPr>
            </w:pPr>
          </w:p>
        </w:tc>
        <w:tc>
          <w:tcPr>
            <w:tcW w:w="1203" w:type="dxa"/>
            <w:shd w:val="clear" w:color="auto" w:fill="auto"/>
            <w:vAlign w:val="center"/>
          </w:tcPr>
          <w:p w:rsidR="0007692D" w:rsidRPr="00DE475B" w:rsidRDefault="0007692D" w:rsidP="0033774F">
            <w:pPr>
              <w:snapToGrid w:val="0"/>
              <w:jc w:val="right"/>
              <w:rPr>
                <w:rFonts w:ascii="Arial" w:hAnsi="Arial" w:cs="Arial"/>
                <w:sz w:val="16"/>
                <w:szCs w:val="16"/>
              </w:rPr>
            </w:pPr>
          </w:p>
        </w:tc>
        <w:tc>
          <w:tcPr>
            <w:tcW w:w="1203" w:type="dxa"/>
            <w:shd w:val="clear" w:color="auto" w:fill="auto"/>
            <w:vAlign w:val="center"/>
          </w:tcPr>
          <w:p w:rsidR="0007692D" w:rsidRPr="00DE475B" w:rsidRDefault="0007692D" w:rsidP="0033774F">
            <w:pPr>
              <w:snapToGrid w:val="0"/>
              <w:jc w:val="right"/>
              <w:rPr>
                <w:rFonts w:ascii="Arial" w:hAnsi="Arial" w:cs="Arial"/>
                <w:sz w:val="16"/>
                <w:szCs w:val="16"/>
              </w:rPr>
            </w:pPr>
          </w:p>
        </w:tc>
        <w:tc>
          <w:tcPr>
            <w:tcW w:w="1203" w:type="dxa"/>
            <w:shd w:val="clear" w:color="auto" w:fill="auto"/>
            <w:vAlign w:val="center"/>
          </w:tcPr>
          <w:p w:rsidR="0007692D" w:rsidRPr="00DE475B" w:rsidRDefault="0007692D" w:rsidP="0033774F">
            <w:pPr>
              <w:snapToGrid w:val="0"/>
              <w:jc w:val="right"/>
              <w:rPr>
                <w:rFonts w:ascii="Arial" w:hAnsi="Arial" w:cs="Arial"/>
                <w:sz w:val="16"/>
                <w:szCs w:val="16"/>
              </w:rPr>
            </w:pPr>
          </w:p>
        </w:tc>
        <w:tc>
          <w:tcPr>
            <w:tcW w:w="1203" w:type="dxa"/>
            <w:shd w:val="clear" w:color="auto" w:fill="auto"/>
            <w:vAlign w:val="center"/>
          </w:tcPr>
          <w:p w:rsidR="0007692D" w:rsidRPr="00DE475B" w:rsidRDefault="0007692D" w:rsidP="0033774F">
            <w:pPr>
              <w:snapToGrid w:val="0"/>
              <w:jc w:val="right"/>
              <w:rPr>
                <w:rFonts w:ascii="Arial" w:hAnsi="Arial" w:cs="Arial"/>
                <w:sz w:val="16"/>
                <w:szCs w:val="16"/>
              </w:rPr>
            </w:pPr>
          </w:p>
        </w:tc>
        <w:tc>
          <w:tcPr>
            <w:tcW w:w="1203" w:type="dxa"/>
            <w:shd w:val="clear" w:color="auto" w:fill="auto"/>
            <w:vAlign w:val="center"/>
          </w:tcPr>
          <w:p w:rsidR="0007692D" w:rsidRPr="00DE475B" w:rsidRDefault="0007692D" w:rsidP="0033774F">
            <w:pPr>
              <w:snapToGrid w:val="0"/>
              <w:jc w:val="right"/>
              <w:rPr>
                <w:rFonts w:ascii="Arial" w:hAnsi="Arial" w:cs="Arial"/>
                <w:sz w:val="16"/>
                <w:szCs w:val="16"/>
              </w:rPr>
            </w:pPr>
          </w:p>
        </w:tc>
        <w:tc>
          <w:tcPr>
            <w:tcW w:w="1203" w:type="dxa"/>
            <w:shd w:val="clear" w:color="auto" w:fill="auto"/>
            <w:vAlign w:val="center"/>
          </w:tcPr>
          <w:p w:rsidR="0007692D" w:rsidRPr="00DE475B" w:rsidRDefault="0007692D" w:rsidP="0033774F">
            <w:pPr>
              <w:snapToGrid w:val="0"/>
              <w:jc w:val="right"/>
              <w:rPr>
                <w:rFonts w:ascii="Arial" w:hAnsi="Arial" w:cs="Arial"/>
                <w:sz w:val="16"/>
                <w:szCs w:val="16"/>
              </w:rPr>
            </w:pPr>
          </w:p>
        </w:tc>
        <w:tc>
          <w:tcPr>
            <w:tcW w:w="1203" w:type="dxa"/>
            <w:shd w:val="clear" w:color="auto" w:fill="auto"/>
            <w:vAlign w:val="center"/>
          </w:tcPr>
          <w:p w:rsidR="0007692D" w:rsidRPr="00DE475B" w:rsidRDefault="0007692D" w:rsidP="0033774F">
            <w:pPr>
              <w:snapToGrid w:val="0"/>
              <w:jc w:val="right"/>
              <w:rPr>
                <w:rFonts w:ascii="Arial" w:hAnsi="Arial" w:cs="Arial"/>
                <w:sz w:val="16"/>
                <w:szCs w:val="16"/>
              </w:rPr>
            </w:pPr>
          </w:p>
        </w:tc>
        <w:tc>
          <w:tcPr>
            <w:tcW w:w="1203" w:type="dxa"/>
            <w:shd w:val="clear" w:color="auto" w:fill="auto"/>
            <w:vAlign w:val="center"/>
          </w:tcPr>
          <w:p w:rsidR="0007692D" w:rsidRPr="00DE475B" w:rsidRDefault="0007692D" w:rsidP="0033774F">
            <w:pPr>
              <w:snapToGrid w:val="0"/>
              <w:jc w:val="right"/>
              <w:rPr>
                <w:rFonts w:ascii="Arial" w:hAnsi="Arial" w:cs="Arial"/>
                <w:sz w:val="16"/>
                <w:szCs w:val="16"/>
              </w:rPr>
            </w:pPr>
          </w:p>
        </w:tc>
      </w:tr>
      <w:tr w:rsidR="0007692D" w:rsidRPr="00DE475B" w:rsidTr="00BA05D1">
        <w:trPr>
          <w:trHeight w:val="196"/>
        </w:trPr>
        <w:tc>
          <w:tcPr>
            <w:tcW w:w="4582" w:type="dxa"/>
            <w:gridSpan w:val="5"/>
            <w:shd w:val="clear" w:color="auto" w:fill="auto"/>
            <w:vAlign w:val="bottom"/>
          </w:tcPr>
          <w:p w:rsidR="0007692D" w:rsidRPr="00DE475B" w:rsidRDefault="0007692D">
            <w:pPr>
              <w:rPr>
                <w:rFonts w:ascii="Arial" w:hAnsi="Arial" w:cs="Arial"/>
                <w:sz w:val="20"/>
                <w:szCs w:val="20"/>
              </w:rPr>
            </w:pPr>
            <w:r w:rsidRPr="00DE475B">
              <w:rPr>
                <w:rFonts w:ascii="Arial" w:hAnsi="Arial" w:cs="Arial"/>
                <w:i/>
                <w:iCs/>
                <w:sz w:val="20"/>
                <w:szCs w:val="20"/>
              </w:rPr>
              <w:t>Total Other Comprehensive Income</w:t>
            </w:r>
          </w:p>
        </w:tc>
        <w:tc>
          <w:tcPr>
            <w:tcW w:w="1203" w:type="dxa"/>
            <w:shd w:val="clear" w:color="auto" w:fill="auto"/>
            <w:vAlign w:val="center"/>
          </w:tcPr>
          <w:p w:rsidR="0007692D" w:rsidRPr="00DE475B" w:rsidRDefault="0007692D" w:rsidP="0033774F">
            <w:pPr>
              <w:snapToGrid w:val="0"/>
              <w:jc w:val="right"/>
              <w:rPr>
                <w:rFonts w:ascii="Arial" w:hAnsi="Arial" w:cs="Arial"/>
                <w:sz w:val="20"/>
                <w:szCs w:val="20"/>
              </w:rPr>
            </w:pPr>
          </w:p>
        </w:tc>
        <w:tc>
          <w:tcPr>
            <w:tcW w:w="1203" w:type="dxa"/>
            <w:shd w:val="clear" w:color="auto" w:fill="auto"/>
            <w:vAlign w:val="center"/>
          </w:tcPr>
          <w:p w:rsidR="0007692D" w:rsidRPr="00DE475B" w:rsidRDefault="0007692D" w:rsidP="0033774F">
            <w:pPr>
              <w:snapToGrid w:val="0"/>
              <w:jc w:val="right"/>
              <w:rPr>
                <w:rFonts w:ascii="Arial" w:hAnsi="Arial" w:cs="Arial"/>
                <w:sz w:val="20"/>
                <w:szCs w:val="20"/>
              </w:rPr>
            </w:pPr>
          </w:p>
        </w:tc>
        <w:tc>
          <w:tcPr>
            <w:tcW w:w="1203" w:type="dxa"/>
            <w:shd w:val="clear" w:color="auto" w:fill="auto"/>
            <w:vAlign w:val="center"/>
          </w:tcPr>
          <w:p w:rsidR="0007692D" w:rsidRPr="00DE475B" w:rsidRDefault="0007692D" w:rsidP="0033774F">
            <w:pPr>
              <w:snapToGrid w:val="0"/>
              <w:jc w:val="right"/>
              <w:rPr>
                <w:rFonts w:ascii="Arial" w:hAnsi="Arial" w:cs="Arial"/>
                <w:sz w:val="20"/>
                <w:szCs w:val="20"/>
              </w:rPr>
            </w:pPr>
          </w:p>
        </w:tc>
        <w:tc>
          <w:tcPr>
            <w:tcW w:w="1203" w:type="dxa"/>
            <w:shd w:val="clear" w:color="auto" w:fill="auto"/>
            <w:vAlign w:val="center"/>
          </w:tcPr>
          <w:p w:rsidR="0007692D" w:rsidRPr="00DE475B" w:rsidRDefault="0007692D" w:rsidP="0033774F">
            <w:pPr>
              <w:snapToGrid w:val="0"/>
              <w:jc w:val="right"/>
              <w:rPr>
                <w:rFonts w:ascii="Arial" w:hAnsi="Arial" w:cs="Arial"/>
                <w:sz w:val="20"/>
                <w:szCs w:val="20"/>
              </w:rPr>
            </w:pPr>
          </w:p>
        </w:tc>
        <w:tc>
          <w:tcPr>
            <w:tcW w:w="1203" w:type="dxa"/>
            <w:shd w:val="clear" w:color="auto" w:fill="auto"/>
            <w:vAlign w:val="center"/>
          </w:tcPr>
          <w:p w:rsidR="0007692D" w:rsidRPr="00DE475B" w:rsidRDefault="0007692D" w:rsidP="0033774F">
            <w:pPr>
              <w:snapToGrid w:val="0"/>
              <w:jc w:val="right"/>
              <w:rPr>
                <w:rFonts w:ascii="Arial" w:hAnsi="Arial" w:cs="Arial"/>
                <w:sz w:val="20"/>
                <w:szCs w:val="20"/>
              </w:rPr>
            </w:pPr>
          </w:p>
        </w:tc>
        <w:tc>
          <w:tcPr>
            <w:tcW w:w="1203" w:type="dxa"/>
            <w:shd w:val="clear" w:color="auto" w:fill="auto"/>
            <w:vAlign w:val="center"/>
          </w:tcPr>
          <w:p w:rsidR="0007692D" w:rsidRPr="00DE475B" w:rsidRDefault="0007692D" w:rsidP="0033774F">
            <w:pPr>
              <w:snapToGrid w:val="0"/>
              <w:jc w:val="right"/>
              <w:rPr>
                <w:rFonts w:ascii="Arial" w:hAnsi="Arial" w:cs="Arial"/>
                <w:sz w:val="20"/>
                <w:szCs w:val="20"/>
              </w:rPr>
            </w:pPr>
          </w:p>
        </w:tc>
        <w:tc>
          <w:tcPr>
            <w:tcW w:w="1203" w:type="dxa"/>
            <w:shd w:val="clear" w:color="auto" w:fill="auto"/>
            <w:vAlign w:val="center"/>
          </w:tcPr>
          <w:p w:rsidR="0007692D" w:rsidRPr="00DE475B" w:rsidRDefault="0007692D" w:rsidP="0033774F">
            <w:pPr>
              <w:snapToGrid w:val="0"/>
              <w:jc w:val="right"/>
              <w:rPr>
                <w:rFonts w:ascii="Arial" w:hAnsi="Arial" w:cs="Arial"/>
                <w:sz w:val="20"/>
                <w:szCs w:val="20"/>
              </w:rPr>
            </w:pPr>
          </w:p>
        </w:tc>
        <w:tc>
          <w:tcPr>
            <w:tcW w:w="1203" w:type="dxa"/>
            <w:shd w:val="clear" w:color="auto" w:fill="auto"/>
            <w:vAlign w:val="center"/>
          </w:tcPr>
          <w:p w:rsidR="0007692D" w:rsidRPr="00DE475B" w:rsidRDefault="0007692D" w:rsidP="0033774F">
            <w:pPr>
              <w:snapToGrid w:val="0"/>
              <w:jc w:val="right"/>
              <w:rPr>
                <w:rFonts w:ascii="Arial" w:hAnsi="Arial" w:cs="Arial"/>
                <w:sz w:val="20"/>
                <w:szCs w:val="20"/>
              </w:rPr>
            </w:pPr>
          </w:p>
        </w:tc>
      </w:tr>
      <w:tr w:rsidR="0007692D" w:rsidRPr="00DE475B" w:rsidTr="00BA05D1">
        <w:trPr>
          <w:trHeight w:val="196"/>
        </w:trPr>
        <w:tc>
          <w:tcPr>
            <w:tcW w:w="4582" w:type="dxa"/>
            <w:gridSpan w:val="5"/>
            <w:shd w:val="clear" w:color="auto" w:fill="auto"/>
            <w:vAlign w:val="bottom"/>
          </w:tcPr>
          <w:p w:rsidR="0007692D" w:rsidRPr="00DE475B" w:rsidRDefault="009A1974" w:rsidP="006403E0">
            <w:pPr>
              <w:rPr>
                <w:rFonts w:ascii="Arial" w:hAnsi="Arial" w:cs="Arial"/>
                <w:sz w:val="20"/>
                <w:szCs w:val="20"/>
              </w:rPr>
            </w:pPr>
            <w:r>
              <w:rPr>
                <w:rFonts w:ascii="Arial" w:hAnsi="Arial" w:cs="Arial"/>
                <w:sz w:val="20"/>
                <w:szCs w:val="20"/>
              </w:rPr>
              <w:t>In</w:t>
            </w:r>
            <w:r w:rsidR="0007692D" w:rsidRPr="00DE475B">
              <w:rPr>
                <w:rFonts w:ascii="Arial" w:hAnsi="Arial" w:cs="Arial"/>
                <w:sz w:val="20"/>
                <w:szCs w:val="20"/>
              </w:rPr>
              <w:t>crease in Asset Revaluation Surplus</w:t>
            </w:r>
          </w:p>
        </w:tc>
        <w:tc>
          <w:tcPr>
            <w:tcW w:w="1203" w:type="dxa"/>
            <w:shd w:val="clear" w:color="auto" w:fill="auto"/>
            <w:vAlign w:val="center"/>
          </w:tcPr>
          <w:p w:rsidR="0007692D" w:rsidRPr="00DE475B" w:rsidRDefault="0007692D" w:rsidP="0033774F">
            <w:pPr>
              <w:jc w:val="right"/>
              <w:rPr>
                <w:rFonts w:ascii="Arial" w:hAnsi="Arial" w:cs="Arial"/>
                <w:sz w:val="20"/>
                <w:szCs w:val="20"/>
              </w:rPr>
            </w:pPr>
            <w:r w:rsidRPr="00DE475B">
              <w:rPr>
                <w:rFonts w:ascii="Arial" w:hAnsi="Arial" w:cs="Arial"/>
                <w:sz w:val="20"/>
                <w:szCs w:val="20"/>
              </w:rPr>
              <w:t xml:space="preserve">-  </w:t>
            </w:r>
          </w:p>
        </w:tc>
        <w:tc>
          <w:tcPr>
            <w:tcW w:w="1203" w:type="dxa"/>
            <w:shd w:val="clear" w:color="auto" w:fill="auto"/>
            <w:vAlign w:val="center"/>
          </w:tcPr>
          <w:p w:rsidR="0007692D" w:rsidRPr="00DE475B" w:rsidRDefault="0007692D" w:rsidP="0033774F">
            <w:pPr>
              <w:jc w:val="right"/>
              <w:rPr>
                <w:rFonts w:ascii="Arial" w:hAnsi="Arial" w:cs="Arial"/>
                <w:sz w:val="20"/>
                <w:szCs w:val="20"/>
              </w:rPr>
            </w:pPr>
            <w:r w:rsidRPr="00DE475B">
              <w:rPr>
                <w:rFonts w:ascii="Arial" w:hAnsi="Arial" w:cs="Arial"/>
                <w:sz w:val="20"/>
                <w:szCs w:val="20"/>
              </w:rPr>
              <w:t xml:space="preserve">-  </w:t>
            </w:r>
          </w:p>
        </w:tc>
        <w:tc>
          <w:tcPr>
            <w:tcW w:w="1203" w:type="dxa"/>
            <w:shd w:val="clear" w:color="auto" w:fill="auto"/>
            <w:vAlign w:val="center"/>
          </w:tcPr>
          <w:p w:rsidR="0007692D" w:rsidRPr="00DE475B" w:rsidRDefault="0007692D" w:rsidP="0033774F">
            <w:pPr>
              <w:jc w:val="right"/>
              <w:rPr>
                <w:rFonts w:ascii="Arial" w:hAnsi="Arial" w:cs="Arial"/>
                <w:sz w:val="20"/>
                <w:szCs w:val="20"/>
              </w:rPr>
            </w:pPr>
            <w:r>
              <w:rPr>
                <w:rFonts w:ascii="Arial" w:hAnsi="Arial" w:cs="Arial"/>
                <w:sz w:val="20"/>
                <w:szCs w:val="20"/>
              </w:rPr>
              <w:t>16,373</w:t>
            </w:r>
          </w:p>
        </w:tc>
        <w:tc>
          <w:tcPr>
            <w:tcW w:w="1203" w:type="dxa"/>
            <w:shd w:val="clear" w:color="auto" w:fill="auto"/>
            <w:vAlign w:val="center"/>
          </w:tcPr>
          <w:p w:rsidR="0007692D" w:rsidRPr="00DE475B" w:rsidRDefault="0007692D" w:rsidP="0033774F">
            <w:pPr>
              <w:jc w:val="right"/>
              <w:rPr>
                <w:rFonts w:ascii="Arial" w:hAnsi="Arial" w:cs="Arial"/>
                <w:sz w:val="20"/>
                <w:szCs w:val="20"/>
              </w:rPr>
            </w:pPr>
            <w:r>
              <w:rPr>
                <w:rFonts w:ascii="Arial" w:hAnsi="Arial" w:cs="Arial"/>
                <w:sz w:val="20"/>
                <w:szCs w:val="20"/>
              </w:rPr>
              <w:t>16,373</w:t>
            </w:r>
          </w:p>
        </w:tc>
        <w:tc>
          <w:tcPr>
            <w:tcW w:w="1203" w:type="dxa"/>
            <w:shd w:val="clear" w:color="auto" w:fill="auto"/>
            <w:vAlign w:val="center"/>
          </w:tcPr>
          <w:p w:rsidR="0007692D" w:rsidRPr="00DE475B" w:rsidRDefault="0007692D" w:rsidP="0033774F">
            <w:pPr>
              <w:jc w:val="right"/>
              <w:rPr>
                <w:rFonts w:ascii="Arial" w:hAnsi="Arial" w:cs="Arial"/>
                <w:sz w:val="20"/>
                <w:szCs w:val="20"/>
              </w:rPr>
            </w:pPr>
            <w:r w:rsidRPr="00DE475B">
              <w:rPr>
                <w:rFonts w:ascii="Arial" w:hAnsi="Arial" w:cs="Arial"/>
                <w:sz w:val="20"/>
                <w:szCs w:val="20"/>
              </w:rPr>
              <w:t xml:space="preserve">-  </w:t>
            </w:r>
          </w:p>
        </w:tc>
        <w:tc>
          <w:tcPr>
            <w:tcW w:w="1203" w:type="dxa"/>
            <w:shd w:val="clear" w:color="auto" w:fill="auto"/>
            <w:vAlign w:val="center"/>
          </w:tcPr>
          <w:p w:rsidR="0007692D" w:rsidRPr="00DE475B" w:rsidRDefault="0007692D" w:rsidP="0033774F">
            <w:pPr>
              <w:jc w:val="right"/>
              <w:rPr>
                <w:rFonts w:ascii="Arial" w:hAnsi="Arial" w:cs="Arial"/>
                <w:sz w:val="20"/>
                <w:szCs w:val="20"/>
              </w:rPr>
            </w:pPr>
            <w:r w:rsidRPr="00DE475B">
              <w:rPr>
                <w:rFonts w:ascii="Arial" w:hAnsi="Arial" w:cs="Arial"/>
                <w:sz w:val="20"/>
                <w:szCs w:val="20"/>
              </w:rPr>
              <w:t xml:space="preserve">-  </w:t>
            </w:r>
          </w:p>
        </w:tc>
        <w:tc>
          <w:tcPr>
            <w:tcW w:w="1203" w:type="dxa"/>
            <w:shd w:val="clear" w:color="auto" w:fill="auto"/>
            <w:vAlign w:val="center"/>
          </w:tcPr>
          <w:p w:rsidR="0007692D" w:rsidRPr="00DE475B" w:rsidRDefault="0007692D" w:rsidP="0033774F">
            <w:pPr>
              <w:jc w:val="right"/>
              <w:rPr>
                <w:rFonts w:ascii="Arial" w:hAnsi="Arial" w:cs="Arial"/>
                <w:sz w:val="20"/>
                <w:szCs w:val="20"/>
              </w:rPr>
            </w:pPr>
            <w:r>
              <w:rPr>
                <w:rFonts w:ascii="Arial" w:hAnsi="Arial" w:cs="Arial"/>
                <w:sz w:val="20"/>
                <w:szCs w:val="20"/>
              </w:rPr>
              <w:t>16,373</w:t>
            </w:r>
          </w:p>
        </w:tc>
        <w:tc>
          <w:tcPr>
            <w:tcW w:w="1203" w:type="dxa"/>
            <w:shd w:val="clear" w:color="auto" w:fill="auto"/>
            <w:vAlign w:val="center"/>
          </w:tcPr>
          <w:p w:rsidR="0007692D" w:rsidRPr="00DE475B" w:rsidRDefault="0007692D" w:rsidP="0033774F">
            <w:pPr>
              <w:jc w:val="right"/>
              <w:rPr>
                <w:rFonts w:ascii="Arial" w:hAnsi="Arial" w:cs="Arial"/>
                <w:sz w:val="20"/>
                <w:szCs w:val="20"/>
              </w:rPr>
            </w:pPr>
            <w:r>
              <w:rPr>
                <w:rFonts w:ascii="Arial" w:hAnsi="Arial" w:cs="Arial"/>
                <w:sz w:val="20"/>
                <w:szCs w:val="20"/>
              </w:rPr>
              <w:t>16,373</w:t>
            </w:r>
          </w:p>
        </w:tc>
      </w:tr>
      <w:tr w:rsidR="0007692D" w:rsidRPr="00DE475B" w:rsidTr="00BA05D1">
        <w:trPr>
          <w:trHeight w:val="107"/>
        </w:trPr>
        <w:tc>
          <w:tcPr>
            <w:tcW w:w="368" w:type="dxa"/>
            <w:shd w:val="clear" w:color="auto" w:fill="auto"/>
            <w:vAlign w:val="bottom"/>
          </w:tcPr>
          <w:p w:rsidR="0007692D" w:rsidRPr="00DE475B" w:rsidRDefault="0007692D">
            <w:pPr>
              <w:snapToGrid w:val="0"/>
              <w:rPr>
                <w:rFonts w:ascii="Arial" w:hAnsi="Arial" w:cs="Arial"/>
                <w:sz w:val="16"/>
                <w:szCs w:val="16"/>
              </w:rPr>
            </w:pPr>
          </w:p>
        </w:tc>
        <w:tc>
          <w:tcPr>
            <w:tcW w:w="263" w:type="dxa"/>
            <w:shd w:val="clear" w:color="auto" w:fill="auto"/>
            <w:vAlign w:val="bottom"/>
          </w:tcPr>
          <w:p w:rsidR="0007692D" w:rsidRPr="00DE475B" w:rsidRDefault="0007692D">
            <w:pPr>
              <w:snapToGrid w:val="0"/>
              <w:rPr>
                <w:rFonts w:ascii="Arial" w:hAnsi="Arial" w:cs="Arial"/>
                <w:sz w:val="16"/>
                <w:szCs w:val="16"/>
              </w:rPr>
            </w:pPr>
          </w:p>
        </w:tc>
        <w:tc>
          <w:tcPr>
            <w:tcW w:w="263" w:type="dxa"/>
            <w:shd w:val="clear" w:color="auto" w:fill="auto"/>
            <w:vAlign w:val="bottom"/>
          </w:tcPr>
          <w:p w:rsidR="0007692D" w:rsidRPr="00DE475B" w:rsidRDefault="0007692D">
            <w:pPr>
              <w:snapToGrid w:val="0"/>
              <w:rPr>
                <w:rFonts w:ascii="Arial" w:hAnsi="Arial" w:cs="Arial"/>
                <w:sz w:val="16"/>
                <w:szCs w:val="16"/>
              </w:rPr>
            </w:pPr>
          </w:p>
        </w:tc>
        <w:tc>
          <w:tcPr>
            <w:tcW w:w="1206" w:type="dxa"/>
            <w:shd w:val="clear" w:color="auto" w:fill="auto"/>
            <w:vAlign w:val="bottom"/>
          </w:tcPr>
          <w:p w:rsidR="0007692D" w:rsidRPr="00DE475B" w:rsidRDefault="0007692D">
            <w:pPr>
              <w:snapToGrid w:val="0"/>
              <w:rPr>
                <w:rFonts w:ascii="Arial" w:hAnsi="Arial" w:cs="Arial"/>
                <w:sz w:val="16"/>
                <w:szCs w:val="16"/>
              </w:rPr>
            </w:pPr>
          </w:p>
        </w:tc>
        <w:tc>
          <w:tcPr>
            <w:tcW w:w="2482" w:type="dxa"/>
            <w:shd w:val="clear" w:color="auto" w:fill="auto"/>
            <w:vAlign w:val="bottom"/>
          </w:tcPr>
          <w:p w:rsidR="0007692D" w:rsidRPr="00DE475B" w:rsidRDefault="0007692D">
            <w:pPr>
              <w:snapToGrid w:val="0"/>
              <w:rPr>
                <w:rFonts w:ascii="Arial" w:hAnsi="Arial" w:cs="Arial"/>
                <w:sz w:val="16"/>
                <w:szCs w:val="16"/>
              </w:rPr>
            </w:pPr>
          </w:p>
        </w:tc>
        <w:tc>
          <w:tcPr>
            <w:tcW w:w="1203" w:type="dxa"/>
            <w:tcBorders>
              <w:bottom w:val="single" w:sz="8" w:space="0" w:color="000000"/>
            </w:tcBorders>
            <w:shd w:val="clear" w:color="auto" w:fill="auto"/>
            <w:vAlign w:val="bottom"/>
          </w:tcPr>
          <w:p w:rsidR="0007692D" w:rsidRPr="00DE475B" w:rsidRDefault="0007692D">
            <w:pPr>
              <w:rPr>
                <w:rFonts w:ascii="Arial" w:hAnsi="Arial" w:cs="Arial"/>
                <w:sz w:val="16"/>
                <w:szCs w:val="16"/>
              </w:rPr>
            </w:pPr>
            <w:r w:rsidRPr="00DE475B">
              <w:rPr>
                <w:rFonts w:ascii="Arial" w:hAnsi="Arial" w:cs="Arial"/>
                <w:sz w:val="16"/>
                <w:szCs w:val="16"/>
              </w:rPr>
              <w:t> </w:t>
            </w:r>
          </w:p>
        </w:tc>
        <w:tc>
          <w:tcPr>
            <w:tcW w:w="1203" w:type="dxa"/>
            <w:tcBorders>
              <w:bottom w:val="single" w:sz="8" w:space="0" w:color="000000"/>
            </w:tcBorders>
            <w:shd w:val="clear" w:color="auto" w:fill="auto"/>
            <w:vAlign w:val="bottom"/>
          </w:tcPr>
          <w:p w:rsidR="0007692D" w:rsidRPr="00DE475B" w:rsidRDefault="0007692D">
            <w:pPr>
              <w:rPr>
                <w:rFonts w:ascii="Arial" w:hAnsi="Arial" w:cs="Arial"/>
                <w:sz w:val="16"/>
                <w:szCs w:val="16"/>
              </w:rPr>
            </w:pPr>
            <w:r w:rsidRPr="00DE475B">
              <w:rPr>
                <w:rFonts w:ascii="Arial" w:hAnsi="Arial" w:cs="Arial"/>
                <w:sz w:val="16"/>
                <w:szCs w:val="16"/>
              </w:rPr>
              <w:t> </w:t>
            </w:r>
          </w:p>
        </w:tc>
        <w:tc>
          <w:tcPr>
            <w:tcW w:w="1203" w:type="dxa"/>
            <w:tcBorders>
              <w:bottom w:val="single" w:sz="8" w:space="0" w:color="000000"/>
            </w:tcBorders>
            <w:shd w:val="clear" w:color="auto" w:fill="auto"/>
            <w:vAlign w:val="bottom"/>
          </w:tcPr>
          <w:p w:rsidR="0007692D" w:rsidRPr="00DE475B" w:rsidRDefault="0007692D">
            <w:pPr>
              <w:rPr>
                <w:rFonts w:ascii="Arial" w:hAnsi="Arial" w:cs="Arial"/>
                <w:sz w:val="16"/>
                <w:szCs w:val="16"/>
              </w:rPr>
            </w:pPr>
            <w:r w:rsidRPr="00DE475B">
              <w:rPr>
                <w:rFonts w:ascii="Arial" w:hAnsi="Arial" w:cs="Arial"/>
                <w:sz w:val="16"/>
                <w:szCs w:val="16"/>
              </w:rPr>
              <w:t> </w:t>
            </w:r>
          </w:p>
        </w:tc>
        <w:tc>
          <w:tcPr>
            <w:tcW w:w="1203" w:type="dxa"/>
            <w:tcBorders>
              <w:bottom w:val="single" w:sz="8" w:space="0" w:color="000000"/>
            </w:tcBorders>
            <w:shd w:val="clear" w:color="auto" w:fill="auto"/>
            <w:vAlign w:val="bottom"/>
          </w:tcPr>
          <w:p w:rsidR="0007692D" w:rsidRPr="00DE475B" w:rsidRDefault="0007692D">
            <w:pPr>
              <w:rPr>
                <w:rFonts w:ascii="Arial" w:hAnsi="Arial" w:cs="Arial"/>
                <w:sz w:val="16"/>
                <w:szCs w:val="16"/>
              </w:rPr>
            </w:pPr>
            <w:r w:rsidRPr="00DE475B">
              <w:rPr>
                <w:rFonts w:ascii="Arial" w:hAnsi="Arial" w:cs="Arial"/>
                <w:sz w:val="16"/>
                <w:szCs w:val="16"/>
              </w:rPr>
              <w:t> </w:t>
            </w:r>
          </w:p>
        </w:tc>
        <w:tc>
          <w:tcPr>
            <w:tcW w:w="1203" w:type="dxa"/>
            <w:tcBorders>
              <w:bottom w:val="single" w:sz="8" w:space="0" w:color="000000"/>
            </w:tcBorders>
            <w:shd w:val="clear" w:color="auto" w:fill="auto"/>
            <w:vAlign w:val="bottom"/>
          </w:tcPr>
          <w:p w:rsidR="0007692D" w:rsidRPr="00DE475B" w:rsidRDefault="0007692D">
            <w:pPr>
              <w:rPr>
                <w:rFonts w:ascii="Arial" w:hAnsi="Arial" w:cs="Arial"/>
                <w:sz w:val="16"/>
                <w:szCs w:val="16"/>
              </w:rPr>
            </w:pPr>
            <w:r w:rsidRPr="00DE475B">
              <w:rPr>
                <w:rFonts w:ascii="Arial" w:hAnsi="Arial" w:cs="Arial"/>
                <w:sz w:val="16"/>
                <w:szCs w:val="16"/>
              </w:rPr>
              <w:t> </w:t>
            </w:r>
          </w:p>
        </w:tc>
        <w:tc>
          <w:tcPr>
            <w:tcW w:w="1203" w:type="dxa"/>
            <w:tcBorders>
              <w:bottom w:val="single" w:sz="8" w:space="0" w:color="000000"/>
            </w:tcBorders>
            <w:shd w:val="clear" w:color="auto" w:fill="auto"/>
            <w:vAlign w:val="bottom"/>
          </w:tcPr>
          <w:p w:rsidR="0007692D" w:rsidRPr="00DE475B" w:rsidRDefault="0007692D">
            <w:pPr>
              <w:rPr>
                <w:rFonts w:ascii="Arial" w:hAnsi="Arial" w:cs="Arial"/>
                <w:sz w:val="16"/>
                <w:szCs w:val="16"/>
              </w:rPr>
            </w:pPr>
            <w:r w:rsidRPr="00DE475B">
              <w:rPr>
                <w:rFonts w:ascii="Arial" w:hAnsi="Arial" w:cs="Arial"/>
                <w:sz w:val="16"/>
                <w:szCs w:val="16"/>
              </w:rPr>
              <w:t> </w:t>
            </w:r>
          </w:p>
        </w:tc>
        <w:tc>
          <w:tcPr>
            <w:tcW w:w="1203" w:type="dxa"/>
            <w:tcBorders>
              <w:bottom w:val="single" w:sz="8" w:space="0" w:color="000000"/>
            </w:tcBorders>
            <w:shd w:val="clear" w:color="auto" w:fill="auto"/>
            <w:vAlign w:val="bottom"/>
          </w:tcPr>
          <w:p w:rsidR="0007692D" w:rsidRPr="00DE475B" w:rsidRDefault="0007692D">
            <w:pPr>
              <w:rPr>
                <w:rFonts w:ascii="Arial" w:hAnsi="Arial" w:cs="Arial"/>
                <w:sz w:val="16"/>
                <w:szCs w:val="16"/>
              </w:rPr>
            </w:pPr>
            <w:r w:rsidRPr="00DE475B">
              <w:rPr>
                <w:rFonts w:ascii="Arial" w:hAnsi="Arial" w:cs="Arial"/>
                <w:sz w:val="16"/>
                <w:szCs w:val="16"/>
              </w:rPr>
              <w:t> </w:t>
            </w:r>
          </w:p>
        </w:tc>
        <w:tc>
          <w:tcPr>
            <w:tcW w:w="1203" w:type="dxa"/>
            <w:tcBorders>
              <w:bottom w:val="single" w:sz="8" w:space="0" w:color="000000"/>
            </w:tcBorders>
            <w:shd w:val="clear" w:color="auto" w:fill="auto"/>
            <w:vAlign w:val="bottom"/>
          </w:tcPr>
          <w:p w:rsidR="0007692D" w:rsidRPr="00DE475B" w:rsidRDefault="0007692D">
            <w:pPr>
              <w:rPr>
                <w:rFonts w:ascii="Arial" w:hAnsi="Arial" w:cs="Arial"/>
                <w:sz w:val="16"/>
                <w:szCs w:val="16"/>
              </w:rPr>
            </w:pPr>
            <w:r w:rsidRPr="00DE475B">
              <w:rPr>
                <w:rFonts w:ascii="Arial" w:hAnsi="Arial" w:cs="Arial"/>
                <w:sz w:val="16"/>
                <w:szCs w:val="16"/>
              </w:rPr>
              <w:t> </w:t>
            </w:r>
          </w:p>
        </w:tc>
      </w:tr>
      <w:tr w:rsidR="0007692D" w:rsidRPr="00DE475B" w:rsidTr="00AB5B81">
        <w:trPr>
          <w:trHeight w:val="443"/>
        </w:trPr>
        <w:tc>
          <w:tcPr>
            <w:tcW w:w="4582" w:type="dxa"/>
            <w:gridSpan w:val="5"/>
            <w:shd w:val="clear" w:color="auto" w:fill="auto"/>
            <w:vAlign w:val="center"/>
          </w:tcPr>
          <w:p w:rsidR="0007692D" w:rsidRPr="00DE475B" w:rsidRDefault="0007692D" w:rsidP="00E11A54">
            <w:pPr>
              <w:rPr>
                <w:rFonts w:ascii="Arial" w:hAnsi="Arial" w:cs="Arial"/>
                <w:sz w:val="20"/>
                <w:szCs w:val="20"/>
              </w:rPr>
            </w:pPr>
            <w:r>
              <w:rPr>
                <w:rFonts w:ascii="Arial" w:hAnsi="Arial" w:cs="Arial"/>
                <w:b/>
                <w:bCs/>
                <w:sz w:val="20"/>
                <w:szCs w:val="20"/>
              </w:rPr>
              <w:t>Balance 30 June 2017</w:t>
            </w:r>
          </w:p>
        </w:tc>
        <w:tc>
          <w:tcPr>
            <w:tcW w:w="1203" w:type="dxa"/>
            <w:tcBorders>
              <w:top w:val="single" w:sz="8" w:space="0" w:color="000000"/>
              <w:bottom w:val="single" w:sz="12" w:space="0" w:color="000000"/>
            </w:tcBorders>
            <w:shd w:val="clear" w:color="auto" w:fill="auto"/>
            <w:vAlign w:val="center"/>
          </w:tcPr>
          <w:p w:rsidR="0007692D" w:rsidRPr="00DE475B" w:rsidRDefault="0007692D" w:rsidP="00FC6E42">
            <w:pPr>
              <w:jc w:val="right"/>
              <w:rPr>
                <w:rFonts w:ascii="Arial" w:hAnsi="Arial" w:cs="Arial"/>
                <w:sz w:val="20"/>
                <w:szCs w:val="20"/>
              </w:rPr>
            </w:pPr>
            <w:r>
              <w:rPr>
                <w:rFonts w:ascii="Arial" w:hAnsi="Arial" w:cs="Arial"/>
                <w:sz w:val="20"/>
                <w:szCs w:val="20"/>
              </w:rPr>
              <w:t>75,818</w:t>
            </w:r>
          </w:p>
        </w:tc>
        <w:tc>
          <w:tcPr>
            <w:tcW w:w="1203" w:type="dxa"/>
            <w:tcBorders>
              <w:top w:val="single" w:sz="8" w:space="0" w:color="000000"/>
              <w:bottom w:val="single" w:sz="12" w:space="0" w:color="000000"/>
            </w:tcBorders>
            <w:shd w:val="clear" w:color="auto" w:fill="auto"/>
            <w:vAlign w:val="center"/>
          </w:tcPr>
          <w:p w:rsidR="0007692D" w:rsidRPr="00DE475B" w:rsidRDefault="0007692D" w:rsidP="0033774F">
            <w:pPr>
              <w:jc w:val="right"/>
              <w:rPr>
                <w:rFonts w:ascii="Arial" w:hAnsi="Arial" w:cs="Arial"/>
                <w:sz w:val="20"/>
                <w:szCs w:val="20"/>
              </w:rPr>
            </w:pPr>
            <w:r>
              <w:rPr>
                <w:rFonts w:ascii="Arial" w:hAnsi="Arial" w:cs="Arial"/>
                <w:sz w:val="20"/>
                <w:szCs w:val="20"/>
              </w:rPr>
              <w:t>70,023</w:t>
            </w:r>
          </w:p>
        </w:tc>
        <w:tc>
          <w:tcPr>
            <w:tcW w:w="1203" w:type="dxa"/>
            <w:tcBorders>
              <w:top w:val="single" w:sz="8" w:space="0" w:color="000000"/>
              <w:bottom w:val="single" w:sz="12" w:space="0" w:color="000000"/>
            </w:tcBorders>
            <w:shd w:val="clear" w:color="auto" w:fill="auto"/>
            <w:vAlign w:val="center"/>
          </w:tcPr>
          <w:p w:rsidR="0007692D" w:rsidRPr="00DE475B" w:rsidRDefault="0007692D" w:rsidP="0033774F">
            <w:pPr>
              <w:jc w:val="right"/>
              <w:rPr>
                <w:rFonts w:ascii="Arial" w:hAnsi="Arial" w:cs="Arial"/>
                <w:sz w:val="20"/>
                <w:szCs w:val="20"/>
              </w:rPr>
            </w:pPr>
            <w:r>
              <w:rPr>
                <w:rFonts w:ascii="Arial" w:hAnsi="Arial" w:cs="Arial"/>
                <w:sz w:val="20"/>
                <w:szCs w:val="20"/>
              </w:rPr>
              <w:t>71,079</w:t>
            </w:r>
          </w:p>
        </w:tc>
        <w:tc>
          <w:tcPr>
            <w:tcW w:w="1203" w:type="dxa"/>
            <w:tcBorders>
              <w:top w:val="single" w:sz="8" w:space="0" w:color="000000"/>
              <w:bottom w:val="single" w:sz="12" w:space="0" w:color="000000"/>
            </w:tcBorders>
            <w:shd w:val="clear" w:color="auto" w:fill="auto"/>
            <w:vAlign w:val="center"/>
          </w:tcPr>
          <w:p w:rsidR="0007692D" w:rsidRPr="00DE475B" w:rsidRDefault="0007692D" w:rsidP="0033774F">
            <w:pPr>
              <w:jc w:val="right"/>
              <w:rPr>
                <w:rFonts w:ascii="Arial" w:hAnsi="Arial" w:cs="Arial"/>
                <w:sz w:val="20"/>
                <w:szCs w:val="20"/>
              </w:rPr>
            </w:pPr>
            <w:r>
              <w:rPr>
                <w:rFonts w:ascii="Arial" w:hAnsi="Arial" w:cs="Arial"/>
                <w:sz w:val="20"/>
                <w:szCs w:val="20"/>
              </w:rPr>
              <w:t>71,079</w:t>
            </w:r>
          </w:p>
        </w:tc>
        <w:tc>
          <w:tcPr>
            <w:tcW w:w="1203" w:type="dxa"/>
            <w:tcBorders>
              <w:top w:val="single" w:sz="8" w:space="0" w:color="000000"/>
              <w:bottom w:val="single" w:sz="12" w:space="0" w:color="000000"/>
            </w:tcBorders>
            <w:shd w:val="clear" w:color="auto" w:fill="auto"/>
            <w:vAlign w:val="center"/>
          </w:tcPr>
          <w:p w:rsidR="0007692D" w:rsidRPr="00DE475B" w:rsidRDefault="0007692D" w:rsidP="0033774F">
            <w:pPr>
              <w:jc w:val="right"/>
              <w:rPr>
                <w:rFonts w:ascii="Arial" w:hAnsi="Arial" w:cs="Arial"/>
                <w:sz w:val="20"/>
                <w:szCs w:val="20"/>
              </w:rPr>
            </w:pPr>
            <w:r>
              <w:rPr>
                <w:rFonts w:ascii="Arial" w:hAnsi="Arial" w:cs="Arial"/>
                <w:sz w:val="20"/>
                <w:szCs w:val="20"/>
              </w:rPr>
              <w:t>1,465</w:t>
            </w:r>
          </w:p>
        </w:tc>
        <w:tc>
          <w:tcPr>
            <w:tcW w:w="1203" w:type="dxa"/>
            <w:tcBorders>
              <w:top w:val="single" w:sz="8" w:space="0" w:color="000000"/>
              <w:bottom w:val="single" w:sz="12" w:space="0" w:color="000000"/>
            </w:tcBorders>
            <w:shd w:val="clear" w:color="auto" w:fill="auto"/>
            <w:vAlign w:val="center"/>
          </w:tcPr>
          <w:p w:rsidR="0007692D" w:rsidRPr="00DE475B" w:rsidRDefault="0007692D" w:rsidP="0033774F">
            <w:pPr>
              <w:jc w:val="right"/>
              <w:rPr>
                <w:rFonts w:ascii="Arial" w:hAnsi="Arial" w:cs="Arial"/>
                <w:sz w:val="20"/>
                <w:szCs w:val="20"/>
              </w:rPr>
            </w:pPr>
            <w:r>
              <w:rPr>
                <w:rFonts w:ascii="Arial" w:hAnsi="Arial" w:cs="Arial"/>
                <w:sz w:val="20"/>
                <w:szCs w:val="20"/>
              </w:rPr>
              <w:t>1,465</w:t>
            </w:r>
          </w:p>
        </w:tc>
        <w:tc>
          <w:tcPr>
            <w:tcW w:w="1203" w:type="dxa"/>
            <w:tcBorders>
              <w:top w:val="single" w:sz="8" w:space="0" w:color="000000"/>
              <w:bottom w:val="single" w:sz="12" w:space="0" w:color="000000"/>
            </w:tcBorders>
            <w:shd w:val="clear" w:color="auto" w:fill="auto"/>
            <w:vAlign w:val="center"/>
          </w:tcPr>
          <w:p w:rsidR="0007692D" w:rsidRPr="00DE475B" w:rsidRDefault="0007692D" w:rsidP="0033774F">
            <w:pPr>
              <w:jc w:val="right"/>
              <w:rPr>
                <w:rFonts w:ascii="Arial" w:hAnsi="Arial" w:cs="Arial"/>
                <w:sz w:val="20"/>
                <w:szCs w:val="20"/>
              </w:rPr>
            </w:pPr>
            <w:r>
              <w:rPr>
                <w:rFonts w:ascii="Arial" w:hAnsi="Arial" w:cs="Arial"/>
                <w:sz w:val="20"/>
                <w:szCs w:val="20"/>
              </w:rPr>
              <w:t>148,362</w:t>
            </w:r>
          </w:p>
        </w:tc>
        <w:tc>
          <w:tcPr>
            <w:tcW w:w="1203" w:type="dxa"/>
            <w:tcBorders>
              <w:top w:val="single" w:sz="8" w:space="0" w:color="000000"/>
              <w:bottom w:val="single" w:sz="12" w:space="0" w:color="000000"/>
            </w:tcBorders>
            <w:shd w:val="clear" w:color="auto" w:fill="auto"/>
            <w:vAlign w:val="center"/>
          </w:tcPr>
          <w:p w:rsidR="0007692D" w:rsidRPr="00DE475B" w:rsidRDefault="0007692D" w:rsidP="0033774F">
            <w:pPr>
              <w:jc w:val="right"/>
              <w:rPr>
                <w:rFonts w:ascii="Arial" w:hAnsi="Arial" w:cs="Arial"/>
                <w:sz w:val="20"/>
                <w:szCs w:val="20"/>
              </w:rPr>
            </w:pPr>
            <w:r>
              <w:rPr>
                <w:rFonts w:ascii="Arial" w:hAnsi="Arial" w:cs="Arial"/>
                <w:sz w:val="20"/>
                <w:szCs w:val="20"/>
              </w:rPr>
              <w:t>142,567</w:t>
            </w:r>
          </w:p>
        </w:tc>
      </w:tr>
    </w:tbl>
    <w:p w:rsidR="00D346B4" w:rsidRPr="00DE475B" w:rsidRDefault="00D346B4">
      <w:pPr>
        <w:pStyle w:val="ARbodytext"/>
      </w:pPr>
    </w:p>
    <w:p w:rsidR="00D346B4" w:rsidRPr="00DE475B" w:rsidRDefault="00E81215">
      <w:pPr>
        <w:pStyle w:val="ARbodytext"/>
        <w:sectPr w:rsidR="00D346B4" w:rsidRPr="00DE475B" w:rsidSect="00B53922">
          <w:headerReference w:type="even" r:id="rId27"/>
          <w:headerReference w:type="default" r:id="rId28"/>
          <w:footerReference w:type="even" r:id="rId29"/>
          <w:footerReference w:type="default" r:id="rId30"/>
          <w:headerReference w:type="first" r:id="rId31"/>
          <w:footerReference w:type="first" r:id="rId32"/>
          <w:pgSz w:w="16838" w:h="11906" w:orient="landscape"/>
          <w:pgMar w:top="1701" w:right="1440" w:bottom="1701" w:left="1440" w:header="680" w:footer="680" w:gutter="0"/>
          <w:cols w:space="720"/>
          <w:docGrid w:linePitch="360"/>
        </w:sectPr>
      </w:pPr>
      <w:r w:rsidRPr="00DE475B">
        <w:rPr>
          <w:noProof/>
          <w:lang w:eastAsia="en-AU"/>
        </w:rPr>
        <mc:AlternateContent>
          <mc:Choice Requires="wps">
            <w:drawing>
              <wp:anchor distT="0" distB="0" distL="114300" distR="114300" simplePos="0" relativeHeight="251743232" behindDoc="0" locked="0" layoutInCell="1" allowOverlap="1" wp14:anchorId="2241B570" wp14:editId="4DDA4D1F">
                <wp:simplePos x="0" y="0"/>
                <wp:positionH relativeFrom="margin">
                  <wp:posOffset>7981950</wp:posOffset>
                </wp:positionH>
                <wp:positionV relativeFrom="page">
                  <wp:posOffset>5396230</wp:posOffset>
                </wp:positionV>
                <wp:extent cx="2826385" cy="314960"/>
                <wp:effectExtent l="0" t="1587"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26385" cy="314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51632B" w:rsidRDefault="0051632B" w:rsidP="00E81215">
                            <w:pPr>
                              <w:tabs>
                                <w:tab w:val="center" w:pos="4320"/>
                                <w:tab w:val="right" w:pos="8640"/>
                              </w:tabs>
                              <w:rPr>
                                <w:rFonts w:ascii="Arial" w:hAnsi="Arial" w:cs="Arial"/>
                                <w:sz w:val="18"/>
                                <w:szCs w:val="18"/>
                              </w:rPr>
                            </w:pPr>
                            <w:r>
                              <w:rPr>
                                <w:rFonts w:ascii="Arial" w:hAnsi="Arial" w:cs="Arial"/>
                                <w:sz w:val="18"/>
                                <w:szCs w:val="18"/>
                              </w:rPr>
                              <w:t>Library Board of Queensland Annual Report 2016–17</w:t>
                            </w:r>
                          </w:p>
                          <w:p w:rsidR="0051632B" w:rsidRDefault="0051632B" w:rsidP="00E81215"/>
                        </w:txbxContent>
                      </wps:txbx>
                      <wps:bodyPr rot="0" vert="horz"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28.5pt;margin-top:424.9pt;width:222.55pt;height:24.8pt;rotation:90;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Xf7gIAAHgGAAAOAAAAZHJzL2Uyb0RvYy54bWysVduOmzAQfa/Uf7D8znKJIYCWVAkJVaXt&#10;RdrtBzhgAirY1HZCtlX/vWOTzWZ3+1B1ywOyx8P4nDkzw/W7Y9+hA5OqFTzD/pWHEeOlqFq+y/DX&#10;u8KJMVKa8op2grMM3zOF3y3evrkeh5QFohFdxSSCIFyl45DhRushdV1VNqyn6koMjMNhLWRPNWzl&#10;zq0kHSF637mB50XuKGQ1SFEypcC6ng7xwsava1bqz3WtmEZdhgGbtm9p31vzdhfXNN1JOjRteYJB&#10;/wFFT1sOl55DrammaC/bF6H6tpRCiVpflaJ3RV23JbMcgI3vPWNz29CBWS6QHDWc06T+X9jy0+GL&#10;RG0F2gUYcdqDRnfsqNFKHBGYID/joFJwux3AUR/BDr6WqxpuRPlNIS7yhvIdW0opxobRCvD55kv3&#10;4tMpjjJBtuNHUcE9dK+FDXSsZY+kAHFC4pnHWiE5CO4C1e7PShlkJRiDOIhmcYhRCWcznySRldKl&#10;qYllhBik0u+Z6JFZZFhCJdio9HCjtMH26GLcuSjarrPV0PEnBnCcLMyW0/Q1TQEJLI2nwWSl/pl4&#10;ySbexMQhQbRxiLdeO8siJ05U+PNwPVvn+dr/ZVD4JG3aqmLcXPpQdj75O1lPDTAVzLnwlOjayoQz&#10;kJTcbfNOogOFsi/sY/WAk0c39ykMmxLg8oySHxBvFSROEcVzhxQkdJK5Fzuen6wg6SQh6+IppZuW&#10;s9dTQmOGkzAIrWYXoJ9xm5EoXBYvudFUij2vrJ6mIjentaZtN60v2BvEf2a/LEJvTmaxM5+HM4fM&#10;Np6ziovcWeZ+FM03q3y1eSboxhaJen0CrAwXFXeB93THI2Qo0YdytC1numzqN33cHqfufujkraju&#10;oQdtt0FrweiG7miE/IHRCGMww+r7nkqGUfeBQx+TcB6YuWk3iU8IbOTlyfbyhPISQmVYYzQtc21n&#10;rSHDxRL6vW5t85nBMCEBFmYD483yOY1iMz8v99br8Yex+A0AAP//AwBQSwMEFAAGAAgAAAAhAOy7&#10;hUriAAAADgEAAA8AAABkcnMvZG93bnJldi54bWxMj8FOwzAQRO9I/IO1SNyo3copEOJUgMQhFAm1&#10;5QPseJtEje0odtv079me4LajHc28KVaT69kJx9gFr2A+E8DQ18F2vlHws/t4eAIWk/ZW98GjggtG&#10;WJW3N4XObTj7DZ62qWEU4mOuFbQpDTnnsW7R6TgLA3r67cPodCI5NtyO+kzhrucLIZbc6c5TQ6sH&#10;fG+xPmyPTsH+rdqYr4us1o1JB/M9VbvP9aDU/d30+gIs4ZT+zHDFJ3QoicmEo7eR9aRlJok9KVhm&#10;C1p1tWRCSmCGLvH8OAdeFvz/jPIXAAD//wMAUEsBAi0AFAAGAAgAAAAhALaDOJL+AAAA4QEAABMA&#10;AAAAAAAAAAAAAAAAAAAAAFtDb250ZW50X1R5cGVzXS54bWxQSwECLQAUAAYACAAAACEAOP0h/9YA&#10;AACUAQAACwAAAAAAAAAAAAAAAAAvAQAAX3JlbHMvLnJlbHNQSwECLQAUAAYACAAAACEAtmhF3+4C&#10;AAB4BgAADgAAAAAAAAAAAAAAAAAuAgAAZHJzL2Uyb0RvYy54bWxQSwECLQAUAAYACAAAACEA7LuF&#10;SuIAAAAOAQAADwAAAAAAAAAAAAAAAABIBQAAZHJzL2Rvd25yZXYueG1sUEsFBgAAAAAEAAQA8wAA&#10;AFcGAAAAAA==&#10;" filled="f" stroked="f" strokecolor="#3465af">
                <v:stroke joinstyle="round"/>
                <v:textbox inset="3.6pt,7.2pt,3.6pt,7.2pt">
                  <w:txbxContent>
                    <w:p w:rsidR="0051632B" w:rsidRDefault="0051632B" w:rsidP="00E81215">
                      <w:pPr>
                        <w:tabs>
                          <w:tab w:val="center" w:pos="4320"/>
                          <w:tab w:val="right" w:pos="8640"/>
                        </w:tabs>
                        <w:rPr>
                          <w:rFonts w:ascii="Arial" w:hAnsi="Arial" w:cs="Arial"/>
                          <w:sz w:val="18"/>
                          <w:szCs w:val="18"/>
                        </w:rPr>
                      </w:pPr>
                      <w:r>
                        <w:rPr>
                          <w:rFonts w:ascii="Arial" w:hAnsi="Arial" w:cs="Arial"/>
                          <w:sz w:val="18"/>
                          <w:szCs w:val="18"/>
                        </w:rPr>
                        <w:t>Library Board of Queensland Annual Report 2016–17</w:t>
                      </w:r>
                    </w:p>
                    <w:p w:rsidR="0051632B" w:rsidRDefault="0051632B" w:rsidP="00E81215"/>
                  </w:txbxContent>
                </v:textbox>
                <w10:wrap anchorx="margin" anchory="page"/>
              </v:shape>
            </w:pict>
          </mc:Fallback>
        </mc:AlternateContent>
      </w:r>
      <w:r w:rsidR="007A74C9" w:rsidRPr="00DE475B">
        <w:rPr>
          <w:noProof/>
          <w:lang w:eastAsia="en-AU"/>
        </w:rPr>
        <mc:AlternateContent>
          <mc:Choice Requires="wps">
            <w:drawing>
              <wp:anchor distT="0" distB="0" distL="114300" distR="114300" simplePos="0" relativeHeight="251717632" behindDoc="0" locked="0" layoutInCell="1" allowOverlap="1" wp14:anchorId="4ACD8A62" wp14:editId="4A42AF90">
                <wp:simplePos x="0" y="0"/>
                <wp:positionH relativeFrom="column">
                  <wp:posOffset>-484822</wp:posOffset>
                </wp:positionH>
                <wp:positionV relativeFrom="paragraph">
                  <wp:posOffset>1812343</wp:posOffset>
                </wp:positionV>
                <wp:extent cx="303530" cy="340995"/>
                <wp:effectExtent l="0" t="0" r="0" b="1587"/>
                <wp:wrapNone/>
                <wp:docPr id="2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03530" cy="340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51632B" w:rsidRDefault="0051632B">
                            <w:pPr>
                              <w:rPr>
                                <w:rFonts w:ascii="Arial" w:hAnsi="Arial" w:cs="Arial"/>
                                <w:sz w:val="20"/>
                                <w:szCs w:val="20"/>
                              </w:rPr>
                            </w:pPr>
                            <w:r>
                              <w:rPr>
                                <w:rFonts w:ascii="Arial" w:hAnsi="Arial" w:cs="Arial"/>
                                <w:sz w:val="20"/>
                                <w:szCs w:val="20"/>
                              </w:rPr>
                              <w:t>45</w:t>
                            </w:r>
                          </w:p>
                        </w:txbxContent>
                      </wps:txbx>
                      <wps:bodyPr rot="0" vert="horz"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margin-left:-38.15pt;margin-top:142.7pt;width:23.9pt;height:26.8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e7AIAAHgGAAAOAAAAZHJzL2Uyb0RvYy54bWysVV1vmzAUfZ+0/2D5nQLBQEClU0LCNKn7&#10;kNr9AAdMQAOb2W5JN+2/79qkKU33MK3jAfnjcnzOvfeYy3eHvkP3TKpW8Az7Fx5GjJeiavk+w19v&#10;C2eJkdKUV7QTnGX4gSn87urtm8txSNlCNKKrmEQAwlU6DhlutB5S11Vlw3qqLsTAOGzWQvZUw1Tu&#10;3UrSEdD7zl14XuSOQlaDFCVTClY30ya+svh1zUr9ua4V06jLMHDT9i3te2fe7tUlTfeSDk1bHmnQ&#10;f2DR05bDoSeoDdUU3cn2BVTfllIoUeuLUvSuqOu2ZFYDqPG9MzU3DR2Y1QLJUcMpTer/wZaf7r9I&#10;1FYZXsSQH057KNItO2i0FgcUJSZB46BSiLsZIFIfYB0KbcWq4VqU3xTiIm8o37OVlGJsGK2AoG++&#10;dGefTjjKgOzGj6KCc+idFhboUMseSQHVCYlnHrsK2UFwFtB6OJXKMCthMfCCMICdErYC4iVJaM+j&#10;qYEyhRik0u+Z6JEZZFhCJ1hQen+ttKH2FGLCuSjarrPd0PFnCxA4rTDbTtPXNAUiMDSRhpIt9c/E&#10;S7bL7ZI4ZBFtHeJtNs6qyIkTFX4cboJNnm/8X4aFT9KmrSrGzaGPbeeTvyvr0QBTw5waT4murQyc&#10;oaTkfpd3Et1TaPvCPsf0zMLc5zRsSkDLmSR/Qbz1InGKaBk7pCChk8Te0vH8ZJ1EHknIpngu6brl&#10;7PWS0JjhJFyEtmYz0mfaAhKFq+KlNppKcccrW0/TkNvjWNO2m8Yz9Ybxn9WvitCLSbB04jgMHBJs&#10;PWe9LHJnlftRFG/X+Xp7VtCtbRL1+gTYMsw6bsb3eMYTZWjRx3a0jjMmm+ymD7vD5G6TI+PGnage&#10;wILWbOAfuLrBHY2QPzAa4RrMsPp+RyXDqPvAwcYkjBcQpu0k8QmBiZzv7OY7lJcAlWGN0TTMtb1r&#10;jRguVmD3urXme2ICKswErjer53gVm/tzPrdRTz+Mq98AAAD//wMAUEsDBBQABgAIAAAAIQCXH5sb&#10;4gAAAAsBAAAPAAAAZHJzL2Rvd25yZXYueG1sTI9BTsMwEEX3SNzBGiR2qUNSQgiZVIDEIhQJteUA&#10;djxNosZ2FLttenvMqixH/+n/N+Vq1gM70eR6axAeFjEwMo1VvWkRfnYfUQ7MeWGUGKwhhAs5WFW3&#10;N6UolD2bDZ22vmWhxLhCIHTejwXnrulIC7ewI5mQ7e2khQ/n1HI1iXMo1wNP4jjjWvQmLHRipPeO&#10;msP2qBH2b/VGfl2W9bqV/iC/53r3uR4R7+/m1xdgnmZ/heFPP6hDFZykPRrl2IAQPT2nAUVI8nwJ&#10;LBBR8pgBkwhpmiXAq5L//6H6BQAA//8DAFBLAQItABQABgAIAAAAIQC2gziS/gAAAOEBAAATAAAA&#10;AAAAAAAAAAAAAAAAAABbQ29udGVudF9UeXBlc10ueG1sUEsBAi0AFAAGAAgAAAAhADj9If/WAAAA&#10;lAEAAAsAAAAAAAAAAAAAAAAALwEAAF9yZWxzLy5yZWxzUEsBAi0AFAAGAAgAAAAhAP82St7sAgAA&#10;eAYAAA4AAAAAAAAAAAAAAAAALgIAAGRycy9lMm9Eb2MueG1sUEsBAi0AFAAGAAgAAAAhAJcfmxvi&#10;AAAACwEAAA8AAAAAAAAAAAAAAAAARgUAAGRycy9kb3ducmV2LnhtbFBLBQYAAAAABAAEAPMAAABV&#10;BgAAAAA=&#10;" filled="f" stroked="f" strokecolor="#3465af">
                <v:stroke joinstyle="round"/>
                <v:textbox inset="3.6pt,7.2pt,3.6pt,7.2pt">
                  <w:txbxContent>
                    <w:p w:rsidR="0051632B" w:rsidRDefault="0051632B">
                      <w:pPr>
                        <w:rPr>
                          <w:rFonts w:ascii="Arial" w:hAnsi="Arial" w:cs="Arial"/>
                          <w:sz w:val="20"/>
                          <w:szCs w:val="20"/>
                        </w:rPr>
                      </w:pPr>
                      <w:r>
                        <w:rPr>
                          <w:rFonts w:ascii="Arial" w:hAnsi="Arial" w:cs="Arial"/>
                          <w:sz w:val="20"/>
                          <w:szCs w:val="20"/>
                        </w:rPr>
                        <w:t>45</w:t>
                      </w:r>
                    </w:p>
                  </w:txbxContent>
                </v:textbox>
              </v:shape>
            </w:pict>
          </mc:Fallback>
        </mc:AlternateContent>
      </w:r>
      <w:r w:rsidR="00D346B4" w:rsidRPr="00DE475B">
        <w:rPr>
          <w:i/>
        </w:rPr>
        <w:t>The accompanying notes form part of these statements.</w:t>
      </w:r>
      <w:r w:rsidRPr="00E81215">
        <w:rPr>
          <w:noProof/>
          <w:lang w:eastAsia="en-AU"/>
        </w:rPr>
        <w:t xml:space="preserve"> </w:t>
      </w:r>
    </w:p>
    <w:p w:rsidR="00D346B4" w:rsidRPr="00DE475B" w:rsidRDefault="00373FFE">
      <w:pPr>
        <w:pStyle w:val="ARbodytext"/>
        <w:rPr>
          <w:b/>
          <w:bCs/>
        </w:rPr>
      </w:pPr>
      <w:r w:rsidRPr="00DE475B">
        <w:rPr>
          <w:noProof/>
          <w:lang w:eastAsia="en-AU"/>
        </w:rPr>
        <w:lastRenderedPageBreak/>
        <mc:AlternateContent>
          <mc:Choice Requires="wps">
            <w:drawing>
              <wp:anchor distT="0" distB="0" distL="114300" distR="114300" simplePos="0" relativeHeight="251621376" behindDoc="0" locked="0" layoutInCell="1" allowOverlap="1" wp14:anchorId="3323AB80" wp14:editId="7A7723BD">
                <wp:simplePos x="0" y="0"/>
                <wp:positionH relativeFrom="column">
                  <wp:posOffset>-88900</wp:posOffset>
                </wp:positionH>
                <wp:positionV relativeFrom="paragraph">
                  <wp:posOffset>-97790</wp:posOffset>
                </wp:positionV>
                <wp:extent cx="5573395" cy="0"/>
                <wp:effectExtent l="10160" t="6985" r="7620" b="12065"/>
                <wp:wrapNone/>
                <wp:docPr id="26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7pt" to="431.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QgmwIAAHoFAAAOAAAAZHJzL2Uyb0RvYy54bWysVFFvmzAQfp+0/2D5nQKBQIJKppaQvXRb&#10;pXbas2NMsGZsZrsh1bT/vrOTsKZ7maYmEvLZd+fv7vvO1x8OvUB7pg1XssTxVYQRk1Q1XO5K/PVx&#10;EywwMpbIhgglWYmfmcEfVu/fXY9DwWaqU6JhGkESaYpxKHFn7VCEoaEd64m5UgOTcNgq3RMLpt6F&#10;jSYjZO9FOIuiLByVbgatKDMGdtfHQ7zy+duWUfulbQ2zSJQYsFn/1f67dd9wdU2KnSZDx+kJBvkP&#10;FD3hEi6dUq2JJehJ879S9ZxqZVRrr6jqQ9W2nDJfA1QTR6+qeejIwHwt0BwzTG0yb5eWft7fa8Sb&#10;Es+yDCNJeiDpjkuGZrlrzjiYAnwqea9defQgH4Y7Rb8bJFXVEbljHuTj8wBxsYsIL0KcYQa4Yjt+&#10;Ug34kCerfKcOre5dSugBOnhCnidC2MEiCpvzeZ4kyzlG9HwWkuIcOGhjPzLVI7cosQDQPjHZ3xnr&#10;gJDi7OLukWrDhfB8C4nGEi+TDBRBCajO/PCRRgneOC/nb/RuWwmN9sRJx/98eXDy0q3nFgQseF/i&#10;xeREio6RppaNv84SLo5rgCSkS868NI84wTpYWPp9KNzL5ucyWtaLepEG6SyrgzRar4ObTZUG2SbO&#10;5+tkXVXr+JdDHadFx5uGSQf8LOE4/TeJnIbpKL5JxFOrwsvsvqcA9hLpzWYe5WmyCPJ8ngRpUkfB&#10;7WJTBTdVnGV5fVvd1q+Q1r568zZgp1Y6VOoJ2HjomhE13IkimS9nMQYDRn6WH/lBROzgraJWY6SV&#10;/cZt5zXs1OdyXBC/iNz/RPyU/diIM4fOmlg41fanVcD5mV8/Gm4ajnO1Vc3zvT6PDAy4Dzo9Ru4F&#10;eWnD+uWTufoNAAD//wMAUEsDBBQABgAIAAAAIQDRQD2S4AAAAAsBAAAPAAAAZHJzL2Rvd25yZXYu&#10;eG1sTI9BS8NAEIXvgv9hGcGLtJvaWEvMpoggHgRpqyjettkxG8zOht1pE/+9WxDqbWbe4833ytXo&#10;OnHAEFtPCmbTDARS7U1LjYK318fJEkRkTUZ3nlDBD0ZYVednpS6MH2iDhy03IoVQLLQCy9wXUsba&#10;otNx6nukpH354DSnNTTSBD2kcNfJ6yxbSKdbSh+s7vHBYv293TsFL2FoI8/zfI38+f70/GHXV26j&#10;1OXFeH8HgnHkkxmO+AkdqsS083syUXQKJrM8deHjcJODSI7lYn4LYvd3kVUp/3eofgEAAP//AwBQ&#10;SwECLQAUAAYACAAAACEAtoM4kv4AAADhAQAAEwAAAAAAAAAAAAAAAAAAAAAAW0NvbnRlbnRfVHlw&#10;ZXNdLnhtbFBLAQItABQABgAIAAAAIQA4/SH/1gAAAJQBAAALAAAAAAAAAAAAAAAAAC8BAABfcmVs&#10;cy8ucmVsc1BLAQItABQABgAIAAAAIQBZRtQgmwIAAHoFAAAOAAAAAAAAAAAAAAAAAC4CAABkcnMv&#10;ZTJvRG9jLnhtbFBLAQItABQABgAIAAAAIQDRQD2S4AAAAAsBAAAPAAAAAAAAAAAAAAAAAPUEAABk&#10;cnMvZG93bnJldi54bWxQSwUGAAAAAAQABADzAAAAAgYAAAAA&#10;" strokeweight=".26mm">
                <v:stroke joinstyle="miter" endcap="square"/>
              </v:line>
            </w:pict>
          </mc:Fallback>
        </mc:AlternateContent>
      </w:r>
      <w:r w:rsidR="00D346B4" w:rsidRPr="00DE475B">
        <w:rPr>
          <w:b/>
          <w:bCs/>
          <w:i/>
          <w:iCs/>
        </w:rPr>
        <w:t>Library Board of Queensland</w:t>
      </w:r>
      <w:r w:rsidR="00704C2E" w:rsidRPr="00DE475B">
        <w:rPr>
          <w:b/>
          <w:bCs/>
          <w:i/>
          <w:iCs/>
        </w:rPr>
        <w:t xml:space="preserve"> and controlled entities</w:t>
      </w:r>
    </w:p>
    <w:p w:rsidR="00D346B4" w:rsidRPr="00DE475B" w:rsidRDefault="00D346B4">
      <w:pPr>
        <w:rPr>
          <w:rFonts w:ascii="Arial" w:hAnsi="Arial" w:cs="Arial"/>
          <w:b/>
          <w:bCs/>
          <w:sz w:val="20"/>
          <w:szCs w:val="20"/>
        </w:rPr>
      </w:pPr>
      <w:r w:rsidRPr="00DE475B">
        <w:rPr>
          <w:rFonts w:ascii="Arial" w:hAnsi="Arial" w:cs="Arial"/>
          <w:b/>
          <w:bCs/>
          <w:sz w:val="20"/>
          <w:szCs w:val="20"/>
        </w:rPr>
        <w:t>STATEMENTS OF CASH FLOWS</w:t>
      </w:r>
    </w:p>
    <w:p w:rsidR="00D346B4" w:rsidRPr="00DE475B" w:rsidRDefault="00131979">
      <w:r w:rsidRPr="00DE475B">
        <w:rPr>
          <w:rFonts w:ascii="Arial" w:hAnsi="Arial" w:cs="Arial"/>
          <w:b/>
          <w:bCs/>
          <w:sz w:val="20"/>
          <w:szCs w:val="20"/>
        </w:rPr>
        <w:t>For the year ended 30 June 201</w:t>
      </w:r>
      <w:r w:rsidR="00CE3EDF">
        <w:rPr>
          <w:rFonts w:ascii="Arial" w:hAnsi="Arial" w:cs="Arial"/>
          <w:b/>
          <w:bCs/>
          <w:sz w:val="20"/>
          <w:szCs w:val="20"/>
        </w:rPr>
        <w:t>7</w:t>
      </w:r>
    </w:p>
    <w:p w:rsidR="00D346B4" w:rsidRPr="00DE475B" w:rsidRDefault="00373FFE">
      <w:pPr>
        <w:pStyle w:val="ARbodytext"/>
        <w:rPr>
          <w:lang w:eastAsia="en-AU"/>
        </w:rPr>
      </w:pPr>
      <w:r w:rsidRPr="00DE475B">
        <w:rPr>
          <w:noProof/>
          <w:lang w:eastAsia="en-AU"/>
        </w:rPr>
        <mc:AlternateContent>
          <mc:Choice Requires="wps">
            <w:drawing>
              <wp:anchor distT="0" distB="0" distL="114300" distR="114300" simplePos="0" relativeHeight="251622400" behindDoc="0" locked="0" layoutInCell="1" allowOverlap="1" wp14:anchorId="47A30C7C" wp14:editId="5522D094">
                <wp:simplePos x="0" y="0"/>
                <wp:positionH relativeFrom="column">
                  <wp:posOffset>-88900</wp:posOffset>
                </wp:positionH>
                <wp:positionV relativeFrom="paragraph">
                  <wp:posOffset>94615</wp:posOffset>
                </wp:positionV>
                <wp:extent cx="5573395" cy="0"/>
                <wp:effectExtent l="10160" t="8890" r="7620" b="10160"/>
                <wp:wrapNone/>
                <wp:docPr id="26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45pt" to="43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D5mwIAAHoFAAAOAAAAZHJzL2Uyb0RvYy54bWysVFFvmzAQfp+0/2D5nQKBJASVVC0he+m2&#10;Su20Z8eYYM3YzHZDoqn/fWcnYU33Mk1NJOSz787f3fedr2/2nUA7pg1XssDxVYQRk1TVXG4L/O1p&#10;HWQYGUtkTYSSrMAHZvDN8uOH66HP2US1StRMI0giTT70BW6t7fMwNLRlHTFXqmcSDhulO2LB1Nuw&#10;1mSA7J0IJ1E0Cwel614ryoyB3dXxEC99/qZh1H5tGsMsEgUGbNZ/tf9u3DdcXpN8q0nfcnqCQf4D&#10;RUe4hEvHVCtiCXrW/K9UHadaGdXYK6q6UDUNp8zXANXE0ZtqHlvSM18LNMf0Y5vM+6WlX3YPGvG6&#10;wJPZFCNJOiDpnkuGJplrztCbHHxK+aBdeXQvH/t7RX8YJFXZErllHuTToYe42EWEFyHOMD1csRk+&#10;qxp8yLNVvlP7RncuJfQA7T0hh5EQtreIwuZ0Ok+SBeCi57OQ5OfAXhv7iakOuUWBBYD2icnu3lgH&#10;hORnF3ePVGsuhOdbSDQUeJHMQBGUgOrMTx9plOC183L+Rm83pdBoR5x0/M+XByev3TpuQcCCdwXO&#10;RieSt4zUlaz9dZZwcVwDJCFdcualecQJ1t7C0u9D4V42vxbRosqqLA3SyawK0mi1Cm7XZRrM1vF8&#10;ukpWZbmKXxzqOM1bXtdMOuBnCcfpv0nkNExH8Y0iHlsVXmb3PQWwl0hv19NoniZZMJ9PkyBNqii4&#10;y9ZlcFvGs9m8uivvqjdIK1+9eR+wYysdKvUMbDy29YBq7kSRTBeTGIMBIz+ZH/lBRGzhraJWY6SV&#10;/c5t6zXs1OdyXBCfRe5/In7MfmzEmUNnjSycavvTKuD8zK8fDTcNx7naqPrwoM8jAwPug06PkXtB&#10;Xtuwfv1kLn8DAAD//wMAUEsDBBQABgAIAAAAIQCuqLzh3wAAAAkBAAAPAAAAZHJzL2Rvd25yZXYu&#10;eG1sTI9BS8NAEIXvgv9hGcGLtJvaUGvMpoggHgRpa6l422bHbDC7G3anTfz3jnjQ47z3ePO9cjW6&#10;TpwwpjZ4BbNpBgJ9HUzrGwW718fJEkQi7Y3ugkcFX5hgVZ2flbowYfAbPG2pEVziU6EVWKK+kDLV&#10;Fp1O09CjZ+8jRKeJz9hIE/XA5a6T11m2kE63nj9Y3eODxfpze3QKXuLQJprn+Rrpff/0/GbXV26j&#10;1OXFeH8HgnCkvzD84DM6VMx0CEdvkugUTGY5byE28lsQHFgu5jcgDr+CrEr5f0H1DQAA//8DAFBL&#10;AQItABQABgAIAAAAIQC2gziS/gAAAOEBAAATAAAAAAAAAAAAAAAAAAAAAABbQ29udGVudF9UeXBl&#10;c10ueG1sUEsBAi0AFAAGAAgAAAAhADj9If/WAAAAlAEAAAsAAAAAAAAAAAAAAAAALwEAAF9yZWxz&#10;Ly5yZWxzUEsBAi0AFAAGAAgAAAAhAAK64PmbAgAAegUAAA4AAAAAAAAAAAAAAAAALgIAAGRycy9l&#10;Mm9Eb2MueG1sUEsBAi0AFAAGAAgAAAAhAK6ovOHfAAAACQEAAA8AAAAAAAAAAAAAAAAA9QQAAGRy&#10;cy9kb3ducmV2LnhtbFBLBQYAAAAABAAEAPMAAAABBgAAAAA=&#10;" strokeweight=".26mm">
                <v:stroke joinstyle="miter" endcap="square"/>
              </v:line>
            </w:pict>
          </mc:Fallback>
        </mc:AlternateContent>
      </w:r>
    </w:p>
    <w:tbl>
      <w:tblPr>
        <w:tblW w:w="8613" w:type="dxa"/>
        <w:tblInd w:w="108" w:type="dxa"/>
        <w:tblLayout w:type="fixed"/>
        <w:tblLook w:val="0000" w:firstRow="0" w:lastRow="0" w:firstColumn="0" w:lastColumn="0" w:noHBand="0" w:noVBand="0"/>
      </w:tblPr>
      <w:tblGrid>
        <w:gridCol w:w="238"/>
        <w:gridCol w:w="240"/>
        <w:gridCol w:w="843"/>
        <w:gridCol w:w="843"/>
        <w:gridCol w:w="1754"/>
        <w:gridCol w:w="843"/>
        <w:gridCol w:w="963"/>
        <w:gridCol w:w="963"/>
        <w:gridCol w:w="963"/>
        <w:gridCol w:w="963"/>
      </w:tblGrid>
      <w:tr w:rsidR="00D346B4" w:rsidRPr="00DE475B" w:rsidTr="00E021AE">
        <w:trPr>
          <w:trHeight w:val="266"/>
        </w:trPr>
        <w:tc>
          <w:tcPr>
            <w:tcW w:w="238" w:type="dxa"/>
            <w:shd w:val="clear" w:color="auto" w:fill="auto"/>
            <w:vAlign w:val="bottom"/>
          </w:tcPr>
          <w:p w:rsidR="00D346B4" w:rsidRPr="00DE475B" w:rsidRDefault="00D346B4">
            <w:pPr>
              <w:snapToGrid w:val="0"/>
              <w:rPr>
                <w:rFonts w:ascii="Arial" w:hAnsi="Arial" w:cs="Arial"/>
                <w:b/>
                <w:bCs/>
                <w:sz w:val="20"/>
                <w:szCs w:val="20"/>
              </w:rPr>
            </w:pPr>
          </w:p>
        </w:tc>
        <w:tc>
          <w:tcPr>
            <w:tcW w:w="240" w:type="dxa"/>
            <w:shd w:val="clear" w:color="auto" w:fill="auto"/>
            <w:vAlign w:val="bottom"/>
          </w:tcPr>
          <w:p w:rsidR="00D346B4" w:rsidRPr="00DE475B" w:rsidRDefault="00D346B4">
            <w:pPr>
              <w:snapToGrid w:val="0"/>
              <w:rPr>
                <w:rFonts w:ascii="Arial" w:hAnsi="Arial" w:cs="Arial"/>
                <w:b/>
                <w:bCs/>
                <w:sz w:val="20"/>
                <w:szCs w:val="20"/>
              </w:rPr>
            </w:pPr>
          </w:p>
        </w:tc>
        <w:tc>
          <w:tcPr>
            <w:tcW w:w="843" w:type="dxa"/>
            <w:shd w:val="clear" w:color="auto" w:fill="auto"/>
            <w:vAlign w:val="bottom"/>
          </w:tcPr>
          <w:p w:rsidR="00D346B4" w:rsidRPr="00DE475B" w:rsidRDefault="00D346B4">
            <w:pPr>
              <w:snapToGrid w:val="0"/>
              <w:rPr>
                <w:rFonts w:ascii="Arial" w:hAnsi="Arial" w:cs="Arial"/>
                <w:b/>
                <w:bCs/>
                <w:sz w:val="20"/>
                <w:szCs w:val="20"/>
              </w:rPr>
            </w:pPr>
          </w:p>
        </w:tc>
        <w:tc>
          <w:tcPr>
            <w:tcW w:w="843" w:type="dxa"/>
            <w:shd w:val="clear" w:color="auto" w:fill="auto"/>
            <w:vAlign w:val="bottom"/>
          </w:tcPr>
          <w:p w:rsidR="00D346B4" w:rsidRPr="00DE475B" w:rsidRDefault="00D346B4">
            <w:pPr>
              <w:snapToGrid w:val="0"/>
              <w:rPr>
                <w:rFonts w:ascii="Arial" w:hAnsi="Arial" w:cs="Arial"/>
                <w:b/>
                <w:bCs/>
                <w:sz w:val="20"/>
                <w:szCs w:val="20"/>
              </w:rPr>
            </w:pPr>
          </w:p>
        </w:tc>
        <w:tc>
          <w:tcPr>
            <w:tcW w:w="1754" w:type="dxa"/>
            <w:shd w:val="clear" w:color="auto" w:fill="auto"/>
            <w:vAlign w:val="bottom"/>
          </w:tcPr>
          <w:p w:rsidR="00D346B4" w:rsidRPr="00DE475B" w:rsidRDefault="00D346B4">
            <w:pPr>
              <w:snapToGrid w:val="0"/>
              <w:rPr>
                <w:rFonts w:ascii="Arial" w:hAnsi="Arial" w:cs="Arial"/>
                <w:b/>
                <w:bCs/>
                <w:sz w:val="20"/>
                <w:szCs w:val="20"/>
              </w:rPr>
            </w:pPr>
          </w:p>
        </w:tc>
        <w:tc>
          <w:tcPr>
            <w:tcW w:w="843" w:type="dxa"/>
            <w:shd w:val="clear" w:color="auto" w:fill="auto"/>
            <w:vAlign w:val="bottom"/>
          </w:tcPr>
          <w:p w:rsidR="00D346B4" w:rsidRPr="00DE475B" w:rsidRDefault="00D346B4">
            <w:pPr>
              <w:snapToGrid w:val="0"/>
              <w:jc w:val="center"/>
              <w:rPr>
                <w:rFonts w:ascii="Arial" w:hAnsi="Arial" w:cs="Arial"/>
                <w:b/>
                <w:bCs/>
                <w:sz w:val="20"/>
                <w:szCs w:val="20"/>
              </w:rPr>
            </w:pPr>
          </w:p>
        </w:tc>
        <w:tc>
          <w:tcPr>
            <w:tcW w:w="1926" w:type="dxa"/>
            <w:gridSpan w:val="2"/>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Economic Entity</w:t>
            </w:r>
          </w:p>
        </w:tc>
        <w:tc>
          <w:tcPr>
            <w:tcW w:w="1926" w:type="dxa"/>
            <w:gridSpan w:val="2"/>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Parent Entity</w:t>
            </w:r>
          </w:p>
        </w:tc>
      </w:tr>
      <w:tr w:rsidR="00D346B4" w:rsidRPr="00DE475B" w:rsidTr="00E021AE">
        <w:trPr>
          <w:trHeight w:val="266"/>
        </w:trPr>
        <w:tc>
          <w:tcPr>
            <w:tcW w:w="238" w:type="dxa"/>
            <w:shd w:val="clear" w:color="auto" w:fill="auto"/>
            <w:vAlign w:val="bottom"/>
          </w:tcPr>
          <w:p w:rsidR="00D346B4" w:rsidRPr="00DE475B" w:rsidRDefault="00D346B4">
            <w:pPr>
              <w:snapToGrid w:val="0"/>
              <w:jc w:val="right"/>
              <w:rPr>
                <w:rFonts w:ascii="Arial" w:hAnsi="Arial" w:cs="Arial"/>
                <w:b/>
                <w:bCs/>
                <w:sz w:val="20"/>
                <w:szCs w:val="20"/>
              </w:rPr>
            </w:pPr>
          </w:p>
        </w:tc>
        <w:tc>
          <w:tcPr>
            <w:tcW w:w="240" w:type="dxa"/>
            <w:shd w:val="clear" w:color="auto" w:fill="auto"/>
            <w:vAlign w:val="bottom"/>
          </w:tcPr>
          <w:p w:rsidR="00D346B4" w:rsidRPr="00DE475B" w:rsidRDefault="00D346B4">
            <w:pPr>
              <w:snapToGrid w:val="0"/>
              <w:jc w:val="right"/>
              <w:rPr>
                <w:rFonts w:ascii="Arial" w:hAnsi="Arial" w:cs="Arial"/>
                <w:b/>
                <w:bCs/>
                <w:sz w:val="20"/>
                <w:szCs w:val="20"/>
              </w:rPr>
            </w:pPr>
          </w:p>
        </w:tc>
        <w:tc>
          <w:tcPr>
            <w:tcW w:w="843" w:type="dxa"/>
            <w:shd w:val="clear" w:color="auto" w:fill="auto"/>
            <w:vAlign w:val="bottom"/>
          </w:tcPr>
          <w:p w:rsidR="00D346B4" w:rsidRPr="00DE475B" w:rsidRDefault="00D346B4">
            <w:pPr>
              <w:snapToGrid w:val="0"/>
              <w:jc w:val="right"/>
              <w:rPr>
                <w:rFonts w:ascii="Arial" w:hAnsi="Arial" w:cs="Arial"/>
                <w:b/>
                <w:bCs/>
                <w:sz w:val="20"/>
                <w:szCs w:val="20"/>
              </w:rPr>
            </w:pPr>
          </w:p>
        </w:tc>
        <w:tc>
          <w:tcPr>
            <w:tcW w:w="843" w:type="dxa"/>
            <w:shd w:val="clear" w:color="auto" w:fill="auto"/>
            <w:vAlign w:val="bottom"/>
          </w:tcPr>
          <w:p w:rsidR="00D346B4" w:rsidRPr="00DE475B" w:rsidRDefault="00D346B4">
            <w:pPr>
              <w:snapToGrid w:val="0"/>
              <w:jc w:val="right"/>
              <w:rPr>
                <w:rFonts w:ascii="Arial" w:hAnsi="Arial" w:cs="Arial"/>
                <w:b/>
                <w:bCs/>
                <w:sz w:val="20"/>
                <w:szCs w:val="20"/>
              </w:rPr>
            </w:pPr>
          </w:p>
        </w:tc>
        <w:tc>
          <w:tcPr>
            <w:tcW w:w="1754" w:type="dxa"/>
            <w:shd w:val="clear" w:color="auto" w:fill="auto"/>
            <w:vAlign w:val="bottom"/>
          </w:tcPr>
          <w:p w:rsidR="00D346B4" w:rsidRPr="00DE475B" w:rsidRDefault="00D346B4">
            <w:pPr>
              <w:snapToGrid w:val="0"/>
              <w:jc w:val="right"/>
              <w:rPr>
                <w:rFonts w:ascii="Arial" w:hAnsi="Arial" w:cs="Arial"/>
                <w:b/>
                <w:bCs/>
                <w:sz w:val="20"/>
                <w:szCs w:val="20"/>
              </w:rPr>
            </w:pPr>
          </w:p>
        </w:tc>
        <w:tc>
          <w:tcPr>
            <w:tcW w:w="843" w:type="dxa"/>
            <w:shd w:val="clear" w:color="auto" w:fill="auto"/>
            <w:vAlign w:val="bottom"/>
          </w:tcPr>
          <w:p w:rsidR="00D346B4" w:rsidRPr="00DE475B" w:rsidRDefault="00CB3AEC">
            <w:pPr>
              <w:snapToGrid w:val="0"/>
              <w:jc w:val="center"/>
              <w:rPr>
                <w:rFonts w:ascii="Arial" w:hAnsi="Arial" w:cs="Arial"/>
                <w:b/>
                <w:bCs/>
                <w:sz w:val="20"/>
                <w:szCs w:val="20"/>
              </w:rPr>
            </w:pPr>
            <w:r w:rsidRPr="00DE475B">
              <w:rPr>
                <w:rFonts w:ascii="Arial" w:hAnsi="Arial" w:cs="Arial"/>
                <w:b/>
                <w:bCs/>
                <w:sz w:val="20"/>
                <w:szCs w:val="20"/>
              </w:rPr>
              <w:t>Notes</w:t>
            </w:r>
          </w:p>
        </w:tc>
        <w:tc>
          <w:tcPr>
            <w:tcW w:w="963" w:type="dxa"/>
            <w:shd w:val="clear" w:color="auto" w:fill="auto"/>
            <w:vAlign w:val="bottom"/>
          </w:tcPr>
          <w:p w:rsidR="00D346B4" w:rsidRPr="00DE475B" w:rsidRDefault="00D346B4" w:rsidP="0074204F">
            <w:pPr>
              <w:jc w:val="right"/>
              <w:rPr>
                <w:rFonts w:ascii="Arial" w:hAnsi="Arial" w:cs="Arial"/>
                <w:b/>
                <w:bCs/>
                <w:sz w:val="20"/>
                <w:szCs w:val="20"/>
              </w:rPr>
            </w:pPr>
            <w:r w:rsidRPr="00DE475B">
              <w:rPr>
                <w:rFonts w:ascii="Arial" w:hAnsi="Arial" w:cs="Arial"/>
                <w:b/>
                <w:bCs/>
                <w:sz w:val="20"/>
                <w:szCs w:val="20"/>
              </w:rPr>
              <w:t>201</w:t>
            </w:r>
            <w:r w:rsidR="00E021AE">
              <w:rPr>
                <w:rFonts w:ascii="Arial" w:hAnsi="Arial" w:cs="Arial"/>
                <w:b/>
                <w:bCs/>
                <w:sz w:val="20"/>
                <w:szCs w:val="20"/>
              </w:rPr>
              <w:t>7</w:t>
            </w:r>
          </w:p>
        </w:tc>
        <w:tc>
          <w:tcPr>
            <w:tcW w:w="963" w:type="dxa"/>
            <w:shd w:val="clear" w:color="auto" w:fill="auto"/>
            <w:vAlign w:val="bottom"/>
          </w:tcPr>
          <w:p w:rsidR="00D346B4" w:rsidRPr="00DE475B" w:rsidRDefault="00D346B4" w:rsidP="00C74CB7">
            <w:pPr>
              <w:jc w:val="right"/>
              <w:rPr>
                <w:rFonts w:ascii="Arial" w:hAnsi="Arial" w:cs="Arial"/>
                <w:b/>
                <w:bCs/>
                <w:sz w:val="20"/>
                <w:szCs w:val="20"/>
              </w:rPr>
            </w:pPr>
            <w:r w:rsidRPr="00DE475B">
              <w:rPr>
                <w:rFonts w:ascii="Arial" w:hAnsi="Arial" w:cs="Arial"/>
                <w:b/>
                <w:bCs/>
                <w:sz w:val="20"/>
                <w:szCs w:val="20"/>
              </w:rPr>
              <w:t>201</w:t>
            </w:r>
            <w:r w:rsidR="00E021AE">
              <w:rPr>
                <w:rFonts w:ascii="Arial" w:hAnsi="Arial" w:cs="Arial"/>
                <w:b/>
                <w:bCs/>
                <w:sz w:val="20"/>
                <w:szCs w:val="20"/>
              </w:rPr>
              <w:t>6</w:t>
            </w:r>
          </w:p>
        </w:tc>
        <w:tc>
          <w:tcPr>
            <w:tcW w:w="963" w:type="dxa"/>
            <w:shd w:val="clear" w:color="auto" w:fill="auto"/>
            <w:vAlign w:val="bottom"/>
          </w:tcPr>
          <w:p w:rsidR="00D346B4" w:rsidRPr="00DE475B" w:rsidRDefault="00D346B4" w:rsidP="00E021AE">
            <w:pPr>
              <w:jc w:val="right"/>
              <w:rPr>
                <w:rFonts w:ascii="Arial" w:hAnsi="Arial" w:cs="Arial"/>
                <w:b/>
                <w:bCs/>
                <w:sz w:val="20"/>
                <w:szCs w:val="20"/>
              </w:rPr>
            </w:pPr>
            <w:r w:rsidRPr="00DE475B">
              <w:rPr>
                <w:rFonts w:ascii="Arial" w:hAnsi="Arial" w:cs="Arial"/>
                <w:b/>
                <w:bCs/>
                <w:sz w:val="20"/>
                <w:szCs w:val="20"/>
              </w:rPr>
              <w:t>201</w:t>
            </w:r>
            <w:r w:rsidR="00E021AE">
              <w:rPr>
                <w:rFonts w:ascii="Arial" w:hAnsi="Arial" w:cs="Arial"/>
                <w:b/>
                <w:bCs/>
                <w:sz w:val="20"/>
                <w:szCs w:val="20"/>
              </w:rPr>
              <w:t>7</w:t>
            </w:r>
          </w:p>
        </w:tc>
        <w:tc>
          <w:tcPr>
            <w:tcW w:w="963" w:type="dxa"/>
            <w:shd w:val="clear" w:color="auto" w:fill="auto"/>
            <w:vAlign w:val="bottom"/>
          </w:tcPr>
          <w:p w:rsidR="00D346B4" w:rsidRPr="00DE475B" w:rsidRDefault="00D346B4" w:rsidP="00E021AE">
            <w:pPr>
              <w:jc w:val="right"/>
              <w:rPr>
                <w:rFonts w:ascii="Arial" w:hAnsi="Arial" w:cs="Arial"/>
                <w:b/>
                <w:bCs/>
                <w:sz w:val="20"/>
                <w:szCs w:val="20"/>
              </w:rPr>
            </w:pPr>
            <w:r w:rsidRPr="00DE475B">
              <w:rPr>
                <w:rFonts w:ascii="Arial" w:hAnsi="Arial" w:cs="Arial"/>
                <w:b/>
                <w:bCs/>
                <w:sz w:val="20"/>
                <w:szCs w:val="20"/>
              </w:rPr>
              <w:t>201</w:t>
            </w:r>
            <w:r w:rsidR="00E021AE">
              <w:rPr>
                <w:rFonts w:ascii="Arial" w:hAnsi="Arial" w:cs="Arial"/>
                <w:b/>
                <w:bCs/>
                <w:sz w:val="20"/>
                <w:szCs w:val="20"/>
              </w:rPr>
              <w:t>6</w:t>
            </w:r>
          </w:p>
        </w:tc>
      </w:tr>
      <w:tr w:rsidR="00D346B4" w:rsidRPr="00DE475B" w:rsidTr="00E021AE">
        <w:trPr>
          <w:trHeight w:val="266"/>
        </w:trPr>
        <w:tc>
          <w:tcPr>
            <w:tcW w:w="238" w:type="dxa"/>
            <w:shd w:val="clear" w:color="auto" w:fill="auto"/>
            <w:vAlign w:val="bottom"/>
          </w:tcPr>
          <w:p w:rsidR="00D346B4" w:rsidRPr="00DE475B" w:rsidRDefault="00D346B4">
            <w:pPr>
              <w:snapToGrid w:val="0"/>
              <w:jc w:val="right"/>
              <w:rPr>
                <w:rFonts w:ascii="Arial" w:hAnsi="Arial" w:cs="Arial"/>
                <w:b/>
                <w:bCs/>
                <w:sz w:val="20"/>
                <w:szCs w:val="20"/>
              </w:rPr>
            </w:pPr>
          </w:p>
        </w:tc>
        <w:tc>
          <w:tcPr>
            <w:tcW w:w="240" w:type="dxa"/>
            <w:shd w:val="clear" w:color="auto" w:fill="auto"/>
            <w:vAlign w:val="bottom"/>
          </w:tcPr>
          <w:p w:rsidR="00D346B4" w:rsidRPr="00DE475B" w:rsidRDefault="00D346B4">
            <w:pPr>
              <w:snapToGrid w:val="0"/>
              <w:jc w:val="right"/>
              <w:rPr>
                <w:rFonts w:ascii="Arial" w:hAnsi="Arial" w:cs="Arial"/>
                <w:b/>
                <w:bCs/>
                <w:sz w:val="20"/>
                <w:szCs w:val="20"/>
              </w:rPr>
            </w:pPr>
          </w:p>
        </w:tc>
        <w:tc>
          <w:tcPr>
            <w:tcW w:w="843" w:type="dxa"/>
            <w:shd w:val="clear" w:color="auto" w:fill="auto"/>
            <w:vAlign w:val="bottom"/>
          </w:tcPr>
          <w:p w:rsidR="00D346B4" w:rsidRPr="00DE475B" w:rsidRDefault="00D346B4">
            <w:pPr>
              <w:snapToGrid w:val="0"/>
              <w:jc w:val="right"/>
              <w:rPr>
                <w:rFonts w:ascii="Arial" w:hAnsi="Arial" w:cs="Arial"/>
                <w:b/>
                <w:bCs/>
                <w:sz w:val="20"/>
                <w:szCs w:val="20"/>
              </w:rPr>
            </w:pPr>
          </w:p>
        </w:tc>
        <w:tc>
          <w:tcPr>
            <w:tcW w:w="843" w:type="dxa"/>
            <w:shd w:val="clear" w:color="auto" w:fill="auto"/>
            <w:vAlign w:val="bottom"/>
          </w:tcPr>
          <w:p w:rsidR="00D346B4" w:rsidRPr="00DE475B" w:rsidRDefault="00D346B4">
            <w:pPr>
              <w:snapToGrid w:val="0"/>
              <w:jc w:val="right"/>
              <w:rPr>
                <w:rFonts w:ascii="Arial" w:hAnsi="Arial" w:cs="Arial"/>
                <w:b/>
                <w:bCs/>
                <w:sz w:val="20"/>
                <w:szCs w:val="20"/>
              </w:rPr>
            </w:pPr>
          </w:p>
        </w:tc>
        <w:tc>
          <w:tcPr>
            <w:tcW w:w="1754" w:type="dxa"/>
            <w:shd w:val="clear" w:color="auto" w:fill="auto"/>
            <w:vAlign w:val="bottom"/>
          </w:tcPr>
          <w:p w:rsidR="00D346B4" w:rsidRPr="00DE475B" w:rsidRDefault="00D346B4">
            <w:pPr>
              <w:snapToGrid w:val="0"/>
              <w:jc w:val="right"/>
              <w:rPr>
                <w:rFonts w:ascii="Arial" w:hAnsi="Arial" w:cs="Arial"/>
                <w:b/>
                <w:bCs/>
                <w:sz w:val="20"/>
                <w:szCs w:val="20"/>
              </w:rPr>
            </w:pPr>
          </w:p>
        </w:tc>
        <w:tc>
          <w:tcPr>
            <w:tcW w:w="843" w:type="dxa"/>
            <w:shd w:val="clear" w:color="auto" w:fill="auto"/>
            <w:vAlign w:val="bottom"/>
          </w:tcPr>
          <w:p w:rsidR="00D346B4" w:rsidRPr="00DE475B" w:rsidRDefault="00D346B4">
            <w:pPr>
              <w:jc w:val="center"/>
              <w:rPr>
                <w:rFonts w:ascii="Arial" w:hAnsi="Arial" w:cs="Arial"/>
                <w:b/>
                <w:bCs/>
                <w:sz w:val="20"/>
                <w:szCs w:val="20"/>
              </w:rPr>
            </w:pPr>
          </w:p>
        </w:tc>
        <w:tc>
          <w:tcPr>
            <w:tcW w:w="963" w:type="dxa"/>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$'000</w:t>
            </w:r>
          </w:p>
        </w:tc>
        <w:tc>
          <w:tcPr>
            <w:tcW w:w="963" w:type="dxa"/>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$'000</w:t>
            </w:r>
          </w:p>
        </w:tc>
        <w:tc>
          <w:tcPr>
            <w:tcW w:w="963" w:type="dxa"/>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$'000</w:t>
            </w:r>
          </w:p>
        </w:tc>
        <w:tc>
          <w:tcPr>
            <w:tcW w:w="963" w:type="dxa"/>
            <w:shd w:val="clear" w:color="auto" w:fill="auto"/>
            <w:vAlign w:val="bottom"/>
          </w:tcPr>
          <w:p w:rsidR="00D346B4" w:rsidRPr="00DE475B" w:rsidRDefault="00D346B4">
            <w:pPr>
              <w:jc w:val="right"/>
              <w:rPr>
                <w:rFonts w:ascii="Arial" w:hAnsi="Arial" w:cs="Arial"/>
                <w:b/>
                <w:bCs/>
                <w:sz w:val="20"/>
                <w:szCs w:val="20"/>
              </w:rPr>
            </w:pPr>
            <w:r w:rsidRPr="00DE475B">
              <w:rPr>
                <w:rFonts w:ascii="Arial" w:hAnsi="Arial" w:cs="Arial"/>
                <w:b/>
                <w:bCs/>
                <w:sz w:val="20"/>
                <w:szCs w:val="20"/>
              </w:rPr>
              <w:t>$'000</w:t>
            </w:r>
          </w:p>
        </w:tc>
      </w:tr>
      <w:tr w:rsidR="00D346B4" w:rsidRPr="00DE475B" w:rsidTr="00E021AE">
        <w:trPr>
          <w:trHeight w:val="266"/>
        </w:trPr>
        <w:tc>
          <w:tcPr>
            <w:tcW w:w="3918" w:type="dxa"/>
            <w:gridSpan w:val="5"/>
            <w:shd w:val="clear" w:color="auto" w:fill="auto"/>
            <w:vAlign w:val="bottom"/>
          </w:tcPr>
          <w:p w:rsidR="00D346B4" w:rsidRPr="00DE475B" w:rsidRDefault="00D346B4">
            <w:pPr>
              <w:rPr>
                <w:rFonts w:ascii="Arial" w:hAnsi="Arial" w:cs="Arial"/>
                <w:b/>
                <w:bCs/>
                <w:sz w:val="20"/>
                <w:szCs w:val="20"/>
              </w:rPr>
            </w:pPr>
            <w:r w:rsidRPr="00DE475B">
              <w:rPr>
                <w:rFonts w:ascii="Arial" w:hAnsi="Arial" w:cs="Arial"/>
                <w:b/>
                <w:bCs/>
                <w:sz w:val="20"/>
                <w:szCs w:val="20"/>
              </w:rPr>
              <w:t>Cash flows from operating activities</w:t>
            </w:r>
          </w:p>
        </w:tc>
        <w:tc>
          <w:tcPr>
            <w:tcW w:w="843" w:type="dxa"/>
            <w:shd w:val="clear" w:color="auto" w:fill="auto"/>
            <w:vAlign w:val="bottom"/>
          </w:tcPr>
          <w:p w:rsidR="00D346B4" w:rsidRPr="00DE475B" w:rsidRDefault="00D346B4">
            <w:pPr>
              <w:snapToGrid w:val="0"/>
              <w:jc w:val="center"/>
              <w:rPr>
                <w:rFonts w:ascii="Arial" w:hAnsi="Arial" w:cs="Arial"/>
                <w:b/>
                <w:bCs/>
                <w:sz w:val="20"/>
                <w:szCs w:val="20"/>
              </w:rPr>
            </w:pPr>
          </w:p>
        </w:tc>
        <w:tc>
          <w:tcPr>
            <w:tcW w:w="963" w:type="dxa"/>
            <w:shd w:val="clear" w:color="auto" w:fill="auto"/>
            <w:vAlign w:val="bottom"/>
          </w:tcPr>
          <w:p w:rsidR="00D346B4" w:rsidRPr="00DE475B" w:rsidRDefault="00D346B4">
            <w:pPr>
              <w:snapToGrid w:val="0"/>
              <w:rPr>
                <w:rFonts w:ascii="Arial" w:hAnsi="Arial" w:cs="Arial"/>
                <w:sz w:val="20"/>
                <w:szCs w:val="20"/>
              </w:rPr>
            </w:pPr>
          </w:p>
        </w:tc>
        <w:tc>
          <w:tcPr>
            <w:tcW w:w="963" w:type="dxa"/>
            <w:shd w:val="clear" w:color="auto" w:fill="auto"/>
            <w:vAlign w:val="bottom"/>
          </w:tcPr>
          <w:p w:rsidR="00D346B4" w:rsidRPr="00DE475B" w:rsidRDefault="00D346B4">
            <w:pPr>
              <w:snapToGrid w:val="0"/>
              <w:rPr>
                <w:rFonts w:ascii="Arial" w:hAnsi="Arial" w:cs="Arial"/>
                <w:sz w:val="20"/>
                <w:szCs w:val="20"/>
              </w:rPr>
            </w:pPr>
          </w:p>
        </w:tc>
        <w:tc>
          <w:tcPr>
            <w:tcW w:w="963" w:type="dxa"/>
            <w:shd w:val="clear" w:color="auto" w:fill="auto"/>
            <w:vAlign w:val="bottom"/>
          </w:tcPr>
          <w:p w:rsidR="00D346B4" w:rsidRPr="00DE475B" w:rsidRDefault="00D346B4">
            <w:pPr>
              <w:snapToGrid w:val="0"/>
              <w:rPr>
                <w:rFonts w:ascii="Arial" w:hAnsi="Arial" w:cs="Arial"/>
                <w:sz w:val="20"/>
                <w:szCs w:val="20"/>
              </w:rPr>
            </w:pPr>
          </w:p>
        </w:tc>
        <w:tc>
          <w:tcPr>
            <w:tcW w:w="963" w:type="dxa"/>
            <w:shd w:val="clear" w:color="auto" w:fill="auto"/>
            <w:vAlign w:val="bottom"/>
          </w:tcPr>
          <w:p w:rsidR="00D346B4" w:rsidRPr="00DE475B" w:rsidRDefault="00D346B4">
            <w:pPr>
              <w:snapToGrid w:val="0"/>
              <w:rPr>
                <w:rFonts w:ascii="Arial" w:hAnsi="Arial" w:cs="Arial"/>
                <w:sz w:val="20"/>
                <w:szCs w:val="20"/>
              </w:rPr>
            </w:pPr>
          </w:p>
        </w:tc>
      </w:tr>
      <w:tr w:rsidR="00D346B4" w:rsidRPr="00DE475B" w:rsidTr="00E021AE">
        <w:trPr>
          <w:trHeight w:val="266"/>
        </w:trPr>
        <w:tc>
          <w:tcPr>
            <w:tcW w:w="1321" w:type="dxa"/>
            <w:gridSpan w:val="3"/>
            <w:shd w:val="clear" w:color="auto" w:fill="auto"/>
            <w:vAlign w:val="bottom"/>
          </w:tcPr>
          <w:p w:rsidR="00D346B4" w:rsidRPr="00DE475B" w:rsidRDefault="00D346B4">
            <w:pPr>
              <w:rPr>
                <w:rFonts w:ascii="Arial" w:hAnsi="Arial" w:cs="Arial"/>
                <w:sz w:val="20"/>
                <w:szCs w:val="20"/>
              </w:rPr>
            </w:pPr>
            <w:r w:rsidRPr="00DE475B">
              <w:rPr>
                <w:rFonts w:ascii="Arial" w:hAnsi="Arial" w:cs="Arial"/>
                <w:i/>
                <w:iCs/>
                <w:sz w:val="20"/>
                <w:szCs w:val="20"/>
              </w:rPr>
              <w:t>Inflows:</w:t>
            </w:r>
          </w:p>
        </w:tc>
        <w:tc>
          <w:tcPr>
            <w:tcW w:w="843" w:type="dxa"/>
            <w:shd w:val="clear" w:color="auto" w:fill="auto"/>
            <w:vAlign w:val="bottom"/>
          </w:tcPr>
          <w:p w:rsidR="00D346B4" w:rsidRPr="00DE475B" w:rsidRDefault="00D346B4">
            <w:pPr>
              <w:snapToGrid w:val="0"/>
              <w:rPr>
                <w:rFonts w:ascii="Arial" w:hAnsi="Arial" w:cs="Arial"/>
                <w:sz w:val="20"/>
                <w:szCs w:val="20"/>
              </w:rPr>
            </w:pPr>
          </w:p>
        </w:tc>
        <w:tc>
          <w:tcPr>
            <w:tcW w:w="1754" w:type="dxa"/>
            <w:shd w:val="clear" w:color="auto" w:fill="auto"/>
            <w:vAlign w:val="bottom"/>
          </w:tcPr>
          <w:p w:rsidR="00D346B4" w:rsidRPr="00DE475B" w:rsidRDefault="00D346B4">
            <w:pPr>
              <w:snapToGrid w:val="0"/>
              <w:rPr>
                <w:rFonts w:ascii="Arial" w:hAnsi="Arial" w:cs="Arial"/>
                <w:sz w:val="20"/>
                <w:szCs w:val="20"/>
              </w:rPr>
            </w:pPr>
          </w:p>
        </w:tc>
        <w:tc>
          <w:tcPr>
            <w:tcW w:w="843" w:type="dxa"/>
            <w:shd w:val="clear" w:color="auto" w:fill="auto"/>
            <w:vAlign w:val="bottom"/>
          </w:tcPr>
          <w:p w:rsidR="00D346B4" w:rsidRPr="00DE475B" w:rsidRDefault="00D346B4">
            <w:pPr>
              <w:snapToGrid w:val="0"/>
              <w:jc w:val="center"/>
              <w:rPr>
                <w:rFonts w:ascii="Arial" w:hAnsi="Arial" w:cs="Arial"/>
                <w:b/>
                <w:bCs/>
                <w:sz w:val="20"/>
                <w:szCs w:val="20"/>
              </w:rPr>
            </w:pPr>
          </w:p>
        </w:tc>
        <w:tc>
          <w:tcPr>
            <w:tcW w:w="963" w:type="dxa"/>
            <w:shd w:val="clear" w:color="auto" w:fill="auto"/>
            <w:vAlign w:val="bottom"/>
          </w:tcPr>
          <w:p w:rsidR="00D346B4" w:rsidRPr="00DE475B" w:rsidRDefault="00D346B4">
            <w:pPr>
              <w:snapToGrid w:val="0"/>
              <w:rPr>
                <w:rFonts w:ascii="Arial" w:hAnsi="Arial" w:cs="Arial"/>
                <w:sz w:val="20"/>
                <w:szCs w:val="20"/>
              </w:rPr>
            </w:pPr>
            <w:bookmarkStart w:id="0" w:name="RANGE!I11%3AI25"/>
            <w:bookmarkEnd w:id="0"/>
          </w:p>
        </w:tc>
        <w:tc>
          <w:tcPr>
            <w:tcW w:w="963" w:type="dxa"/>
            <w:shd w:val="clear" w:color="auto" w:fill="auto"/>
            <w:vAlign w:val="bottom"/>
          </w:tcPr>
          <w:p w:rsidR="00D346B4" w:rsidRPr="00DE475B" w:rsidRDefault="00D346B4">
            <w:pPr>
              <w:snapToGrid w:val="0"/>
              <w:rPr>
                <w:rFonts w:ascii="Arial" w:hAnsi="Arial" w:cs="Arial"/>
                <w:sz w:val="20"/>
                <w:szCs w:val="20"/>
              </w:rPr>
            </w:pPr>
            <w:bookmarkStart w:id="1" w:name="RANGE!J11%3AJ25"/>
            <w:bookmarkEnd w:id="1"/>
          </w:p>
        </w:tc>
        <w:tc>
          <w:tcPr>
            <w:tcW w:w="963" w:type="dxa"/>
            <w:shd w:val="clear" w:color="auto" w:fill="auto"/>
            <w:vAlign w:val="bottom"/>
          </w:tcPr>
          <w:p w:rsidR="00D346B4" w:rsidRPr="00DE475B" w:rsidRDefault="00D346B4">
            <w:pPr>
              <w:snapToGrid w:val="0"/>
              <w:rPr>
                <w:rFonts w:ascii="Arial" w:hAnsi="Arial" w:cs="Arial"/>
                <w:sz w:val="20"/>
                <w:szCs w:val="20"/>
              </w:rPr>
            </w:pPr>
            <w:bookmarkStart w:id="2" w:name="RANGE!K11%3AK25"/>
            <w:bookmarkEnd w:id="2"/>
          </w:p>
        </w:tc>
        <w:tc>
          <w:tcPr>
            <w:tcW w:w="963" w:type="dxa"/>
            <w:shd w:val="clear" w:color="auto" w:fill="auto"/>
            <w:vAlign w:val="bottom"/>
          </w:tcPr>
          <w:p w:rsidR="00D346B4" w:rsidRPr="00DE475B" w:rsidRDefault="00D346B4">
            <w:pPr>
              <w:snapToGrid w:val="0"/>
              <w:rPr>
                <w:rFonts w:ascii="Arial" w:hAnsi="Arial" w:cs="Arial"/>
                <w:sz w:val="20"/>
                <w:szCs w:val="20"/>
              </w:rPr>
            </w:pPr>
            <w:bookmarkStart w:id="3" w:name="RANGE!L11%3AL25"/>
            <w:bookmarkEnd w:id="3"/>
          </w:p>
        </w:tc>
      </w:tr>
      <w:tr w:rsidR="007A74C9" w:rsidRPr="00DE475B" w:rsidTr="00E021AE">
        <w:trPr>
          <w:trHeight w:val="266"/>
        </w:trPr>
        <w:tc>
          <w:tcPr>
            <w:tcW w:w="238" w:type="dxa"/>
            <w:shd w:val="clear" w:color="auto" w:fill="auto"/>
            <w:vAlign w:val="bottom"/>
          </w:tcPr>
          <w:p w:rsidR="007A74C9" w:rsidRPr="00DE475B" w:rsidRDefault="007A74C9">
            <w:pPr>
              <w:snapToGrid w:val="0"/>
              <w:rPr>
                <w:rFonts w:ascii="Arial" w:hAnsi="Arial" w:cs="Arial"/>
                <w:i/>
                <w:iCs/>
                <w:sz w:val="20"/>
                <w:szCs w:val="20"/>
              </w:rPr>
            </w:pPr>
          </w:p>
        </w:tc>
        <w:tc>
          <w:tcPr>
            <w:tcW w:w="3680" w:type="dxa"/>
            <w:gridSpan w:val="4"/>
            <w:shd w:val="clear" w:color="auto" w:fill="auto"/>
            <w:vAlign w:val="bottom"/>
          </w:tcPr>
          <w:p w:rsidR="007A74C9" w:rsidRPr="00DE475B" w:rsidRDefault="007A74C9">
            <w:pPr>
              <w:rPr>
                <w:rFonts w:ascii="Arial" w:hAnsi="Arial" w:cs="Arial"/>
                <w:b/>
                <w:bCs/>
                <w:sz w:val="20"/>
                <w:szCs w:val="20"/>
              </w:rPr>
            </w:pPr>
            <w:r w:rsidRPr="00DE475B">
              <w:rPr>
                <w:rFonts w:ascii="Arial" w:hAnsi="Arial" w:cs="Arial"/>
                <w:sz w:val="20"/>
                <w:szCs w:val="20"/>
              </w:rPr>
              <w:t>User charges</w:t>
            </w: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shd w:val="clear" w:color="auto" w:fill="auto"/>
            <w:vAlign w:val="center"/>
          </w:tcPr>
          <w:p w:rsidR="007A74C9" w:rsidRPr="00DE475B" w:rsidRDefault="007A74C9" w:rsidP="008936C1">
            <w:pPr>
              <w:jc w:val="right"/>
              <w:rPr>
                <w:rFonts w:ascii="Arial" w:hAnsi="Arial" w:cs="Arial"/>
                <w:sz w:val="20"/>
                <w:szCs w:val="20"/>
              </w:rPr>
            </w:pPr>
            <w:r>
              <w:rPr>
                <w:rFonts w:ascii="Arial" w:hAnsi="Arial" w:cs="Arial"/>
                <w:sz w:val="20"/>
                <w:szCs w:val="20"/>
              </w:rPr>
              <w:t>5,139</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3,379</w:t>
            </w:r>
          </w:p>
        </w:tc>
        <w:tc>
          <w:tcPr>
            <w:tcW w:w="963" w:type="dxa"/>
            <w:shd w:val="clear" w:color="auto" w:fill="auto"/>
            <w:vAlign w:val="center"/>
          </w:tcPr>
          <w:p w:rsidR="007A74C9" w:rsidRPr="00DE475B" w:rsidRDefault="007A74C9" w:rsidP="00652F6C">
            <w:pPr>
              <w:jc w:val="right"/>
              <w:rPr>
                <w:rFonts w:ascii="Arial" w:hAnsi="Arial" w:cs="Arial"/>
                <w:sz w:val="20"/>
                <w:szCs w:val="20"/>
              </w:rPr>
            </w:pPr>
            <w:r>
              <w:rPr>
                <w:rFonts w:ascii="Arial" w:hAnsi="Arial" w:cs="Arial"/>
                <w:sz w:val="20"/>
                <w:szCs w:val="20"/>
              </w:rPr>
              <w:t>5,118</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3,401</w:t>
            </w:r>
          </w:p>
        </w:tc>
      </w:tr>
      <w:tr w:rsidR="007A74C9" w:rsidRPr="00DE475B" w:rsidTr="00E021AE">
        <w:trPr>
          <w:trHeight w:val="266"/>
        </w:trPr>
        <w:tc>
          <w:tcPr>
            <w:tcW w:w="238" w:type="dxa"/>
            <w:shd w:val="clear" w:color="auto" w:fill="auto"/>
            <w:vAlign w:val="bottom"/>
          </w:tcPr>
          <w:p w:rsidR="007A74C9" w:rsidRPr="00DE475B" w:rsidRDefault="007A74C9">
            <w:pPr>
              <w:snapToGrid w:val="0"/>
              <w:rPr>
                <w:rFonts w:ascii="Arial" w:hAnsi="Arial" w:cs="Arial"/>
                <w:i/>
                <w:iCs/>
                <w:sz w:val="20"/>
                <w:szCs w:val="20"/>
              </w:rPr>
            </w:pPr>
          </w:p>
        </w:tc>
        <w:tc>
          <w:tcPr>
            <w:tcW w:w="3680" w:type="dxa"/>
            <w:gridSpan w:val="4"/>
            <w:shd w:val="clear" w:color="auto" w:fill="auto"/>
            <w:vAlign w:val="bottom"/>
          </w:tcPr>
          <w:p w:rsidR="007A74C9" w:rsidRPr="00DE475B" w:rsidRDefault="007A74C9">
            <w:pPr>
              <w:rPr>
                <w:rFonts w:ascii="Arial" w:hAnsi="Arial" w:cs="Arial"/>
                <w:b/>
                <w:bCs/>
                <w:sz w:val="20"/>
                <w:szCs w:val="20"/>
              </w:rPr>
            </w:pPr>
            <w:r w:rsidRPr="00DE475B">
              <w:rPr>
                <w:rFonts w:ascii="Arial" w:hAnsi="Arial" w:cs="Arial"/>
                <w:sz w:val="20"/>
                <w:szCs w:val="20"/>
              </w:rPr>
              <w:t>Grants and other contributions</w:t>
            </w: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shd w:val="clear" w:color="auto" w:fill="auto"/>
            <w:vAlign w:val="center"/>
          </w:tcPr>
          <w:p w:rsidR="007A74C9" w:rsidRPr="00DE475B" w:rsidRDefault="007A74C9" w:rsidP="008936C1">
            <w:pPr>
              <w:jc w:val="right"/>
              <w:rPr>
                <w:rFonts w:ascii="Arial" w:hAnsi="Arial" w:cs="Arial"/>
                <w:sz w:val="20"/>
                <w:szCs w:val="20"/>
              </w:rPr>
            </w:pPr>
            <w:r>
              <w:rPr>
                <w:rFonts w:ascii="Arial" w:hAnsi="Arial" w:cs="Arial"/>
                <w:sz w:val="20"/>
                <w:szCs w:val="20"/>
              </w:rPr>
              <w:t>64,746</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65,522 </w:t>
            </w:r>
          </w:p>
        </w:tc>
        <w:tc>
          <w:tcPr>
            <w:tcW w:w="963" w:type="dxa"/>
            <w:shd w:val="clear" w:color="auto" w:fill="auto"/>
            <w:vAlign w:val="center"/>
          </w:tcPr>
          <w:p w:rsidR="007A74C9" w:rsidRPr="00DE475B" w:rsidRDefault="007A74C9" w:rsidP="00652F6C">
            <w:pPr>
              <w:jc w:val="right"/>
              <w:rPr>
                <w:rFonts w:ascii="Arial" w:hAnsi="Arial" w:cs="Arial"/>
                <w:sz w:val="20"/>
                <w:szCs w:val="20"/>
              </w:rPr>
            </w:pPr>
            <w:r>
              <w:rPr>
                <w:rFonts w:ascii="Arial" w:hAnsi="Arial" w:cs="Arial"/>
                <w:sz w:val="20"/>
                <w:szCs w:val="20"/>
              </w:rPr>
              <w:t>64,868</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65,721 </w:t>
            </w:r>
          </w:p>
        </w:tc>
      </w:tr>
      <w:tr w:rsidR="007A74C9" w:rsidRPr="00DE475B" w:rsidTr="00E021AE">
        <w:trPr>
          <w:trHeight w:val="266"/>
        </w:trPr>
        <w:tc>
          <w:tcPr>
            <w:tcW w:w="238" w:type="dxa"/>
            <w:shd w:val="clear" w:color="auto" w:fill="auto"/>
            <w:vAlign w:val="bottom"/>
          </w:tcPr>
          <w:p w:rsidR="007A74C9" w:rsidRPr="00DE475B" w:rsidRDefault="007A74C9">
            <w:pPr>
              <w:snapToGrid w:val="0"/>
              <w:rPr>
                <w:rFonts w:ascii="Arial" w:hAnsi="Arial" w:cs="Arial"/>
                <w:i/>
                <w:iCs/>
                <w:sz w:val="20"/>
                <w:szCs w:val="20"/>
              </w:rPr>
            </w:pPr>
          </w:p>
        </w:tc>
        <w:tc>
          <w:tcPr>
            <w:tcW w:w="3680" w:type="dxa"/>
            <w:gridSpan w:val="4"/>
            <w:shd w:val="clear" w:color="auto" w:fill="auto"/>
            <w:vAlign w:val="bottom"/>
          </w:tcPr>
          <w:p w:rsidR="007A74C9" w:rsidRPr="00DE475B" w:rsidRDefault="007A74C9">
            <w:pPr>
              <w:rPr>
                <w:rFonts w:ascii="Arial" w:hAnsi="Arial" w:cs="Arial"/>
                <w:b/>
                <w:bCs/>
                <w:sz w:val="20"/>
                <w:szCs w:val="20"/>
              </w:rPr>
            </w:pPr>
            <w:r w:rsidRPr="00DE475B">
              <w:rPr>
                <w:rFonts w:ascii="Arial" w:hAnsi="Arial" w:cs="Arial"/>
                <w:sz w:val="20"/>
                <w:szCs w:val="20"/>
              </w:rPr>
              <w:t>GST collected from customers</w:t>
            </w: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shd w:val="clear" w:color="auto" w:fill="auto"/>
            <w:vAlign w:val="center"/>
          </w:tcPr>
          <w:p w:rsidR="007A74C9" w:rsidRPr="00DE475B" w:rsidRDefault="007A74C9" w:rsidP="008936C1">
            <w:pPr>
              <w:jc w:val="right"/>
              <w:rPr>
                <w:rFonts w:ascii="Arial" w:hAnsi="Arial" w:cs="Arial"/>
                <w:sz w:val="20"/>
                <w:szCs w:val="20"/>
              </w:rPr>
            </w:pPr>
            <w:r>
              <w:rPr>
                <w:rFonts w:ascii="Arial" w:hAnsi="Arial" w:cs="Arial"/>
                <w:sz w:val="20"/>
                <w:szCs w:val="20"/>
              </w:rPr>
              <w:t>1,825</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501 </w:t>
            </w:r>
          </w:p>
        </w:tc>
        <w:tc>
          <w:tcPr>
            <w:tcW w:w="963" w:type="dxa"/>
            <w:shd w:val="clear" w:color="auto" w:fill="auto"/>
            <w:vAlign w:val="center"/>
          </w:tcPr>
          <w:p w:rsidR="007A74C9" w:rsidRPr="00DE475B" w:rsidRDefault="007A74C9" w:rsidP="007A74C9">
            <w:pPr>
              <w:jc w:val="right"/>
              <w:rPr>
                <w:rFonts w:ascii="Arial" w:hAnsi="Arial" w:cs="Arial"/>
                <w:sz w:val="20"/>
                <w:szCs w:val="20"/>
              </w:rPr>
            </w:pPr>
            <w:r>
              <w:rPr>
                <w:rFonts w:ascii="Arial" w:hAnsi="Arial" w:cs="Arial"/>
                <w:sz w:val="20"/>
                <w:szCs w:val="20"/>
              </w:rPr>
              <w:t>1,786</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471 </w:t>
            </w:r>
          </w:p>
        </w:tc>
      </w:tr>
      <w:tr w:rsidR="007A74C9" w:rsidRPr="00DE475B" w:rsidTr="00E021AE">
        <w:trPr>
          <w:trHeight w:val="266"/>
        </w:trPr>
        <w:tc>
          <w:tcPr>
            <w:tcW w:w="238" w:type="dxa"/>
            <w:shd w:val="clear" w:color="auto" w:fill="auto"/>
            <w:vAlign w:val="bottom"/>
          </w:tcPr>
          <w:p w:rsidR="007A74C9" w:rsidRPr="00DE475B" w:rsidRDefault="007A74C9">
            <w:pPr>
              <w:snapToGrid w:val="0"/>
              <w:rPr>
                <w:rFonts w:ascii="Arial" w:hAnsi="Arial" w:cs="Arial"/>
                <w:i/>
                <w:iCs/>
                <w:sz w:val="20"/>
                <w:szCs w:val="20"/>
              </w:rPr>
            </w:pPr>
          </w:p>
        </w:tc>
        <w:tc>
          <w:tcPr>
            <w:tcW w:w="3680" w:type="dxa"/>
            <w:gridSpan w:val="4"/>
            <w:shd w:val="clear" w:color="auto" w:fill="auto"/>
            <w:vAlign w:val="bottom"/>
          </w:tcPr>
          <w:p w:rsidR="007A74C9" w:rsidRPr="00DE475B" w:rsidRDefault="007A74C9">
            <w:pPr>
              <w:rPr>
                <w:rFonts w:ascii="Arial" w:hAnsi="Arial" w:cs="Arial"/>
                <w:b/>
                <w:bCs/>
                <w:sz w:val="20"/>
                <w:szCs w:val="20"/>
              </w:rPr>
            </w:pPr>
            <w:r w:rsidRPr="00DE475B">
              <w:rPr>
                <w:rFonts w:ascii="Arial" w:hAnsi="Arial" w:cs="Arial"/>
                <w:sz w:val="20"/>
                <w:szCs w:val="20"/>
              </w:rPr>
              <w:t xml:space="preserve">GST input tax credits from </w:t>
            </w:r>
            <w:proofErr w:type="spellStart"/>
            <w:r w:rsidRPr="00DE475B">
              <w:rPr>
                <w:rFonts w:ascii="Arial" w:hAnsi="Arial" w:cs="Arial"/>
                <w:sz w:val="20"/>
                <w:szCs w:val="20"/>
              </w:rPr>
              <w:t>ATO</w:t>
            </w:r>
            <w:proofErr w:type="spellEnd"/>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shd w:val="clear" w:color="auto" w:fill="auto"/>
            <w:vAlign w:val="center"/>
          </w:tcPr>
          <w:p w:rsidR="007A74C9" w:rsidRPr="00DE475B" w:rsidRDefault="007A74C9" w:rsidP="008936C1">
            <w:pPr>
              <w:jc w:val="right"/>
              <w:rPr>
                <w:rFonts w:ascii="Arial" w:hAnsi="Arial" w:cs="Arial"/>
                <w:sz w:val="20"/>
                <w:szCs w:val="20"/>
              </w:rPr>
            </w:pPr>
            <w:r>
              <w:rPr>
                <w:rFonts w:ascii="Arial" w:hAnsi="Arial" w:cs="Arial"/>
                <w:sz w:val="20"/>
                <w:szCs w:val="20"/>
              </w:rPr>
              <w:t>2,715</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1,682 </w:t>
            </w:r>
          </w:p>
        </w:tc>
        <w:tc>
          <w:tcPr>
            <w:tcW w:w="963" w:type="dxa"/>
            <w:shd w:val="clear" w:color="auto" w:fill="auto"/>
            <w:vAlign w:val="center"/>
          </w:tcPr>
          <w:p w:rsidR="007A74C9" w:rsidRPr="00DE475B" w:rsidRDefault="007A74C9" w:rsidP="00652F6C">
            <w:pPr>
              <w:jc w:val="right"/>
              <w:rPr>
                <w:rFonts w:ascii="Arial" w:hAnsi="Arial" w:cs="Arial"/>
                <w:sz w:val="20"/>
                <w:szCs w:val="20"/>
              </w:rPr>
            </w:pPr>
            <w:r>
              <w:rPr>
                <w:rFonts w:ascii="Arial" w:hAnsi="Arial" w:cs="Arial"/>
                <w:sz w:val="20"/>
                <w:szCs w:val="20"/>
              </w:rPr>
              <w:t>2,725</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1,672 </w:t>
            </w:r>
          </w:p>
        </w:tc>
      </w:tr>
      <w:tr w:rsidR="007A74C9" w:rsidRPr="00DE475B" w:rsidTr="00E021AE">
        <w:trPr>
          <w:trHeight w:val="266"/>
        </w:trPr>
        <w:tc>
          <w:tcPr>
            <w:tcW w:w="238" w:type="dxa"/>
            <w:shd w:val="clear" w:color="auto" w:fill="auto"/>
            <w:vAlign w:val="bottom"/>
          </w:tcPr>
          <w:p w:rsidR="007A74C9" w:rsidRPr="00DE475B" w:rsidRDefault="007A74C9">
            <w:pPr>
              <w:snapToGrid w:val="0"/>
              <w:rPr>
                <w:rFonts w:ascii="Arial" w:hAnsi="Arial" w:cs="Arial"/>
                <w:i/>
                <w:iCs/>
                <w:sz w:val="20"/>
                <w:szCs w:val="20"/>
              </w:rPr>
            </w:pPr>
          </w:p>
        </w:tc>
        <w:tc>
          <w:tcPr>
            <w:tcW w:w="3680" w:type="dxa"/>
            <w:gridSpan w:val="4"/>
            <w:shd w:val="clear" w:color="auto" w:fill="auto"/>
            <w:vAlign w:val="bottom"/>
          </w:tcPr>
          <w:p w:rsidR="007A74C9" w:rsidRPr="00DE475B" w:rsidRDefault="007A74C9">
            <w:pPr>
              <w:snapToGrid w:val="0"/>
              <w:rPr>
                <w:rFonts w:ascii="Arial" w:hAnsi="Arial" w:cs="Arial"/>
                <w:sz w:val="20"/>
                <w:szCs w:val="20"/>
              </w:rPr>
            </w:pPr>
            <w:r w:rsidRPr="00DE475B">
              <w:rPr>
                <w:rFonts w:ascii="Arial" w:hAnsi="Arial" w:cs="Arial"/>
                <w:sz w:val="20"/>
                <w:szCs w:val="20"/>
              </w:rPr>
              <w:t>Interest receipts</w:t>
            </w: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shd w:val="clear" w:color="auto" w:fill="auto"/>
            <w:vAlign w:val="center"/>
          </w:tcPr>
          <w:p w:rsidR="007A74C9" w:rsidRPr="00DE475B" w:rsidRDefault="007A74C9" w:rsidP="008936C1">
            <w:pPr>
              <w:jc w:val="right"/>
              <w:rPr>
                <w:rFonts w:ascii="Arial" w:hAnsi="Arial" w:cs="Arial"/>
                <w:sz w:val="20"/>
                <w:szCs w:val="20"/>
              </w:rPr>
            </w:pPr>
            <w:r>
              <w:rPr>
                <w:rFonts w:ascii="Arial" w:hAnsi="Arial" w:cs="Arial"/>
                <w:sz w:val="20"/>
                <w:szCs w:val="20"/>
              </w:rPr>
              <w:t>735</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814</w:t>
            </w:r>
          </w:p>
        </w:tc>
        <w:tc>
          <w:tcPr>
            <w:tcW w:w="963" w:type="dxa"/>
            <w:shd w:val="clear" w:color="auto" w:fill="auto"/>
            <w:vAlign w:val="center"/>
          </w:tcPr>
          <w:p w:rsidR="007A74C9" w:rsidRPr="00DE475B" w:rsidRDefault="007A74C9" w:rsidP="00652F6C">
            <w:pPr>
              <w:jc w:val="right"/>
              <w:rPr>
                <w:rFonts w:ascii="Arial" w:hAnsi="Arial" w:cs="Arial"/>
                <w:sz w:val="20"/>
                <w:szCs w:val="20"/>
              </w:rPr>
            </w:pPr>
            <w:r>
              <w:rPr>
                <w:rFonts w:ascii="Arial" w:hAnsi="Arial" w:cs="Arial"/>
                <w:sz w:val="20"/>
                <w:szCs w:val="20"/>
              </w:rPr>
              <w:t>586</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651</w:t>
            </w:r>
          </w:p>
        </w:tc>
      </w:tr>
      <w:tr w:rsidR="007A74C9" w:rsidRPr="00DE475B" w:rsidTr="00E021AE">
        <w:trPr>
          <w:trHeight w:val="266"/>
        </w:trPr>
        <w:tc>
          <w:tcPr>
            <w:tcW w:w="238" w:type="dxa"/>
            <w:shd w:val="clear" w:color="auto" w:fill="auto"/>
            <w:vAlign w:val="bottom"/>
          </w:tcPr>
          <w:p w:rsidR="007A74C9" w:rsidRPr="00DE475B" w:rsidRDefault="007A74C9">
            <w:pPr>
              <w:snapToGrid w:val="0"/>
              <w:rPr>
                <w:rFonts w:ascii="Arial" w:hAnsi="Arial" w:cs="Arial"/>
                <w:i/>
                <w:iCs/>
                <w:sz w:val="20"/>
                <w:szCs w:val="20"/>
              </w:rPr>
            </w:pPr>
          </w:p>
        </w:tc>
        <w:tc>
          <w:tcPr>
            <w:tcW w:w="3680" w:type="dxa"/>
            <w:gridSpan w:val="4"/>
            <w:shd w:val="clear" w:color="auto" w:fill="auto"/>
            <w:vAlign w:val="bottom"/>
          </w:tcPr>
          <w:p w:rsidR="007A74C9" w:rsidRPr="00DE475B" w:rsidRDefault="007A74C9">
            <w:pPr>
              <w:snapToGrid w:val="0"/>
              <w:rPr>
                <w:rFonts w:ascii="Arial" w:hAnsi="Arial" w:cs="Arial"/>
                <w:sz w:val="20"/>
                <w:szCs w:val="20"/>
              </w:rPr>
            </w:pPr>
            <w:r w:rsidRPr="00DE475B">
              <w:rPr>
                <w:rFonts w:ascii="Arial" w:hAnsi="Arial" w:cs="Arial"/>
                <w:sz w:val="20"/>
                <w:szCs w:val="20"/>
              </w:rPr>
              <w:t>Other</w:t>
            </w: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shd w:val="clear" w:color="auto" w:fill="auto"/>
            <w:vAlign w:val="center"/>
          </w:tcPr>
          <w:p w:rsidR="007A74C9" w:rsidRPr="00DE475B" w:rsidRDefault="007A74C9" w:rsidP="008936C1">
            <w:pPr>
              <w:jc w:val="right"/>
              <w:rPr>
                <w:rFonts w:ascii="Arial" w:hAnsi="Arial" w:cs="Arial"/>
                <w:sz w:val="20"/>
                <w:szCs w:val="20"/>
              </w:rPr>
            </w:pPr>
            <w:r>
              <w:rPr>
                <w:rFonts w:ascii="Arial" w:hAnsi="Arial" w:cs="Arial"/>
                <w:sz w:val="20"/>
                <w:szCs w:val="20"/>
              </w:rPr>
              <w:t>-</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89</w:t>
            </w:r>
          </w:p>
        </w:tc>
        <w:tc>
          <w:tcPr>
            <w:tcW w:w="963" w:type="dxa"/>
            <w:shd w:val="clear" w:color="auto" w:fill="auto"/>
            <w:vAlign w:val="center"/>
          </w:tcPr>
          <w:p w:rsidR="007A74C9" w:rsidRPr="00DE475B" w:rsidRDefault="007A74C9" w:rsidP="00652F6C">
            <w:pPr>
              <w:jc w:val="right"/>
              <w:rPr>
                <w:rFonts w:ascii="Arial" w:hAnsi="Arial" w:cs="Arial"/>
                <w:sz w:val="20"/>
                <w:szCs w:val="20"/>
              </w:rPr>
            </w:pPr>
            <w:r>
              <w:rPr>
                <w:rFonts w:ascii="Arial" w:hAnsi="Arial" w:cs="Arial"/>
                <w:sz w:val="20"/>
                <w:szCs w:val="20"/>
              </w:rPr>
              <w:t>-</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89</w:t>
            </w:r>
          </w:p>
        </w:tc>
      </w:tr>
      <w:tr w:rsidR="007A74C9" w:rsidRPr="00DE475B" w:rsidTr="00E021AE">
        <w:trPr>
          <w:trHeight w:val="266"/>
        </w:trPr>
        <w:tc>
          <w:tcPr>
            <w:tcW w:w="2164" w:type="dxa"/>
            <w:gridSpan w:val="4"/>
            <w:shd w:val="clear" w:color="auto" w:fill="auto"/>
            <w:vAlign w:val="bottom"/>
          </w:tcPr>
          <w:p w:rsidR="007A74C9" w:rsidRPr="00DE475B" w:rsidRDefault="007A74C9">
            <w:pPr>
              <w:snapToGrid w:val="0"/>
              <w:rPr>
                <w:rFonts w:ascii="Arial" w:hAnsi="Arial" w:cs="Arial"/>
                <w:sz w:val="20"/>
                <w:szCs w:val="20"/>
              </w:rPr>
            </w:pPr>
            <w:r w:rsidRPr="00DE475B">
              <w:rPr>
                <w:rFonts w:ascii="Arial" w:hAnsi="Arial" w:cs="Arial"/>
                <w:i/>
                <w:iCs/>
                <w:sz w:val="20"/>
                <w:szCs w:val="20"/>
              </w:rPr>
              <w:t>Outflows:</w:t>
            </w:r>
          </w:p>
        </w:tc>
        <w:tc>
          <w:tcPr>
            <w:tcW w:w="1754"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shd w:val="clear" w:color="auto" w:fill="auto"/>
            <w:vAlign w:val="bottom"/>
          </w:tcPr>
          <w:p w:rsidR="007A74C9" w:rsidRPr="00DE475B" w:rsidRDefault="007A74C9">
            <w:pPr>
              <w:rPr>
                <w:rFonts w:ascii="Arial" w:hAnsi="Arial" w:cs="Arial"/>
                <w:sz w:val="20"/>
                <w:szCs w:val="20"/>
              </w:rPr>
            </w:pPr>
          </w:p>
        </w:tc>
        <w:tc>
          <w:tcPr>
            <w:tcW w:w="963" w:type="dxa"/>
            <w:shd w:val="clear" w:color="auto" w:fill="auto"/>
            <w:vAlign w:val="bottom"/>
          </w:tcPr>
          <w:p w:rsidR="007A74C9" w:rsidRPr="00DE475B" w:rsidRDefault="007A74C9" w:rsidP="00704C2E">
            <w:pPr>
              <w:rPr>
                <w:rFonts w:ascii="Arial" w:hAnsi="Arial" w:cs="Arial"/>
                <w:sz w:val="20"/>
                <w:szCs w:val="20"/>
              </w:rPr>
            </w:pPr>
          </w:p>
        </w:tc>
        <w:tc>
          <w:tcPr>
            <w:tcW w:w="963" w:type="dxa"/>
            <w:shd w:val="clear" w:color="auto" w:fill="auto"/>
            <w:vAlign w:val="bottom"/>
          </w:tcPr>
          <w:p w:rsidR="007A74C9" w:rsidRPr="00DE475B" w:rsidRDefault="007A74C9">
            <w:pPr>
              <w:rPr>
                <w:rFonts w:ascii="Arial" w:hAnsi="Arial" w:cs="Arial"/>
                <w:sz w:val="20"/>
                <w:szCs w:val="20"/>
              </w:rPr>
            </w:pPr>
          </w:p>
        </w:tc>
        <w:tc>
          <w:tcPr>
            <w:tcW w:w="963" w:type="dxa"/>
            <w:shd w:val="clear" w:color="auto" w:fill="auto"/>
            <w:vAlign w:val="bottom"/>
          </w:tcPr>
          <w:p w:rsidR="007A74C9" w:rsidRPr="00DE475B" w:rsidRDefault="007A74C9" w:rsidP="00704C2E">
            <w:pPr>
              <w:rPr>
                <w:rFonts w:ascii="Arial" w:hAnsi="Arial" w:cs="Arial"/>
                <w:sz w:val="20"/>
                <w:szCs w:val="20"/>
              </w:rPr>
            </w:pPr>
          </w:p>
        </w:tc>
      </w:tr>
      <w:tr w:rsidR="007A74C9" w:rsidRPr="00DE475B" w:rsidTr="00E021AE">
        <w:trPr>
          <w:trHeight w:val="266"/>
        </w:trPr>
        <w:tc>
          <w:tcPr>
            <w:tcW w:w="238" w:type="dxa"/>
            <w:shd w:val="clear" w:color="auto" w:fill="auto"/>
            <w:vAlign w:val="bottom"/>
          </w:tcPr>
          <w:p w:rsidR="007A74C9" w:rsidRPr="00DE475B" w:rsidRDefault="007A74C9">
            <w:pPr>
              <w:snapToGrid w:val="0"/>
              <w:rPr>
                <w:rFonts w:ascii="Arial" w:hAnsi="Arial" w:cs="Arial"/>
                <w:b/>
                <w:bCs/>
                <w:sz w:val="20"/>
                <w:szCs w:val="20"/>
              </w:rPr>
            </w:pPr>
          </w:p>
        </w:tc>
        <w:tc>
          <w:tcPr>
            <w:tcW w:w="3680" w:type="dxa"/>
            <w:gridSpan w:val="4"/>
            <w:shd w:val="clear" w:color="auto" w:fill="auto"/>
            <w:vAlign w:val="bottom"/>
          </w:tcPr>
          <w:p w:rsidR="007A74C9" w:rsidRPr="00DE475B" w:rsidRDefault="007A74C9">
            <w:pPr>
              <w:rPr>
                <w:rFonts w:ascii="Arial" w:hAnsi="Arial" w:cs="Arial"/>
                <w:b/>
                <w:bCs/>
                <w:sz w:val="20"/>
                <w:szCs w:val="20"/>
              </w:rPr>
            </w:pPr>
            <w:r w:rsidRPr="00DE475B">
              <w:rPr>
                <w:rFonts w:ascii="Arial" w:hAnsi="Arial" w:cs="Arial"/>
                <w:sz w:val="20"/>
                <w:szCs w:val="20"/>
              </w:rPr>
              <w:t>Employee expenses</w:t>
            </w: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shd w:val="clear" w:color="auto" w:fill="auto"/>
            <w:vAlign w:val="center"/>
          </w:tcPr>
          <w:p w:rsidR="007A74C9" w:rsidRPr="00DE475B" w:rsidRDefault="007A74C9" w:rsidP="008936C1">
            <w:pPr>
              <w:jc w:val="right"/>
              <w:rPr>
                <w:rFonts w:ascii="Arial" w:hAnsi="Arial" w:cs="Arial"/>
                <w:sz w:val="20"/>
                <w:szCs w:val="20"/>
              </w:rPr>
            </w:pPr>
            <w:r>
              <w:rPr>
                <w:rFonts w:ascii="Arial" w:hAnsi="Arial" w:cs="Arial"/>
                <w:sz w:val="20"/>
                <w:szCs w:val="20"/>
              </w:rPr>
              <w:t>(27,676)</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(27,969)</w:t>
            </w:r>
          </w:p>
        </w:tc>
        <w:tc>
          <w:tcPr>
            <w:tcW w:w="963" w:type="dxa"/>
            <w:shd w:val="clear" w:color="auto" w:fill="auto"/>
            <w:vAlign w:val="center"/>
          </w:tcPr>
          <w:p w:rsidR="007A74C9" w:rsidRPr="00DE475B" w:rsidRDefault="007A74C9" w:rsidP="00652F6C">
            <w:pPr>
              <w:jc w:val="right"/>
              <w:rPr>
                <w:rFonts w:ascii="Arial" w:hAnsi="Arial" w:cs="Arial"/>
                <w:sz w:val="20"/>
                <w:szCs w:val="20"/>
              </w:rPr>
            </w:pPr>
            <w:r>
              <w:rPr>
                <w:rFonts w:ascii="Arial" w:hAnsi="Arial" w:cs="Arial"/>
                <w:sz w:val="20"/>
                <w:szCs w:val="20"/>
              </w:rPr>
              <w:t>(27,676)</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(27,969)</w:t>
            </w:r>
          </w:p>
        </w:tc>
      </w:tr>
      <w:tr w:rsidR="007A74C9" w:rsidRPr="00DE475B" w:rsidTr="00E021AE">
        <w:trPr>
          <w:trHeight w:val="266"/>
        </w:trPr>
        <w:tc>
          <w:tcPr>
            <w:tcW w:w="238" w:type="dxa"/>
            <w:shd w:val="clear" w:color="auto" w:fill="auto"/>
            <w:vAlign w:val="bottom"/>
          </w:tcPr>
          <w:p w:rsidR="007A74C9" w:rsidRPr="00DE475B" w:rsidRDefault="007A74C9">
            <w:pPr>
              <w:snapToGrid w:val="0"/>
              <w:rPr>
                <w:rFonts w:ascii="Arial" w:hAnsi="Arial" w:cs="Arial"/>
                <w:b/>
                <w:bCs/>
                <w:sz w:val="20"/>
                <w:szCs w:val="20"/>
              </w:rPr>
            </w:pPr>
          </w:p>
        </w:tc>
        <w:tc>
          <w:tcPr>
            <w:tcW w:w="3680" w:type="dxa"/>
            <w:gridSpan w:val="4"/>
            <w:shd w:val="clear" w:color="auto" w:fill="auto"/>
            <w:vAlign w:val="bottom"/>
          </w:tcPr>
          <w:p w:rsidR="007A74C9" w:rsidRPr="00DE475B" w:rsidRDefault="007A74C9">
            <w:pPr>
              <w:rPr>
                <w:rFonts w:ascii="Arial" w:hAnsi="Arial" w:cs="Arial"/>
                <w:b/>
                <w:bCs/>
                <w:sz w:val="20"/>
                <w:szCs w:val="20"/>
              </w:rPr>
            </w:pPr>
            <w:r w:rsidRPr="00DE475B">
              <w:rPr>
                <w:rFonts w:ascii="Arial" w:hAnsi="Arial" w:cs="Arial"/>
                <w:sz w:val="20"/>
                <w:szCs w:val="20"/>
              </w:rPr>
              <w:t>Supplies and services</w:t>
            </w: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shd w:val="clear" w:color="auto" w:fill="auto"/>
            <w:vAlign w:val="center"/>
          </w:tcPr>
          <w:p w:rsidR="007A74C9" w:rsidRPr="00DE475B" w:rsidRDefault="007A74C9" w:rsidP="00551A53">
            <w:pPr>
              <w:jc w:val="right"/>
              <w:rPr>
                <w:rFonts w:ascii="Arial" w:hAnsi="Arial" w:cs="Arial"/>
                <w:sz w:val="20"/>
                <w:szCs w:val="20"/>
              </w:rPr>
            </w:pPr>
            <w:r>
              <w:rPr>
                <w:rFonts w:ascii="Arial" w:hAnsi="Arial" w:cs="Arial"/>
                <w:sz w:val="20"/>
                <w:szCs w:val="20"/>
              </w:rPr>
              <w:t>(14,401)</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(15,898)</w:t>
            </w:r>
          </w:p>
        </w:tc>
        <w:tc>
          <w:tcPr>
            <w:tcW w:w="963" w:type="dxa"/>
            <w:shd w:val="clear" w:color="auto" w:fill="auto"/>
            <w:vAlign w:val="center"/>
          </w:tcPr>
          <w:p w:rsidR="007A74C9" w:rsidRPr="00DE475B" w:rsidRDefault="007A74C9" w:rsidP="007A74C9">
            <w:pPr>
              <w:jc w:val="right"/>
              <w:rPr>
                <w:rFonts w:ascii="Arial" w:hAnsi="Arial" w:cs="Arial"/>
                <w:sz w:val="20"/>
                <w:szCs w:val="20"/>
              </w:rPr>
            </w:pPr>
            <w:r>
              <w:rPr>
                <w:rFonts w:ascii="Arial" w:hAnsi="Arial" w:cs="Arial"/>
                <w:sz w:val="20"/>
                <w:szCs w:val="20"/>
              </w:rPr>
              <w:t>(14,358)</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(15,898)</w:t>
            </w:r>
          </w:p>
        </w:tc>
      </w:tr>
      <w:tr w:rsidR="007A74C9" w:rsidRPr="00DE475B" w:rsidTr="00E021AE">
        <w:trPr>
          <w:trHeight w:val="266"/>
        </w:trPr>
        <w:tc>
          <w:tcPr>
            <w:tcW w:w="238" w:type="dxa"/>
            <w:shd w:val="clear" w:color="auto" w:fill="auto"/>
            <w:vAlign w:val="bottom"/>
          </w:tcPr>
          <w:p w:rsidR="007A74C9" w:rsidRPr="00DE475B" w:rsidRDefault="007A74C9">
            <w:pPr>
              <w:snapToGrid w:val="0"/>
              <w:rPr>
                <w:rFonts w:ascii="Arial" w:hAnsi="Arial" w:cs="Arial"/>
                <w:b/>
                <w:bCs/>
                <w:sz w:val="20"/>
                <w:szCs w:val="20"/>
              </w:rPr>
            </w:pPr>
          </w:p>
        </w:tc>
        <w:tc>
          <w:tcPr>
            <w:tcW w:w="3680" w:type="dxa"/>
            <w:gridSpan w:val="4"/>
            <w:shd w:val="clear" w:color="auto" w:fill="auto"/>
            <w:vAlign w:val="bottom"/>
          </w:tcPr>
          <w:p w:rsidR="007A74C9" w:rsidRPr="00DE475B" w:rsidRDefault="007A74C9">
            <w:pPr>
              <w:rPr>
                <w:rFonts w:ascii="Arial" w:hAnsi="Arial" w:cs="Arial"/>
                <w:b/>
                <w:bCs/>
                <w:sz w:val="20"/>
                <w:szCs w:val="20"/>
              </w:rPr>
            </w:pPr>
            <w:r w:rsidRPr="00DE475B">
              <w:rPr>
                <w:rFonts w:ascii="Arial" w:hAnsi="Arial" w:cs="Arial"/>
                <w:sz w:val="20"/>
                <w:szCs w:val="20"/>
              </w:rPr>
              <w:t>Grants and subsidies</w:t>
            </w: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shd w:val="clear" w:color="auto" w:fill="auto"/>
            <w:vAlign w:val="center"/>
          </w:tcPr>
          <w:p w:rsidR="007A74C9" w:rsidRPr="00DE475B" w:rsidRDefault="007A74C9" w:rsidP="008936C1">
            <w:pPr>
              <w:jc w:val="right"/>
              <w:rPr>
                <w:rFonts w:ascii="Arial" w:hAnsi="Arial" w:cs="Arial"/>
                <w:sz w:val="20"/>
                <w:szCs w:val="20"/>
              </w:rPr>
            </w:pPr>
            <w:r>
              <w:rPr>
                <w:rFonts w:ascii="Arial" w:hAnsi="Arial" w:cs="Arial"/>
                <w:sz w:val="20"/>
                <w:szCs w:val="20"/>
              </w:rPr>
              <w:t>(25,017)</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(24,850)</w:t>
            </w:r>
          </w:p>
        </w:tc>
        <w:tc>
          <w:tcPr>
            <w:tcW w:w="963" w:type="dxa"/>
            <w:shd w:val="clear" w:color="auto" w:fill="auto"/>
            <w:vAlign w:val="center"/>
          </w:tcPr>
          <w:p w:rsidR="007A74C9" w:rsidRPr="00DE475B" w:rsidRDefault="007A74C9" w:rsidP="007A74C9">
            <w:pPr>
              <w:jc w:val="right"/>
              <w:rPr>
                <w:rFonts w:ascii="Arial" w:hAnsi="Arial" w:cs="Arial"/>
                <w:sz w:val="20"/>
                <w:szCs w:val="20"/>
              </w:rPr>
            </w:pPr>
            <w:r>
              <w:rPr>
                <w:rFonts w:ascii="Arial" w:hAnsi="Arial" w:cs="Arial"/>
                <w:sz w:val="20"/>
                <w:szCs w:val="20"/>
              </w:rPr>
              <w:t>(25,267)</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(25,100)</w:t>
            </w:r>
          </w:p>
        </w:tc>
      </w:tr>
      <w:tr w:rsidR="007A74C9" w:rsidRPr="00DE475B" w:rsidTr="00E021AE">
        <w:trPr>
          <w:trHeight w:val="266"/>
        </w:trPr>
        <w:tc>
          <w:tcPr>
            <w:tcW w:w="238" w:type="dxa"/>
            <w:shd w:val="clear" w:color="auto" w:fill="auto"/>
            <w:vAlign w:val="bottom"/>
          </w:tcPr>
          <w:p w:rsidR="007A74C9" w:rsidRPr="00DE475B" w:rsidRDefault="007A74C9">
            <w:pPr>
              <w:snapToGrid w:val="0"/>
              <w:rPr>
                <w:rFonts w:ascii="Arial" w:hAnsi="Arial" w:cs="Arial"/>
                <w:b/>
                <w:bCs/>
                <w:sz w:val="20"/>
                <w:szCs w:val="20"/>
              </w:rPr>
            </w:pPr>
          </w:p>
        </w:tc>
        <w:tc>
          <w:tcPr>
            <w:tcW w:w="3680" w:type="dxa"/>
            <w:gridSpan w:val="4"/>
            <w:shd w:val="clear" w:color="auto" w:fill="auto"/>
            <w:vAlign w:val="bottom"/>
          </w:tcPr>
          <w:p w:rsidR="007A74C9" w:rsidRPr="00DE475B" w:rsidRDefault="007A74C9">
            <w:pPr>
              <w:rPr>
                <w:rFonts w:ascii="Arial" w:hAnsi="Arial" w:cs="Arial"/>
                <w:b/>
                <w:bCs/>
                <w:sz w:val="20"/>
                <w:szCs w:val="20"/>
              </w:rPr>
            </w:pPr>
            <w:r w:rsidRPr="00DE475B">
              <w:rPr>
                <w:rFonts w:ascii="Arial" w:hAnsi="Arial" w:cs="Arial"/>
                <w:sz w:val="20"/>
                <w:szCs w:val="20"/>
              </w:rPr>
              <w:t>GST paid to suppliers</w:t>
            </w: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shd w:val="clear" w:color="auto" w:fill="auto"/>
            <w:vAlign w:val="center"/>
          </w:tcPr>
          <w:p w:rsidR="007A74C9" w:rsidRPr="00DE475B" w:rsidRDefault="007A74C9" w:rsidP="008936C1">
            <w:pPr>
              <w:jc w:val="right"/>
              <w:rPr>
                <w:rFonts w:ascii="Arial" w:hAnsi="Arial" w:cs="Arial"/>
                <w:sz w:val="20"/>
                <w:szCs w:val="20"/>
              </w:rPr>
            </w:pPr>
            <w:r>
              <w:rPr>
                <w:rFonts w:ascii="Arial" w:hAnsi="Arial" w:cs="Arial"/>
                <w:sz w:val="20"/>
                <w:szCs w:val="20"/>
              </w:rPr>
              <w:t>(2,675)</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(1,624)</w:t>
            </w:r>
          </w:p>
        </w:tc>
        <w:tc>
          <w:tcPr>
            <w:tcW w:w="963" w:type="dxa"/>
            <w:shd w:val="clear" w:color="auto" w:fill="auto"/>
            <w:vAlign w:val="center"/>
          </w:tcPr>
          <w:p w:rsidR="007A74C9" w:rsidRPr="00DE475B" w:rsidRDefault="007A74C9" w:rsidP="00652F6C">
            <w:pPr>
              <w:jc w:val="right"/>
              <w:rPr>
                <w:rFonts w:ascii="Arial" w:hAnsi="Arial" w:cs="Arial"/>
                <w:sz w:val="20"/>
                <w:szCs w:val="20"/>
              </w:rPr>
            </w:pPr>
            <w:r>
              <w:rPr>
                <w:rFonts w:ascii="Arial" w:hAnsi="Arial" w:cs="Arial"/>
                <w:sz w:val="20"/>
                <w:szCs w:val="20"/>
              </w:rPr>
              <w:t>(2,674)</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(1,612)</w:t>
            </w:r>
          </w:p>
        </w:tc>
      </w:tr>
      <w:tr w:rsidR="007A74C9" w:rsidRPr="00DE475B" w:rsidTr="00E021AE">
        <w:trPr>
          <w:trHeight w:val="266"/>
        </w:trPr>
        <w:tc>
          <w:tcPr>
            <w:tcW w:w="238" w:type="dxa"/>
            <w:shd w:val="clear" w:color="auto" w:fill="auto"/>
            <w:vAlign w:val="bottom"/>
          </w:tcPr>
          <w:p w:rsidR="007A74C9" w:rsidRPr="00DE475B" w:rsidRDefault="007A74C9">
            <w:pPr>
              <w:snapToGrid w:val="0"/>
              <w:rPr>
                <w:rFonts w:ascii="Arial" w:hAnsi="Arial" w:cs="Arial"/>
                <w:b/>
                <w:bCs/>
                <w:sz w:val="20"/>
                <w:szCs w:val="20"/>
              </w:rPr>
            </w:pPr>
          </w:p>
        </w:tc>
        <w:tc>
          <w:tcPr>
            <w:tcW w:w="3680" w:type="dxa"/>
            <w:gridSpan w:val="4"/>
            <w:shd w:val="clear" w:color="auto" w:fill="auto"/>
            <w:vAlign w:val="bottom"/>
          </w:tcPr>
          <w:p w:rsidR="007A74C9" w:rsidRPr="00DE475B" w:rsidRDefault="007A74C9">
            <w:pPr>
              <w:rPr>
                <w:rFonts w:ascii="Arial" w:hAnsi="Arial" w:cs="Arial"/>
                <w:b/>
                <w:bCs/>
                <w:sz w:val="20"/>
                <w:szCs w:val="20"/>
              </w:rPr>
            </w:pPr>
            <w:r w:rsidRPr="00DE475B">
              <w:rPr>
                <w:rFonts w:ascii="Arial" w:hAnsi="Arial" w:cs="Arial"/>
                <w:sz w:val="20"/>
                <w:szCs w:val="20"/>
              </w:rPr>
              <w:t xml:space="preserve">GST remitted to </w:t>
            </w:r>
            <w:proofErr w:type="spellStart"/>
            <w:r w:rsidRPr="00DE475B">
              <w:rPr>
                <w:rFonts w:ascii="Arial" w:hAnsi="Arial" w:cs="Arial"/>
                <w:sz w:val="20"/>
                <w:szCs w:val="20"/>
              </w:rPr>
              <w:t>ATO</w:t>
            </w:r>
            <w:proofErr w:type="spellEnd"/>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shd w:val="clear" w:color="auto" w:fill="auto"/>
            <w:vAlign w:val="center"/>
          </w:tcPr>
          <w:p w:rsidR="007A74C9" w:rsidRPr="00DE475B" w:rsidRDefault="007A74C9" w:rsidP="008936C1">
            <w:pPr>
              <w:jc w:val="right"/>
              <w:rPr>
                <w:rFonts w:ascii="Arial" w:hAnsi="Arial" w:cs="Arial"/>
                <w:sz w:val="20"/>
                <w:szCs w:val="20"/>
              </w:rPr>
            </w:pPr>
            <w:r>
              <w:rPr>
                <w:rFonts w:ascii="Arial" w:hAnsi="Arial" w:cs="Arial"/>
                <w:sz w:val="20"/>
                <w:szCs w:val="20"/>
              </w:rPr>
              <w:t>(1,820)</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(500)</w:t>
            </w:r>
          </w:p>
        </w:tc>
        <w:tc>
          <w:tcPr>
            <w:tcW w:w="963" w:type="dxa"/>
            <w:shd w:val="clear" w:color="auto" w:fill="auto"/>
            <w:vAlign w:val="center"/>
          </w:tcPr>
          <w:p w:rsidR="007A74C9" w:rsidRPr="00DE475B" w:rsidRDefault="007A74C9" w:rsidP="007A74C9">
            <w:pPr>
              <w:jc w:val="right"/>
              <w:rPr>
                <w:rFonts w:ascii="Arial" w:hAnsi="Arial" w:cs="Arial"/>
                <w:sz w:val="20"/>
                <w:szCs w:val="20"/>
              </w:rPr>
            </w:pPr>
            <w:r>
              <w:rPr>
                <w:rFonts w:ascii="Arial" w:hAnsi="Arial" w:cs="Arial"/>
                <w:sz w:val="20"/>
                <w:szCs w:val="20"/>
              </w:rPr>
              <w:t>(1,815)</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(469)</w:t>
            </w:r>
          </w:p>
        </w:tc>
      </w:tr>
      <w:tr w:rsidR="007A74C9" w:rsidRPr="00DE475B" w:rsidTr="00E021AE">
        <w:trPr>
          <w:trHeight w:val="219"/>
        </w:trPr>
        <w:tc>
          <w:tcPr>
            <w:tcW w:w="238" w:type="dxa"/>
            <w:shd w:val="clear" w:color="auto" w:fill="auto"/>
            <w:vAlign w:val="bottom"/>
          </w:tcPr>
          <w:p w:rsidR="007A74C9" w:rsidRPr="00DE475B" w:rsidRDefault="007A74C9">
            <w:pPr>
              <w:snapToGrid w:val="0"/>
              <w:rPr>
                <w:rFonts w:ascii="Arial" w:hAnsi="Arial" w:cs="Arial"/>
                <w:b/>
                <w:bCs/>
                <w:sz w:val="20"/>
                <w:szCs w:val="20"/>
              </w:rPr>
            </w:pPr>
          </w:p>
        </w:tc>
        <w:tc>
          <w:tcPr>
            <w:tcW w:w="3680" w:type="dxa"/>
            <w:gridSpan w:val="4"/>
            <w:shd w:val="clear" w:color="auto" w:fill="auto"/>
            <w:vAlign w:val="bottom"/>
          </w:tcPr>
          <w:p w:rsidR="007A74C9" w:rsidRPr="00DE475B" w:rsidRDefault="007A74C9">
            <w:pPr>
              <w:snapToGrid w:val="0"/>
              <w:rPr>
                <w:rFonts w:ascii="Arial" w:hAnsi="Arial" w:cs="Arial"/>
                <w:sz w:val="20"/>
                <w:szCs w:val="20"/>
              </w:rPr>
            </w:pPr>
            <w:r w:rsidRPr="00DE475B">
              <w:rPr>
                <w:rFonts w:ascii="Arial" w:hAnsi="Arial" w:cs="Arial"/>
                <w:sz w:val="20"/>
                <w:szCs w:val="20"/>
              </w:rPr>
              <w:t>Other</w:t>
            </w:r>
          </w:p>
        </w:tc>
        <w:tc>
          <w:tcPr>
            <w:tcW w:w="843" w:type="dxa"/>
            <w:shd w:val="clear" w:color="auto" w:fill="auto"/>
            <w:vAlign w:val="bottom"/>
          </w:tcPr>
          <w:p w:rsidR="007A74C9" w:rsidRPr="00DE475B" w:rsidRDefault="007A74C9" w:rsidP="008936C1">
            <w:pPr>
              <w:snapToGrid w:val="0"/>
              <w:rPr>
                <w:rFonts w:ascii="Arial" w:hAnsi="Arial" w:cs="Arial"/>
                <w:b/>
                <w:bCs/>
                <w:sz w:val="20"/>
                <w:szCs w:val="20"/>
              </w:rPr>
            </w:pPr>
          </w:p>
        </w:tc>
        <w:tc>
          <w:tcPr>
            <w:tcW w:w="963" w:type="dxa"/>
            <w:shd w:val="clear" w:color="auto" w:fill="auto"/>
            <w:vAlign w:val="center"/>
          </w:tcPr>
          <w:p w:rsidR="007A74C9" w:rsidRPr="00DE475B" w:rsidRDefault="007A74C9" w:rsidP="008936C1">
            <w:pPr>
              <w:jc w:val="right"/>
              <w:rPr>
                <w:rFonts w:ascii="Arial" w:hAnsi="Arial" w:cs="Arial"/>
                <w:sz w:val="20"/>
                <w:szCs w:val="20"/>
              </w:rPr>
            </w:pPr>
            <w:r>
              <w:rPr>
                <w:rFonts w:ascii="Arial" w:hAnsi="Arial" w:cs="Arial"/>
                <w:sz w:val="20"/>
                <w:szCs w:val="20"/>
              </w:rPr>
              <w:t>(365)</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(368)</w:t>
            </w:r>
          </w:p>
        </w:tc>
        <w:tc>
          <w:tcPr>
            <w:tcW w:w="963" w:type="dxa"/>
            <w:shd w:val="clear" w:color="auto" w:fill="auto"/>
            <w:vAlign w:val="center"/>
          </w:tcPr>
          <w:p w:rsidR="007A74C9" w:rsidRPr="00DE475B" w:rsidRDefault="007A74C9" w:rsidP="00652F6C">
            <w:pPr>
              <w:jc w:val="right"/>
              <w:rPr>
                <w:rFonts w:ascii="Arial" w:hAnsi="Arial" w:cs="Arial"/>
                <w:sz w:val="20"/>
                <w:szCs w:val="20"/>
              </w:rPr>
            </w:pPr>
            <w:r>
              <w:rPr>
                <w:rFonts w:ascii="Arial" w:hAnsi="Arial" w:cs="Arial"/>
                <w:sz w:val="20"/>
                <w:szCs w:val="20"/>
              </w:rPr>
              <w:t>(350)</w:t>
            </w:r>
          </w:p>
        </w:tc>
        <w:tc>
          <w:tcPr>
            <w:tcW w:w="963" w:type="dxa"/>
            <w:shd w:val="clear" w:color="auto" w:fill="auto"/>
            <w:vAlign w:val="center"/>
          </w:tcPr>
          <w:p w:rsidR="007A74C9" w:rsidRPr="00DE475B" w:rsidRDefault="007A74C9" w:rsidP="001F339E">
            <w:pPr>
              <w:spacing w:line="276" w:lineRule="auto"/>
              <w:jc w:val="right"/>
              <w:rPr>
                <w:rFonts w:ascii="Arial" w:hAnsi="Arial" w:cs="Arial"/>
                <w:sz w:val="20"/>
                <w:szCs w:val="20"/>
              </w:rPr>
            </w:pPr>
            <w:r w:rsidRPr="00DE475B">
              <w:rPr>
                <w:rFonts w:ascii="Arial" w:hAnsi="Arial" w:cs="Arial"/>
                <w:sz w:val="20"/>
                <w:szCs w:val="20"/>
              </w:rPr>
              <w:t>(358)</w:t>
            </w:r>
          </w:p>
        </w:tc>
      </w:tr>
      <w:tr w:rsidR="007A74C9" w:rsidRPr="00DE475B" w:rsidTr="00E021AE">
        <w:trPr>
          <w:trHeight w:val="145"/>
        </w:trPr>
        <w:tc>
          <w:tcPr>
            <w:tcW w:w="238" w:type="dxa"/>
            <w:shd w:val="clear" w:color="auto" w:fill="auto"/>
            <w:vAlign w:val="bottom"/>
          </w:tcPr>
          <w:p w:rsidR="007A74C9" w:rsidRPr="00DE475B" w:rsidRDefault="007A74C9">
            <w:pPr>
              <w:snapToGrid w:val="0"/>
              <w:rPr>
                <w:rFonts w:ascii="Arial" w:hAnsi="Arial" w:cs="Arial"/>
                <w:b/>
                <w:bCs/>
                <w:sz w:val="20"/>
                <w:szCs w:val="20"/>
              </w:rPr>
            </w:pPr>
          </w:p>
        </w:tc>
        <w:tc>
          <w:tcPr>
            <w:tcW w:w="240"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rPr>
                <w:rFonts w:ascii="Arial" w:hAnsi="Arial" w:cs="Arial"/>
                <w:sz w:val="20"/>
                <w:szCs w:val="20"/>
              </w:rPr>
            </w:pPr>
          </w:p>
        </w:tc>
        <w:tc>
          <w:tcPr>
            <w:tcW w:w="1754"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tcBorders>
              <w:bottom w:val="single" w:sz="4" w:space="0" w:color="000000"/>
            </w:tcBorders>
            <w:shd w:val="clear" w:color="auto" w:fill="auto"/>
            <w:vAlign w:val="bottom"/>
          </w:tcPr>
          <w:p w:rsidR="007A74C9" w:rsidRPr="00DE475B" w:rsidRDefault="007A74C9">
            <w:pPr>
              <w:rPr>
                <w:rFonts w:ascii="Arial" w:hAnsi="Arial" w:cs="Arial"/>
                <w:sz w:val="20"/>
                <w:szCs w:val="20"/>
              </w:rPr>
            </w:pPr>
            <w:r w:rsidRPr="00DE475B">
              <w:rPr>
                <w:rFonts w:ascii="Arial" w:hAnsi="Arial" w:cs="Arial"/>
                <w:sz w:val="20"/>
                <w:szCs w:val="20"/>
              </w:rPr>
              <w:t> </w:t>
            </w:r>
          </w:p>
        </w:tc>
        <w:tc>
          <w:tcPr>
            <w:tcW w:w="963" w:type="dxa"/>
            <w:tcBorders>
              <w:bottom w:val="single" w:sz="4" w:space="0" w:color="000000"/>
            </w:tcBorders>
            <w:shd w:val="clear" w:color="auto" w:fill="auto"/>
            <w:vAlign w:val="bottom"/>
          </w:tcPr>
          <w:p w:rsidR="007A74C9" w:rsidRPr="00DE475B" w:rsidRDefault="007A74C9">
            <w:pPr>
              <w:rPr>
                <w:rFonts w:ascii="Arial" w:hAnsi="Arial" w:cs="Arial"/>
                <w:sz w:val="20"/>
                <w:szCs w:val="20"/>
              </w:rPr>
            </w:pPr>
            <w:r w:rsidRPr="00DE475B">
              <w:rPr>
                <w:rFonts w:ascii="Arial" w:hAnsi="Arial" w:cs="Arial"/>
                <w:sz w:val="20"/>
                <w:szCs w:val="20"/>
              </w:rPr>
              <w:t> </w:t>
            </w:r>
          </w:p>
        </w:tc>
        <w:tc>
          <w:tcPr>
            <w:tcW w:w="963" w:type="dxa"/>
            <w:tcBorders>
              <w:bottom w:val="single" w:sz="4" w:space="0" w:color="000000"/>
            </w:tcBorders>
            <w:shd w:val="clear" w:color="auto" w:fill="auto"/>
            <w:vAlign w:val="bottom"/>
          </w:tcPr>
          <w:p w:rsidR="007A74C9" w:rsidRPr="00DE475B" w:rsidRDefault="007A74C9">
            <w:pPr>
              <w:rPr>
                <w:rFonts w:ascii="Arial" w:hAnsi="Arial" w:cs="Arial"/>
                <w:sz w:val="20"/>
                <w:szCs w:val="20"/>
              </w:rPr>
            </w:pPr>
            <w:r w:rsidRPr="00DE475B">
              <w:rPr>
                <w:rFonts w:ascii="Arial" w:hAnsi="Arial" w:cs="Arial"/>
                <w:sz w:val="20"/>
                <w:szCs w:val="20"/>
              </w:rPr>
              <w:t> </w:t>
            </w:r>
          </w:p>
        </w:tc>
        <w:tc>
          <w:tcPr>
            <w:tcW w:w="963" w:type="dxa"/>
            <w:tcBorders>
              <w:bottom w:val="single" w:sz="4" w:space="0" w:color="000000"/>
            </w:tcBorders>
            <w:shd w:val="clear" w:color="auto" w:fill="auto"/>
            <w:vAlign w:val="bottom"/>
          </w:tcPr>
          <w:p w:rsidR="007A74C9" w:rsidRPr="00DE475B" w:rsidRDefault="007A74C9">
            <w:pPr>
              <w:rPr>
                <w:rFonts w:ascii="Arial" w:hAnsi="Arial" w:cs="Arial"/>
                <w:b/>
                <w:bCs/>
                <w:sz w:val="20"/>
                <w:szCs w:val="20"/>
              </w:rPr>
            </w:pPr>
            <w:r w:rsidRPr="00DE475B">
              <w:rPr>
                <w:rFonts w:ascii="Arial" w:hAnsi="Arial" w:cs="Arial"/>
                <w:sz w:val="20"/>
                <w:szCs w:val="20"/>
              </w:rPr>
              <w:t> </w:t>
            </w:r>
          </w:p>
        </w:tc>
      </w:tr>
      <w:tr w:rsidR="007A74C9" w:rsidRPr="00DE475B" w:rsidTr="00E021AE">
        <w:trPr>
          <w:trHeight w:val="329"/>
        </w:trPr>
        <w:tc>
          <w:tcPr>
            <w:tcW w:w="3918" w:type="dxa"/>
            <w:gridSpan w:val="5"/>
            <w:shd w:val="clear" w:color="auto" w:fill="auto"/>
            <w:vAlign w:val="bottom"/>
          </w:tcPr>
          <w:p w:rsidR="007A74C9" w:rsidRPr="00DE475B" w:rsidRDefault="007A74C9" w:rsidP="00C81D99">
            <w:pPr>
              <w:rPr>
                <w:rFonts w:ascii="Arial" w:hAnsi="Arial" w:cs="Arial"/>
                <w:b/>
                <w:bCs/>
                <w:sz w:val="20"/>
                <w:szCs w:val="20"/>
              </w:rPr>
            </w:pPr>
            <w:r w:rsidRPr="00DE475B">
              <w:rPr>
                <w:rFonts w:ascii="Arial" w:hAnsi="Arial" w:cs="Arial"/>
                <w:b/>
                <w:bCs/>
                <w:sz w:val="20"/>
                <w:szCs w:val="20"/>
              </w:rPr>
              <w:t>Net cash provided by operating activities</w:t>
            </w:r>
          </w:p>
        </w:tc>
        <w:tc>
          <w:tcPr>
            <w:tcW w:w="843" w:type="dxa"/>
            <w:shd w:val="clear" w:color="auto" w:fill="auto"/>
            <w:vAlign w:val="bottom"/>
          </w:tcPr>
          <w:p w:rsidR="007A74C9" w:rsidRPr="00DE475B" w:rsidRDefault="007A74C9">
            <w:pPr>
              <w:jc w:val="center"/>
              <w:rPr>
                <w:rFonts w:ascii="Arial" w:hAnsi="Arial" w:cs="Arial"/>
                <w:sz w:val="20"/>
                <w:szCs w:val="20"/>
              </w:rPr>
            </w:pPr>
            <w:r w:rsidRPr="00DE475B">
              <w:rPr>
                <w:rFonts w:ascii="Arial" w:hAnsi="Arial" w:cs="Arial"/>
                <w:b/>
                <w:bCs/>
                <w:sz w:val="20"/>
                <w:szCs w:val="20"/>
              </w:rPr>
              <w:t>CF-1</w:t>
            </w:r>
          </w:p>
        </w:tc>
        <w:tc>
          <w:tcPr>
            <w:tcW w:w="963" w:type="dxa"/>
            <w:tcBorders>
              <w:top w:val="single" w:sz="4" w:space="0" w:color="000000"/>
              <w:bottom w:val="single" w:sz="4" w:space="0" w:color="000000"/>
            </w:tcBorders>
            <w:shd w:val="clear" w:color="auto" w:fill="auto"/>
            <w:vAlign w:val="bottom"/>
          </w:tcPr>
          <w:p w:rsidR="007A74C9" w:rsidRPr="00DE475B" w:rsidRDefault="007A74C9" w:rsidP="00551A53">
            <w:pPr>
              <w:jc w:val="right"/>
              <w:rPr>
                <w:rFonts w:ascii="Arial" w:hAnsi="Arial" w:cs="Arial"/>
                <w:sz w:val="20"/>
                <w:szCs w:val="20"/>
              </w:rPr>
            </w:pPr>
            <w:r>
              <w:rPr>
                <w:rFonts w:ascii="Arial" w:hAnsi="Arial" w:cs="Arial"/>
                <w:sz w:val="20"/>
                <w:szCs w:val="20"/>
              </w:rPr>
              <w:t>3,208</w:t>
            </w:r>
          </w:p>
        </w:tc>
        <w:tc>
          <w:tcPr>
            <w:tcW w:w="963" w:type="dxa"/>
            <w:tcBorders>
              <w:top w:val="single" w:sz="4" w:space="0" w:color="000000"/>
              <w:bottom w:val="single" w:sz="4" w:space="0" w:color="000000"/>
            </w:tcBorders>
            <w:shd w:val="clear" w:color="auto" w:fill="auto"/>
            <w:vAlign w:val="bottom"/>
          </w:tcPr>
          <w:p w:rsidR="007A74C9" w:rsidRPr="00DE475B" w:rsidRDefault="007A74C9" w:rsidP="001F339E">
            <w:pPr>
              <w:jc w:val="right"/>
              <w:rPr>
                <w:rFonts w:ascii="Arial" w:hAnsi="Arial" w:cs="Arial"/>
                <w:sz w:val="20"/>
                <w:szCs w:val="20"/>
              </w:rPr>
            </w:pPr>
            <w:r w:rsidRPr="00DE475B">
              <w:rPr>
                <w:rFonts w:ascii="Arial" w:hAnsi="Arial" w:cs="Arial"/>
                <w:sz w:val="20"/>
                <w:szCs w:val="20"/>
              </w:rPr>
              <w:t>778</w:t>
            </w:r>
          </w:p>
        </w:tc>
        <w:tc>
          <w:tcPr>
            <w:tcW w:w="963" w:type="dxa"/>
            <w:tcBorders>
              <w:top w:val="single" w:sz="4" w:space="0" w:color="000000"/>
              <w:bottom w:val="single" w:sz="4" w:space="0" w:color="000000"/>
            </w:tcBorders>
            <w:shd w:val="clear" w:color="auto" w:fill="auto"/>
            <w:vAlign w:val="bottom"/>
          </w:tcPr>
          <w:p w:rsidR="007A74C9" w:rsidRPr="00DE475B" w:rsidRDefault="007A74C9" w:rsidP="001F339E">
            <w:pPr>
              <w:jc w:val="right"/>
              <w:rPr>
                <w:rFonts w:ascii="Arial" w:hAnsi="Arial" w:cs="Arial"/>
                <w:sz w:val="20"/>
                <w:szCs w:val="20"/>
              </w:rPr>
            </w:pPr>
            <w:r>
              <w:rPr>
                <w:rFonts w:ascii="Arial" w:hAnsi="Arial" w:cs="Arial"/>
                <w:sz w:val="20"/>
                <w:szCs w:val="20"/>
              </w:rPr>
              <w:t>2,944</w:t>
            </w:r>
          </w:p>
        </w:tc>
        <w:tc>
          <w:tcPr>
            <w:tcW w:w="963" w:type="dxa"/>
            <w:tcBorders>
              <w:top w:val="single" w:sz="4" w:space="0" w:color="000000"/>
              <w:bottom w:val="single" w:sz="4" w:space="0" w:color="000000"/>
            </w:tcBorders>
            <w:shd w:val="clear" w:color="auto" w:fill="auto"/>
            <w:vAlign w:val="bottom"/>
          </w:tcPr>
          <w:p w:rsidR="007A74C9" w:rsidRPr="00DE475B" w:rsidRDefault="007A74C9" w:rsidP="001F339E">
            <w:pPr>
              <w:jc w:val="right"/>
              <w:rPr>
                <w:rFonts w:ascii="Arial" w:hAnsi="Arial" w:cs="Arial"/>
                <w:sz w:val="20"/>
                <w:szCs w:val="20"/>
              </w:rPr>
            </w:pPr>
            <w:r w:rsidRPr="00DE475B">
              <w:rPr>
                <w:rFonts w:ascii="Arial" w:hAnsi="Arial" w:cs="Arial"/>
                <w:sz w:val="20"/>
                <w:szCs w:val="20"/>
              </w:rPr>
              <w:t>599</w:t>
            </w:r>
          </w:p>
        </w:tc>
      </w:tr>
      <w:tr w:rsidR="007A74C9" w:rsidRPr="00DE475B" w:rsidTr="00E021AE">
        <w:trPr>
          <w:trHeight w:val="235"/>
        </w:trPr>
        <w:tc>
          <w:tcPr>
            <w:tcW w:w="238" w:type="dxa"/>
            <w:shd w:val="clear" w:color="auto" w:fill="auto"/>
            <w:vAlign w:val="bottom"/>
          </w:tcPr>
          <w:p w:rsidR="007A74C9" w:rsidRPr="00DE475B" w:rsidRDefault="007A74C9">
            <w:pPr>
              <w:snapToGrid w:val="0"/>
              <w:rPr>
                <w:rFonts w:ascii="Arial" w:hAnsi="Arial" w:cs="Arial"/>
                <w:b/>
                <w:bCs/>
                <w:sz w:val="20"/>
                <w:szCs w:val="20"/>
              </w:rPr>
            </w:pPr>
          </w:p>
        </w:tc>
        <w:tc>
          <w:tcPr>
            <w:tcW w:w="240"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rPr>
                <w:rFonts w:ascii="Arial" w:hAnsi="Arial" w:cs="Arial"/>
                <w:sz w:val="20"/>
                <w:szCs w:val="20"/>
              </w:rPr>
            </w:pPr>
          </w:p>
        </w:tc>
        <w:tc>
          <w:tcPr>
            <w:tcW w:w="1754"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r>
      <w:tr w:rsidR="007A74C9" w:rsidRPr="00DE475B" w:rsidTr="00E021AE">
        <w:trPr>
          <w:trHeight w:val="266"/>
        </w:trPr>
        <w:tc>
          <w:tcPr>
            <w:tcW w:w="3918" w:type="dxa"/>
            <w:gridSpan w:val="5"/>
            <w:shd w:val="clear" w:color="auto" w:fill="auto"/>
            <w:vAlign w:val="bottom"/>
          </w:tcPr>
          <w:p w:rsidR="007A74C9" w:rsidRPr="00DE475B" w:rsidRDefault="007A74C9">
            <w:pPr>
              <w:rPr>
                <w:rFonts w:ascii="Arial" w:hAnsi="Arial" w:cs="Arial"/>
                <w:b/>
                <w:bCs/>
                <w:sz w:val="20"/>
                <w:szCs w:val="20"/>
              </w:rPr>
            </w:pPr>
            <w:r w:rsidRPr="00DE475B">
              <w:rPr>
                <w:rFonts w:ascii="Arial" w:hAnsi="Arial" w:cs="Arial"/>
                <w:b/>
                <w:bCs/>
                <w:sz w:val="20"/>
                <w:szCs w:val="20"/>
              </w:rPr>
              <w:t>Cash flows from investing activities</w:t>
            </w: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r>
      <w:tr w:rsidR="007A74C9" w:rsidRPr="00DE475B" w:rsidTr="00E021AE">
        <w:trPr>
          <w:trHeight w:val="266"/>
        </w:trPr>
        <w:tc>
          <w:tcPr>
            <w:tcW w:w="1321" w:type="dxa"/>
            <w:gridSpan w:val="3"/>
            <w:shd w:val="clear" w:color="auto" w:fill="auto"/>
            <w:vAlign w:val="bottom"/>
          </w:tcPr>
          <w:p w:rsidR="007A74C9" w:rsidRPr="00DE475B" w:rsidRDefault="007A74C9">
            <w:pPr>
              <w:rPr>
                <w:rFonts w:ascii="Arial" w:hAnsi="Arial" w:cs="Arial"/>
                <w:sz w:val="20"/>
                <w:szCs w:val="20"/>
              </w:rPr>
            </w:pPr>
            <w:r w:rsidRPr="00DE475B">
              <w:rPr>
                <w:rFonts w:ascii="Arial" w:hAnsi="Arial" w:cs="Arial"/>
                <w:i/>
                <w:iCs/>
                <w:sz w:val="20"/>
                <w:szCs w:val="20"/>
              </w:rPr>
              <w:t>Outflows:</w:t>
            </w:r>
          </w:p>
        </w:tc>
        <w:tc>
          <w:tcPr>
            <w:tcW w:w="843" w:type="dxa"/>
            <w:shd w:val="clear" w:color="auto" w:fill="auto"/>
            <w:vAlign w:val="bottom"/>
          </w:tcPr>
          <w:p w:rsidR="007A74C9" w:rsidRPr="00DE475B" w:rsidRDefault="007A74C9">
            <w:pPr>
              <w:snapToGrid w:val="0"/>
              <w:rPr>
                <w:rFonts w:ascii="Arial" w:hAnsi="Arial" w:cs="Arial"/>
                <w:sz w:val="20"/>
                <w:szCs w:val="20"/>
              </w:rPr>
            </w:pPr>
          </w:p>
        </w:tc>
        <w:tc>
          <w:tcPr>
            <w:tcW w:w="1754"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r>
      <w:tr w:rsidR="007A74C9" w:rsidRPr="00DE475B" w:rsidTr="00E021AE">
        <w:trPr>
          <w:trHeight w:val="266"/>
        </w:trPr>
        <w:tc>
          <w:tcPr>
            <w:tcW w:w="238" w:type="dxa"/>
            <w:shd w:val="clear" w:color="auto" w:fill="auto"/>
            <w:vAlign w:val="bottom"/>
          </w:tcPr>
          <w:p w:rsidR="007A74C9" w:rsidRPr="00DE475B" w:rsidRDefault="007A74C9">
            <w:pPr>
              <w:snapToGrid w:val="0"/>
              <w:rPr>
                <w:rFonts w:ascii="Arial" w:hAnsi="Arial" w:cs="Arial"/>
                <w:i/>
                <w:iCs/>
                <w:sz w:val="20"/>
                <w:szCs w:val="20"/>
              </w:rPr>
            </w:pPr>
          </w:p>
        </w:tc>
        <w:tc>
          <w:tcPr>
            <w:tcW w:w="4523" w:type="dxa"/>
            <w:gridSpan w:val="5"/>
            <w:shd w:val="clear" w:color="auto" w:fill="auto"/>
            <w:vAlign w:val="bottom"/>
          </w:tcPr>
          <w:p w:rsidR="007A74C9" w:rsidRPr="00DE475B" w:rsidRDefault="007A74C9" w:rsidP="0074204F">
            <w:pPr>
              <w:rPr>
                <w:rFonts w:ascii="Arial" w:hAnsi="Arial" w:cs="Arial"/>
                <w:sz w:val="20"/>
                <w:szCs w:val="20"/>
              </w:rPr>
            </w:pPr>
            <w:r w:rsidRPr="00DE475B">
              <w:rPr>
                <w:rFonts w:ascii="Arial" w:hAnsi="Arial" w:cs="Arial"/>
                <w:spacing w:val="-2"/>
                <w:sz w:val="20"/>
                <w:szCs w:val="20"/>
              </w:rPr>
              <w:t>Payments for valuables</w:t>
            </w:r>
          </w:p>
        </w:tc>
        <w:tc>
          <w:tcPr>
            <w:tcW w:w="963" w:type="dxa"/>
            <w:shd w:val="clear" w:color="auto" w:fill="auto"/>
            <w:vAlign w:val="center"/>
          </w:tcPr>
          <w:p w:rsidR="007A74C9" w:rsidRPr="00DE475B" w:rsidRDefault="007A74C9" w:rsidP="00551A53">
            <w:pPr>
              <w:jc w:val="right"/>
              <w:rPr>
                <w:rFonts w:ascii="Arial" w:hAnsi="Arial" w:cs="Arial"/>
                <w:sz w:val="20"/>
                <w:szCs w:val="20"/>
              </w:rPr>
            </w:pPr>
            <w:r>
              <w:rPr>
                <w:rFonts w:ascii="Arial" w:hAnsi="Arial" w:cs="Arial"/>
                <w:sz w:val="20"/>
                <w:szCs w:val="20"/>
              </w:rPr>
              <w:t>(302)</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(298)</w:t>
            </w:r>
          </w:p>
        </w:tc>
        <w:tc>
          <w:tcPr>
            <w:tcW w:w="963" w:type="dxa"/>
            <w:shd w:val="clear" w:color="auto" w:fill="auto"/>
            <w:vAlign w:val="center"/>
          </w:tcPr>
          <w:p w:rsidR="007A74C9" w:rsidRPr="00DE475B" w:rsidRDefault="007A74C9" w:rsidP="00652F6C">
            <w:pPr>
              <w:jc w:val="right"/>
              <w:rPr>
                <w:rFonts w:ascii="Arial" w:hAnsi="Arial" w:cs="Arial"/>
                <w:sz w:val="20"/>
                <w:szCs w:val="20"/>
              </w:rPr>
            </w:pPr>
            <w:r>
              <w:rPr>
                <w:rFonts w:ascii="Arial" w:hAnsi="Arial" w:cs="Arial"/>
                <w:sz w:val="20"/>
                <w:szCs w:val="20"/>
              </w:rPr>
              <w:t>(302)</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(298)</w:t>
            </w:r>
          </w:p>
        </w:tc>
      </w:tr>
      <w:tr w:rsidR="007A74C9" w:rsidRPr="00DE475B" w:rsidTr="00E021AE">
        <w:trPr>
          <w:trHeight w:val="266"/>
        </w:trPr>
        <w:tc>
          <w:tcPr>
            <w:tcW w:w="238" w:type="dxa"/>
            <w:shd w:val="clear" w:color="auto" w:fill="auto"/>
            <w:vAlign w:val="bottom"/>
          </w:tcPr>
          <w:p w:rsidR="007A74C9" w:rsidRPr="00DE475B" w:rsidRDefault="007A74C9">
            <w:pPr>
              <w:snapToGrid w:val="0"/>
              <w:rPr>
                <w:rFonts w:ascii="Arial" w:hAnsi="Arial" w:cs="Arial"/>
                <w:i/>
                <w:iCs/>
                <w:sz w:val="20"/>
                <w:szCs w:val="20"/>
              </w:rPr>
            </w:pPr>
          </w:p>
        </w:tc>
        <w:tc>
          <w:tcPr>
            <w:tcW w:w="4523" w:type="dxa"/>
            <w:gridSpan w:val="5"/>
            <w:shd w:val="clear" w:color="auto" w:fill="auto"/>
            <w:vAlign w:val="bottom"/>
          </w:tcPr>
          <w:p w:rsidR="007A74C9" w:rsidRPr="00DE475B" w:rsidRDefault="007A74C9" w:rsidP="0074204F">
            <w:pPr>
              <w:snapToGrid w:val="0"/>
              <w:rPr>
                <w:rFonts w:ascii="Arial" w:hAnsi="Arial" w:cs="Arial"/>
                <w:b/>
                <w:bCs/>
                <w:sz w:val="20"/>
                <w:szCs w:val="20"/>
              </w:rPr>
            </w:pPr>
            <w:r w:rsidRPr="00DE475B">
              <w:rPr>
                <w:rFonts w:ascii="Arial" w:hAnsi="Arial" w:cs="Arial"/>
                <w:sz w:val="20"/>
                <w:szCs w:val="20"/>
              </w:rPr>
              <w:t>Payments for library collection</w:t>
            </w:r>
          </w:p>
        </w:tc>
        <w:tc>
          <w:tcPr>
            <w:tcW w:w="963" w:type="dxa"/>
            <w:shd w:val="clear" w:color="auto" w:fill="auto"/>
            <w:vAlign w:val="center"/>
          </w:tcPr>
          <w:p w:rsidR="007A74C9" w:rsidRPr="00DE475B" w:rsidRDefault="007A74C9" w:rsidP="006B1101">
            <w:pPr>
              <w:jc w:val="right"/>
              <w:rPr>
                <w:rFonts w:ascii="Arial" w:hAnsi="Arial" w:cs="Arial"/>
                <w:sz w:val="20"/>
                <w:szCs w:val="20"/>
              </w:rPr>
            </w:pPr>
            <w:r>
              <w:rPr>
                <w:rFonts w:ascii="Arial" w:hAnsi="Arial" w:cs="Arial"/>
                <w:sz w:val="20"/>
                <w:szCs w:val="20"/>
              </w:rPr>
              <w:t>(248)</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(261)</w:t>
            </w:r>
          </w:p>
        </w:tc>
        <w:tc>
          <w:tcPr>
            <w:tcW w:w="963" w:type="dxa"/>
            <w:shd w:val="clear" w:color="auto" w:fill="auto"/>
            <w:vAlign w:val="center"/>
          </w:tcPr>
          <w:p w:rsidR="007A74C9" w:rsidRPr="00DE475B" w:rsidRDefault="007A74C9" w:rsidP="00652F6C">
            <w:pPr>
              <w:jc w:val="right"/>
              <w:rPr>
                <w:rFonts w:ascii="Arial" w:hAnsi="Arial" w:cs="Arial"/>
                <w:sz w:val="20"/>
                <w:szCs w:val="20"/>
              </w:rPr>
            </w:pPr>
            <w:r>
              <w:rPr>
                <w:rFonts w:ascii="Arial" w:hAnsi="Arial" w:cs="Arial"/>
                <w:sz w:val="20"/>
                <w:szCs w:val="20"/>
              </w:rPr>
              <w:t>(248)</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(261)</w:t>
            </w:r>
          </w:p>
        </w:tc>
      </w:tr>
      <w:tr w:rsidR="007A74C9" w:rsidRPr="00DE475B" w:rsidTr="00E021AE">
        <w:trPr>
          <w:trHeight w:val="266"/>
        </w:trPr>
        <w:tc>
          <w:tcPr>
            <w:tcW w:w="238" w:type="dxa"/>
            <w:shd w:val="clear" w:color="auto" w:fill="auto"/>
            <w:vAlign w:val="bottom"/>
          </w:tcPr>
          <w:p w:rsidR="007A74C9" w:rsidRPr="00DE475B" w:rsidRDefault="007A74C9">
            <w:pPr>
              <w:snapToGrid w:val="0"/>
              <w:rPr>
                <w:rFonts w:ascii="Arial" w:hAnsi="Arial" w:cs="Arial"/>
                <w:i/>
                <w:iCs/>
                <w:sz w:val="20"/>
                <w:szCs w:val="20"/>
              </w:rPr>
            </w:pPr>
          </w:p>
        </w:tc>
        <w:tc>
          <w:tcPr>
            <w:tcW w:w="4523" w:type="dxa"/>
            <w:gridSpan w:val="5"/>
            <w:shd w:val="clear" w:color="auto" w:fill="auto"/>
            <w:vAlign w:val="bottom"/>
          </w:tcPr>
          <w:p w:rsidR="007A74C9" w:rsidRPr="00DE475B" w:rsidRDefault="007A74C9" w:rsidP="00671400">
            <w:pPr>
              <w:rPr>
                <w:rFonts w:ascii="Arial" w:hAnsi="Arial" w:cs="Arial"/>
                <w:sz w:val="20"/>
                <w:szCs w:val="20"/>
              </w:rPr>
            </w:pPr>
            <w:r w:rsidRPr="00DE475B">
              <w:rPr>
                <w:rFonts w:ascii="Arial" w:hAnsi="Arial" w:cs="Arial"/>
                <w:sz w:val="20"/>
                <w:szCs w:val="20"/>
              </w:rPr>
              <w:t>Payments for property, plant and equipment</w:t>
            </w:r>
          </w:p>
        </w:tc>
        <w:tc>
          <w:tcPr>
            <w:tcW w:w="963" w:type="dxa"/>
            <w:shd w:val="clear" w:color="auto" w:fill="auto"/>
            <w:vAlign w:val="center"/>
          </w:tcPr>
          <w:p w:rsidR="007A74C9" w:rsidRPr="00DE475B" w:rsidRDefault="007A74C9" w:rsidP="006B1101">
            <w:pPr>
              <w:jc w:val="right"/>
              <w:rPr>
                <w:rFonts w:ascii="Arial" w:hAnsi="Arial" w:cs="Arial"/>
                <w:sz w:val="20"/>
                <w:szCs w:val="20"/>
              </w:rPr>
            </w:pPr>
            <w:r>
              <w:rPr>
                <w:rFonts w:ascii="Arial" w:hAnsi="Arial" w:cs="Arial"/>
                <w:sz w:val="20"/>
                <w:szCs w:val="20"/>
              </w:rPr>
              <w:t>(162)</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(590)</w:t>
            </w:r>
          </w:p>
        </w:tc>
        <w:tc>
          <w:tcPr>
            <w:tcW w:w="963" w:type="dxa"/>
            <w:shd w:val="clear" w:color="auto" w:fill="auto"/>
            <w:vAlign w:val="center"/>
          </w:tcPr>
          <w:p w:rsidR="007A74C9" w:rsidRPr="00DE475B" w:rsidRDefault="007A74C9" w:rsidP="00652F6C">
            <w:pPr>
              <w:jc w:val="right"/>
              <w:rPr>
                <w:rFonts w:ascii="Arial" w:hAnsi="Arial" w:cs="Arial"/>
                <w:sz w:val="20"/>
                <w:szCs w:val="20"/>
              </w:rPr>
            </w:pPr>
            <w:r>
              <w:rPr>
                <w:rFonts w:ascii="Arial" w:hAnsi="Arial" w:cs="Arial"/>
                <w:sz w:val="20"/>
                <w:szCs w:val="20"/>
              </w:rPr>
              <w:t>(162)</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(590)</w:t>
            </w:r>
          </w:p>
        </w:tc>
      </w:tr>
      <w:tr w:rsidR="007A74C9" w:rsidRPr="00DE475B" w:rsidTr="00E021AE">
        <w:trPr>
          <w:trHeight w:val="266"/>
        </w:trPr>
        <w:tc>
          <w:tcPr>
            <w:tcW w:w="238" w:type="dxa"/>
            <w:shd w:val="clear" w:color="auto" w:fill="auto"/>
            <w:vAlign w:val="bottom"/>
          </w:tcPr>
          <w:p w:rsidR="007A74C9" w:rsidRPr="00DE475B" w:rsidRDefault="007A74C9">
            <w:pPr>
              <w:snapToGrid w:val="0"/>
              <w:rPr>
                <w:rFonts w:ascii="Arial" w:hAnsi="Arial" w:cs="Arial"/>
                <w:i/>
                <w:iCs/>
                <w:sz w:val="20"/>
                <w:szCs w:val="20"/>
              </w:rPr>
            </w:pPr>
          </w:p>
        </w:tc>
        <w:tc>
          <w:tcPr>
            <w:tcW w:w="4523" w:type="dxa"/>
            <w:gridSpan w:val="5"/>
            <w:shd w:val="clear" w:color="auto" w:fill="auto"/>
            <w:vAlign w:val="bottom"/>
          </w:tcPr>
          <w:p w:rsidR="007A74C9" w:rsidRPr="00DE475B" w:rsidRDefault="007A74C9" w:rsidP="00671400">
            <w:pPr>
              <w:snapToGrid w:val="0"/>
              <w:rPr>
                <w:rFonts w:ascii="Arial" w:hAnsi="Arial" w:cs="Arial"/>
                <w:b/>
                <w:bCs/>
                <w:sz w:val="20"/>
                <w:szCs w:val="20"/>
              </w:rPr>
            </w:pPr>
            <w:r w:rsidRPr="00DE475B">
              <w:rPr>
                <w:rFonts w:ascii="Arial" w:hAnsi="Arial" w:cs="Arial"/>
                <w:sz w:val="20"/>
                <w:szCs w:val="20"/>
              </w:rPr>
              <w:t>Payments for intangibles</w:t>
            </w:r>
          </w:p>
        </w:tc>
        <w:tc>
          <w:tcPr>
            <w:tcW w:w="963" w:type="dxa"/>
            <w:shd w:val="clear" w:color="auto" w:fill="auto"/>
            <w:vAlign w:val="center"/>
          </w:tcPr>
          <w:p w:rsidR="007A74C9" w:rsidRPr="00DE475B" w:rsidRDefault="007A74C9" w:rsidP="00551A53">
            <w:pPr>
              <w:jc w:val="right"/>
              <w:rPr>
                <w:rFonts w:ascii="Arial" w:hAnsi="Arial" w:cs="Arial"/>
                <w:sz w:val="20"/>
                <w:szCs w:val="20"/>
              </w:rPr>
            </w:pPr>
            <w:r>
              <w:rPr>
                <w:rFonts w:ascii="Arial" w:hAnsi="Arial" w:cs="Arial"/>
                <w:sz w:val="20"/>
                <w:szCs w:val="20"/>
              </w:rPr>
              <w:t>(556)</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(709)</w:t>
            </w:r>
          </w:p>
        </w:tc>
        <w:tc>
          <w:tcPr>
            <w:tcW w:w="963" w:type="dxa"/>
            <w:shd w:val="clear" w:color="auto" w:fill="auto"/>
            <w:vAlign w:val="center"/>
          </w:tcPr>
          <w:p w:rsidR="007A74C9" w:rsidRPr="00DE475B" w:rsidRDefault="007A74C9" w:rsidP="00652F6C">
            <w:pPr>
              <w:jc w:val="right"/>
              <w:rPr>
                <w:rFonts w:ascii="Arial" w:hAnsi="Arial" w:cs="Arial"/>
                <w:sz w:val="20"/>
                <w:szCs w:val="20"/>
              </w:rPr>
            </w:pPr>
            <w:r>
              <w:rPr>
                <w:rFonts w:ascii="Arial" w:hAnsi="Arial" w:cs="Arial"/>
                <w:sz w:val="20"/>
                <w:szCs w:val="20"/>
              </w:rPr>
              <w:t>(556)</w:t>
            </w:r>
          </w:p>
        </w:tc>
        <w:tc>
          <w:tcPr>
            <w:tcW w:w="963"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(709)</w:t>
            </w:r>
          </w:p>
        </w:tc>
      </w:tr>
      <w:tr w:rsidR="007A74C9" w:rsidRPr="00DE475B" w:rsidTr="00E021AE">
        <w:trPr>
          <w:trHeight w:val="145"/>
        </w:trPr>
        <w:tc>
          <w:tcPr>
            <w:tcW w:w="238" w:type="dxa"/>
            <w:shd w:val="clear" w:color="auto" w:fill="auto"/>
            <w:vAlign w:val="bottom"/>
          </w:tcPr>
          <w:p w:rsidR="007A74C9" w:rsidRPr="00DE475B" w:rsidRDefault="007A74C9">
            <w:pPr>
              <w:snapToGrid w:val="0"/>
              <w:rPr>
                <w:rFonts w:ascii="Arial" w:hAnsi="Arial" w:cs="Arial"/>
                <w:b/>
                <w:bCs/>
                <w:sz w:val="20"/>
                <w:szCs w:val="20"/>
              </w:rPr>
            </w:pPr>
          </w:p>
        </w:tc>
        <w:tc>
          <w:tcPr>
            <w:tcW w:w="240"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rPr>
                <w:rFonts w:ascii="Arial" w:hAnsi="Arial" w:cs="Arial"/>
                <w:sz w:val="20"/>
                <w:szCs w:val="20"/>
              </w:rPr>
            </w:pPr>
          </w:p>
        </w:tc>
        <w:tc>
          <w:tcPr>
            <w:tcW w:w="1754"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tcBorders>
              <w:bottom w:val="single" w:sz="4" w:space="0" w:color="000000"/>
            </w:tcBorders>
            <w:shd w:val="clear" w:color="auto" w:fill="auto"/>
            <w:vAlign w:val="bottom"/>
          </w:tcPr>
          <w:p w:rsidR="007A74C9" w:rsidRPr="00DE475B" w:rsidRDefault="007A74C9">
            <w:pPr>
              <w:rPr>
                <w:rFonts w:ascii="Arial" w:hAnsi="Arial" w:cs="Arial"/>
                <w:sz w:val="20"/>
                <w:szCs w:val="20"/>
              </w:rPr>
            </w:pPr>
            <w:r w:rsidRPr="00DE475B">
              <w:rPr>
                <w:rFonts w:ascii="Arial" w:hAnsi="Arial" w:cs="Arial"/>
                <w:sz w:val="20"/>
                <w:szCs w:val="20"/>
              </w:rPr>
              <w:t> </w:t>
            </w:r>
          </w:p>
        </w:tc>
        <w:tc>
          <w:tcPr>
            <w:tcW w:w="963" w:type="dxa"/>
            <w:tcBorders>
              <w:bottom w:val="single" w:sz="4" w:space="0" w:color="000000"/>
            </w:tcBorders>
            <w:shd w:val="clear" w:color="auto" w:fill="auto"/>
            <w:vAlign w:val="bottom"/>
          </w:tcPr>
          <w:p w:rsidR="007A74C9" w:rsidRPr="00DE475B" w:rsidRDefault="007A74C9">
            <w:pPr>
              <w:rPr>
                <w:rFonts w:ascii="Arial" w:hAnsi="Arial" w:cs="Arial"/>
                <w:sz w:val="20"/>
                <w:szCs w:val="20"/>
              </w:rPr>
            </w:pPr>
            <w:r w:rsidRPr="00DE475B">
              <w:rPr>
                <w:rFonts w:ascii="Arial" w:hAnsi="Arial" w:cs="Arial"/>
                <w:sz w:val="20"/>
                <w:szCs w:val="20"/>
              </w:rPr>
              <w:t> </w:t>
            </w:r>
          </w:p>
        </w:tc>
        <w:tc>
          <w:tcPr>
            <w:tcW w:w="963" w:type="dxa"/>
            <w:tcBorders>
              <w:bottom w:val="single" w:sz="4" w:space="0" w:color="000000"/>
            </w:tcBorders>
            <w:shd w:val="clear" w:color="auto" w:fill="auto"/>
            <w:vAlign w:val="bottom"/>
          </w:tcPr>
          <w:p w:rsidR="007A74C9" w:rsidRPr="00DE475B" w:rsidRDefault="007A74C9">
            <w:pPr>
              <w:rPr>
                <w:rFonts w:ascii="Arial" w:hAnsi="Arial" w:cs="Arial"/>
                <w:sz w:val="20"/>
                <w:szCs w:val="20"/>
              </w:rPr>
            </w:pPr>
            <w:r w:rsidRPr="00DE475B">
              <w:rPr>
                <w:rFonts w:ascii="Arial" w:hAnsi="Arial" w:cs="Arial"/>
                <w:sz w:val="20"/>
                <w:szCs w:val="20"/>
              </w:rPr>
              <w:t> </w:t>
            </w:r>
          </w:p>
        </w:tc>
        <w:tc>
          <w:tcPr>
            <w:tcW w:w="963" w:type="dxa"/>
            <w:tcBorders>
              <w:bottom w:val="single" w:sz="4" w:space="0" w:color="000000"/>
            </w:tcBorders>
            <w:shd w:val="clear" w:color="auto" w:fill="auto"/>
            <w:vAlign w:val="bottom"/>
          </w:tcPr>
          <w:p w:rsidR="007A74C9" w:rsidRPr="00DE475B" w:rsidRDefault="007A74C9">
            <w:pPr>
              <w:rPr>
                <w:rFonts w:ascii="Arial" w:hAnsi="Arial" w:cs="Arial"/>
                <w:b/>
                <w:bCs/>
                <w:sz w:val="20"/>
                <w:szCs w:val="20"/>
              </w:rPr>
            </w:pPr>
            <w:r w:rsidRPr="00DE475B">
              <w:rPr>
                <w:rFonts w:ascii="Arial" w:hAnsi="Arial" w:cs="Arial"/>
                <w:sz w:val="20"/>
                <w:szCs w:val="20"/>
              </w:rPr>
              <w:t> </w:t>
            </w:r>
          </w:p>
        </w:tc>
      </w:tr>
      <w:tr w:rsidR="007A74C9" w:rsidRPr="00DE475B" w:rsidTr="00E021AE">
        <w:trPr>
          <w:trHeight w:val="266"/>
        </w:trPr>
        <w:tc>
          <w:tcPr>
            <w:tcW w:w="3918" w:type="dxa"/>
            <w:gridSpan w:val="5"/>
            <w:shd w:val="clear" w:color="auto" w:fill="auto"/>
            <w:vAlign w:val="bottom"/>
          </w:tcPr>
          <w:p w:rsidR="007A74C9" w:rsidRPr="00DE475B" w:rsidRDefault="007A74C9">
            <w:pPr>
              <w:rPr>
                <w:rFonts w:ascii="Arial" w:hAnsi="Arial" w:cs="Arial"/>
                <w:b/>
                <w:bCs/>
                <w:sz w:val="20"/>
                <w:szCs w:val="20"/>
              </w:rPr>
            </w:pPr>
            <w:r w:rsidRPr="00DE475B">
              <w:rPr>
                <w:rFonts w:ascii="Arial" w:hAnsi="Arial" w:cs="Arial"/>
                <w:b/>
                <w:bCs/>
                <w:sz w:val="20"/>
                <w:szCs w:val="20"/>
              </w:rPr>
              <w:t>Net cash used in investing activities</w:t>
            </w: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tcBorders>
              <w:top w:val="single" w:sz="4" w:space="0" w:color="000000"/>
              <w:bottom w:val="single" w:sz="4" w:space="0" w:color="000000"/>
            </w:tcBorders>
            <w:shd w:val="clear" w:color="auto" w:fill="auto"/>
            <w:vAlign w:val="bottom"/>
          </w:tcPr>
          <w:p w:rsidR="007A74C9" w:rsidRPr="00DE475B" w:rsidRDefault="007A74C9" w:rsidP="00AA6F36">
            <w:pPr>
              <w:jc w:val="right"/>
              <w:rPr>
                <w:rFonts w:ascii="Arial" w:hAnsi="Arial" w:cs="Arial"/>
                <w:sz w:val="20"/>
                <w:szCs w:val="20"/>
              </w:rPr>
            </w:pPr>
            <w:r>
              <w:rPr>
                <w:rFonts w:ascii="Arial" w:hAnsi="Arial" w:cs="Arial"/>
                <w:sz w:val="20"/>
                <w:szCs w:val="20"/>
              </w:rPr>
              <w:t>(1,268)</w:t>
            </w:r>
          </w:p>
        </w:tc>
        <w:tc>
          <w:tcPr>
            <w:tcW w:w="963" w:type="dxa"/>
            <w:tcBorders>
              <w:top w:val="single" w:sz="4" w:space="0" w:color="000000"/>
              <w:bottom w:val="single" w:sz="4" w:space="0" w:color="000000"/>
            </w:tcBorders>
            <w:shd w:val="clear" w:color="auto" w:fill="auto"/>
            <w:vAlign w:val="bottom"/>
          </w:tcPr>
          <w:p w:rsidR="007A74C9" w:rsidRPr="00DE475B" w:rsidRDefault="007A74C9" w:rsidP="001F339E">
            <w:pPr>
              <w:jc w:val="right"/>
              <w:rPr>
                <w:rFonts w:ascii="Arial" w:hAnsi="Arial" w:cs="Arial"/>
                <w:sz w:val="20"/>
                <w:szCs w:val="20"/>
              </w:rPr>
            </w:pPr>
            <w:r w:rsidRPr="00DE475B">
              <w:rPr>
                <w:rFonts w:ascii="Arial" w:hAnsi="Arial" w:cs="Arial"/>
                <w:sz w:val="20"/>
                <w:szCs w:val="20"/>
              </w:rPr>
              <w:t>(1,858)</w:t>
            </w:r>
          </w:p>
        </w:tc>
        <w:tc>
          <w:tcPr>
            <w:tcW w:w="963" w:type="dxa"/>
            <w:tcBorders>
              <w:top w:val="single" w:sz="4" w:space="0" w:color="000000"/>
              <w:bottom w:val="single" w:sz="4" w:space="0" w:color="000000"/>
            </w:tcBorders>
            <w:shd w:val="clear" w:color="auto" w:fill="auto"/>
            <w:vAlign w:val="bottom"/>
          </w:tcPr>
          <w:p w:rsidR="007A74C9" w:rsidRPr="00DE475B" w:rsidRDefault="007A74C9" w:rsidP="00E021AE">
            <w:pPr>
              <w:jc w:val="right"/>
              <w:rPr>
                <w:rFonts w:ascii="Arial" w:hAnsi="Arial" w:cs="Arial"/>
                <w:sz w:val="20"/>
                <w:szCs w:val="20"/>
              </w:rPr>
            </w:pPr>
            <w:r>
              <w:rPr>
                <w:rFonts w:ascii="Arial" w:hAnsi="Arial" w:cs="Arial"/>
                <w:sz w:val="20"/>
                <w:szCs w:val="20"/>
              </w:rPr>
              <w:t>(1,268)</w:t>
            </w:r>
          </w:p>
        </w:tc>
        <w:tc>
          <w:tcPr>
            <w:tcW w:w="963" w:type="dxa"/>
            <w:tcBorders>
              <w:top w:val="single" w:sz="4" w:space="0" w:color="000000"/>
              <w:bottom w:val="single" w:sz="4" w:space="0" w:color="000000"/>
            </w:tcBorders>
            <w:shd w:val="clear" w:color="auto" w:fill="auto"/>
            <w:vAlign w:val="bottom"/>
          </w:tcPr>
          <w:p w:rsidR="007A74C9" w:rsidRPr="00DE475B" w:rsidRDefault="007A74C9" w:rsidP="001F339E">
            <w:pPr>
              <w:jc w:val="right"/>
              <w:rPr>
                <w:rFonts w:ascii="Arial" w:hAnsi="Arial" w:cs="Arial"/>
                <w:sz w:val="20"/>
                <w:szCs w:val="20"/>
              </w:rPr>
            </w:pPr>
            <w:r w:rsidRPr="00DE475B">
              <w:rPr>
                <w:rFonts w:ascii="Arial" w:hAnsi="Arial" w:cs="Arial"/>
                <w:sz w:val="20"/>
                <w:szCs w:val="20"/>
              </w:rPr>
              <w:t>(1,858)</w:t>
            </w:r>
          </w:p>
        </w:tc>
      </w:tr>
      <w:tr w:rsidR="007A74C9" w:rsidRPr="00DE475B" w:rsidTr="00E021AE">
        <w:trPr>
          <w:trHeight w:val="145"/>
        </w:trPr>
        <w:tc>
          <w:tcPr>
            <w:tcW w:w="238" w:type="dxa"/>
            <w:shd w:val="clear" w:color="auto" w:fill="auto"/>
            <w:vAlign w:val="bottom"/>
          </w:tcPr>
          <w:p w:rsidR="007A74C9" w:rsidRPr="00DE475B" w:rsidRDefault="007A74C9">
            <w:pPr>
              <w:snapToGrid w:val="0"/>
              <w:rPr>
                <w:rFonts w:ascii="Arial" w:hAnsi="Arial" w:cs="Arial"/>
                <w:b/>
                <w:bCs/>
                <w:sz w:val="20"/>
                <w:szCs w:val="20"/>
              </w:rPr>
            </w:pPr>
          </w:p>
        </w:tc>
        <w:tc>
          <w:tcPr>
            <w:tcW w:w="240"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rPr>
                <w:rFonts w:ascii="Arial" w:hAnsi="Arial" w:cs="Arial"/>
                <w:sz w:val="20"/>
                <w:szCs w:val="20"/>
              </w:rPr>
            </w:pPr>
          </w:p>
        </w:tc>
        <w:tc>
          <w:tcPr>
            <w:tcW w:w="1754"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r>
      <w:tr w:rsidR="007A74C9" w:rsidRPr="00DE475B" w:rsidTr="00E021AE">
        <w:trPr>
          <w:trHeight w:val="281"/>
        </w:trPr>
        <w:tc>
          <w:tcPr>
            <w:tcW w:w="238" w:type="dxa"/>
            <w:shd w:val="clear" w:color="auto" w:fill="auto"/>
            <w:vAlign w:val="bottom"/>
          </w:tcPr>
          <w:p w:rsidR="007A74C9" w:rsidRPr="00DE475B" w:rsidRDefault="007A74C9">
            <w:pPr>
              <w:snapToGrid w:val="0"/>
              <w:rPr>
                <w:rFonts w:ascii="Arial" w:hAnsi="Arial" w:cs="Arial"/>
                <w:b/>
                <w:bCs/>
                <w:sz w:val="20"/>
                <w:szCs w:val="20"/>
              </w:rPr>
            </w:pPr>
          </w:p>
        </w:tc>
        <w:tc>
          <w:tcPr>
            <w:tcW w:w="240"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rPr>
                <w:rFonts w:ascii="Arial" w:hAnsi="Arial" w:cs="Arial"/>
                <w:sz w:val="20"/>
                <w:szCs w:val="20"/>
              </w:rPr>
            </w:pPr>
          </w:p>
        </w:tc>
        <w:tc>
          <w:tcPr>
            <w:tcW w:w="1754"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c>
          <w:tcPr>
            <w:tcW w:w="963" w:type="dxa"/>
            <w:shd w:val="clear" w:color="auto" w:fill="auto"/>
            <w:vAlign w:val="bottom"/>
          </w:tcPr>
          <w:p w:rsidR="007A74C9" w:rsidRPr="00DE475B" w:rsidRDefault="007A74C9">
            <w:pPr>
              <w:snapToGrid w:val="0"/>
              <w:rPr>
                <w:rFonts w:ascii="Arial" w:hAnsi="Arial" w:cs="Arial"/>
                <w:sz w:val="20"/>
                <w:szCs w:val="20"/>
              </w:rPr>
            </w:pPr>
          </w:p>
        </w:tc>
      </w:tr>
      <w:tr w:rsidR="007A74C9" w:rsidRPr="00DE475B" w:rsidTr="00E021AE">
        <w:trPr>
          <w:trHeight w:val="266"/>
        </w:trPr>
        <w:tc>
          <w:tcPr>
            <w:tcW w:w="4761" w:type="dxa"/>
            <w:gridSpan w:val="6"/>
            <w:shd w:val="clear" w:color="auto" w:fill="auto"/>
            <w:vAlign w:val="bottom"/>
          </w:tcPr>
          <w:p w:rsidR="007A74C9" w:rsidRPr="00DE475B" w:rsidRDefault="007A74C9">
            <w:pPr>
              <w:rPr>
                <w:rFonts w:ascii="Arial" w:hAnsi="Arial" w:cs="Arial"/>
                <w:sz w:val="20"/>
                <w:szCs w:val="20"/>
              </w:rPr>
            </w:pPr>
            <w:r w:rsidRPr="00DE475B">
              <w:rPr>
                <w:rFonts w:ascii="Arial" w:hAnsi="Arial" w:cs="Arial"/>
                <w:sz w:val="20"/>
                <w:szCs w:val="20"/>
              </w:rPr>
              <w:t>Net increase/(decrease) in cash and cash equivalents</w:t>
            </w:r>
          </w:p>
        </w:tc>
        <w:tc>
          <w:tcPr>
            <w:tcW w:w="963" w:type="dxa"/>
            <w:shd w:val="clear" w:color="auto" w:fill="auto"/>
            <w:vAlign w:val="bottom"/>
          </w:tcPr>
          <w:p w:rsidR="007A74C9" w:rsidRPr="00DE475B" w:rsidRDefault="007A74C9" w:rsidP="00551A53">
            <w:pPr>
              <w:jc w:val="right"/>
              <w:rPr>
                <w:rFonts w:ascii="Arial" w:hAnsi="Arial" w:cs="Arial"/>
                <w:sz w:val="20"/>
                <w:szCs w:val="20"/>
              </w:rPr>
            </w:pPr>
            <w:r>
              <w:rPr>
                <w:rFonts w:ascii="Arial" w:hAnsi="Arial" w:cs="Arial"/>
                <w:sz w:val="20"/>
                <w:szCs w:val="20"/>
              </w:rPr>
              <w:t>1,940</w:t>
            </w:r>
          </w:p>
        </w:tc>
        <w:tc>
          <w:tcPr>
            <w:tcW w:w="963" w:type="dxa"/>
            <w:shd w:val="clear" w:color="auto" w:fill="auto"/>
            <w:vAlign w:val="bottom"/>
          </w:tcPr>
          <w:p w:rsidR="007A74C9" w:rsidRPr="00DE475B" w:rsidRDefault="007A74C9" w:rsidP="001F339E">
            <w:pPr>
              <w:jc w:val="right"/>
              <w:rPr>
                <w:rFonts w:ascii="Arial" w:hAnsi="Arial" w:cs="Arial"/>
                <w:sz w:val="20"/>
                <w:szCs w:val="20"/>
              </w:rPr>
            </w:pPr>
            <w:r w:rsidRPr="00DE475B">
              <w:rPr>
                <w:rFonts w:ascii="Arial" w:hAnsi="Arial" w:cs="Arial"/>
                <w:sz w:val="20"/>
                <w:szCs w:val="20"/>
              </w:rPr>
              <w:t>(1,080)</w:t>
            </w:r>
          </w:p>
        </w:tc>
        <w:tc>
          <w:tcPr>
            <w:tcW w:w="963" w:type="dxa"/>
            <w:shd w:val="clear" w:color="auto" w:fill="auto"/>
            <w:vAlign w:val="bottom"/>
          </w:tcPr>
          <w:p w:rsidR="007A74C9" w:rsidRPr="00DE475B" w:rsidRDefault="007A74C9" w:rsidP="001F339E">
            <w:pPr>
              <w:jc w:val="right"/>
              <w:rPr>
                <w:rFonts w:ascii="Arial" w:hAnsi="Arial" w:cs="Arial"/>
                <w:sz w:val="20"/>
                <w:szCs w:val="20"/>
              </w:rPr>
            </w:pPr>
            <w:r>
              <w:rPr>
                <w:rFonts w:ascii="Arial" w:hAnsi="Arial" w:cs="Arial"/>
                <w:sz w:val="20"/>
                <w:szCs w:val="20"/>
              </w:rPr>
              <w:t>1,676</w:t>
            </w:r>
          </w:p>
        </w:tc>
        <w:tc>
          <w:tcPr>
            <w:tcW w:w="963" w:type="dxa"/>
            <w:shd w:val="clear" w:color="auto" w:fill="auto"/>
            <w:vAlign w:val="bottom"/>
          </w:tcPr>
          <w:p w:rsidR="007A74C9" w:rsidRPr="00DE475B" w:rsidRDefault="007A74C9" w:rsidP="001F339E">
            <w:pPr>
              <w:jc w:val="right"/>
              <w:rPr>
                <w:rFonts w:ascii="Arial" w:hAnsi="Arial" w:cs="Arial"/>
                <w:sz w:val="20"/>
                <w:szCs w:val="20"/>
              </w:rPr>
            </w:pPr>
            <w:r w:rsidRPr="00DE475B">
              <w:rPr>
                <w:rFonts w:ascii="Arial" w:hAnsi="Arial" w:cs="Arial"/>
                <w:sz w:val="20"/>
                <w:szCs w:val="20"/>
              </w:rPr>
              <w:t>(1,259)</w:t>
            </w:r>
          </w:p>
        </w:tc>
      </w:tr>
      <w:tr w:rsidR="007A74C9" w:rsidRPr="00DE475B" w:rsidTr="00E021AE">
        <w:trPr>
          <w:trHeight w:val="266"/>
        </w:trPr>
        <w:tc>
          <w:tcPr>
            <w:tcW w:w="4761" w:type="dxa"/>
            <w:gridSpan w:val="6"/>
            <w:shd w:val="clear" w:color="auto" w:fill="auto"/>
            <w:vAlign w:val="bottom"/>
          </w:tcPr>
          <w:p w:rsidR="007A74C9" w:rsidRPr="00DE475B" w:rsidRDefault="007A74C9" w:rsidP="004D1ED7">
            <w:pPr>
              <w:rPr>
                <w:rFonts w:ascii="Arial" w:hAnsi="Arial" w:cs="Arial"/>
                <w:sz w:val="20"/>
                <w:szCs w:val="20"/>
              </w:rPr>
            </w:pPr>
            <w:r w:rsidRPr="00DE475B">
              <w:rPr>
                <w:rFonts w:ascii="Arial" w:hAnsi="Arial" w:cs="Arial"/>
                <w:sz w:val="20"/>
                <w:szCs w:val="20"/>
              </w:rPr>
              <w:t xml:space="preserve">Cash and cash equivalents </w:t>
            </w:r>
            <w:r w:rsidR="004D1ED7">
              <w:rPr>
                <w:rFonts w:ascii="Arial" w:hAnsi="Arial" w:cs="Arial"/>
                <w:sz w:val="20"/>
                <w:szCs w:val="20"/>
              </w:rPr>
              <w:t>— opening balance</w:t>
            </w:r>
          </w:p>
        </w:tc>
        <w:tc>
          <w:tcPr>
            <w:tcW w:w="963" w:type="dxa"/>
            <w:shd w:val="clear" w:color="auto" w:fill="auto"/>
            <w:vAlign w:val="bottom"/>
          </w:tcPr>
          <w:p w:rsidR="007A74C9" w:rsidRPr="00DE475B" w:rsidRDefault="007A74C9">
            <w:pPr>
              <w:jc w:val="right"/>
              <w:rPr>
                <w:rFonts w:ascii="Arial" w:hAnsi="Arial" w:cs="Arial"/>
                <w:sz w:val="20"/>
                <w:szCs w:val="20"/>
              </w:rPr>
            </w:pPr>
            <w:r>
              <w:rPr>
                <w:rFonts w:ascii="Arial" w:hAnsi="Arial" w:cs="Arial"/>
                <w:sz w:val="20"/>
                <w:szCs w:val="20"/>
              </w:rPr>
              <w:t>16,920</w:t>
            </w:r>
          </w:p>
        </w:tc>
        <w:tc>
          <w:tcPr>
            <w:tcW w:w="963" w:type="dxa"/>
            <w:shd w:val="clear" w:color="auto" w:fill="auto"/>
            <w:vAlign w:val="bottom"/>
          </w:tcPr>
          <w:p w:rsidR="007A74C9" w:rsidRPr="00DE475B" w:rsidRDefault="007A74C9" w:rsidP="001F339E">
            <w:pPr>
              <w:jc w:val="right"/>
              <w:rPr>
                <w:rFonts w:ascii="Arial" w:hAnsi="Arial" w:cs="Arial"/>
                <w:sz w:val="20"/>
                <w:szCs w:val="20"/>
              </w:rPr>
            </w:pPr>
            <w:r w:rsidRPr="00DE475B">
              <w:rPr>
                <w:rFonts w:ascii="Arial" w:hAnsi="Arial" w:cs="Arial"/>
                <w:sz w:val="20"/>
                <w:szCs w:val="20"/>
              </w:rPr>
              <w:t>18,000</w:t>
            </w:r>
          </w:p>
        </w:tc>
        <w:tc>
          <w:tcPr>
            <w:tcW w:w="963" w:type="dxa"/>
            <w:shd w:val="clear" w:color="auto" w:fill="auto"/>
            <w:vAlign w:val="bottom"/>
          </w:tcPr>
          <w:p w:rsidR="007A74C9" w:rsidRPr="00DE475B" w:rsidRDefault="007A74C9" w:rsidP="001F339E">
            <w:pPr>
              <w:jc w:val="right"/>
              <w:rPr>
                <w:rFonts w:ascii="Arial" w:hAnsi="Arial" w:cs="Arial"/>
                <w:sz w:val="20"/>
                <w:szCs w:val="20"/>
              </w:rPr>
            </w:pPr>
            <w:r>
              <w:rPr>
                <w:rFonts w:ascii="Arial" w:hAnsi="Arial" w:cs="Arial"/>
                <w:sz w:val="20"/>
                <w:szCs w:val="20"/>
              </w:rPr>
              <w:t>11,217</w:t>
            </w:r>
          </w:p>
        </w:tc>
        <w:tc>
          <w:tcPr>
            <w:tcW w:w="963" w:type="dxa"/>
            <w:shd w:val="clear" w:color="auto" w:fill="auto"/>
            <w:vAlign w:val="bottom"/>
          </w:tcPr>
          <w:p w:rsidR="007A74C9" w:rsidRPr="00DE475B" w:rsidRDefault="007A74C9" w:rsidP="001F339E">
            <w:pPr>
              <w:jc w:val="right"/>
              <w:rPr>
                <w:rFonts w:ascii="Arial" w:hAnsi="Arial" w:cs="Arial"/>
                <w:sz w:val="20"/>
                <w:szCs w:val="20"/>
              </w:rPr>
            </w:pPr>
            <w:r w:rsidRPr="00DE475B">
              <w:rPr>
                <w:rFonts w:ascii="Arial" w:hAnsi="Arial" w:cs="Arial"/>
                <w:sz w:val="20"/>
                <w:szCs w:val="20"/>
              </w:rPr>
              <w:t>12,476</w:t>
            </w:r>
          </w:p>
        </w:tc>
      </w:tr>
      <w:tr w:rsidR="007A74C9" w:rsidRPr="00DE475B" w:rsidTr="00E021AE">
        <w:trPr>
          <w:trHeight w:val="145"/>
        </w:trPr>
        <w:tc>
          <w:tcPr>
            <w:tcW w:w="238" w:type="dxa"/>
            <w:shd w:val="clear" w:color="auto" w:fill="auto"/>
            <w:vAlign w:val="bottom"/>
          </w:tcPr>
          <w:p w:rsidR="007A74C9" w:rsidRPr="00DE475B" w:rsidRDefault="007A74C9">
            <w:pPr>
              <w:snapToGrid w:val="0"/>
              <w:rPr>
                <w:rFonts w:ascii="Arial" w:hAnsi="Arial" w:cs="Arial"/>
                <w:b/>
                <w:bCs/>
                <w:sz w:val="20"/>
                <w:szCs w:val="20"/>
              </w:rPr>
            </w:pPr>
          </w:p>
        </w:tc>
        <w:tc>
          <w:tcPr>
            <w:tcW w:w="240"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rPr>
                <w:rFonts w:ascii="Arial" w:hAnsi="Arial" w:cs="Arial"/>
                <w:sz w:val="20"/>
                <w:szCs w:val="20"/>
              </w:rPr>
            </w:pPr>
          </w:p>
        </w:tc>
        <w:tc>
          <w:tcPr>
            <w:tcW w:w="1754" w:type="dxa"/>
            <w:shd w:val="clear" w:color="auto" w:fill="auto"/>
            <w:vAlign w:val="bottom"/>
          </w:tcPr>
          <w:p w:rsidR="007A74C9" w:rsidRPr="00DE475B" w:rsidRDefault="007A74C9">
            <w:pPr>
              <w:snapToGrid w:val="0"/>
              <w:rPr>
                <w:rFonts w:ascii="Arial" w:hAnsi="Arial" w:cs="Arial"/>
                <w:sz w:val="20"/>
                <w:szCs w:val="20"/>
              </w:rPr>
            </w:pPr>
          </w:p>
        </w:tc>
        <w:tc>
          <w:tcPr>
            <w:tcW w:w="843" w:type="dxa"/>
            <w:shd w:val="clear" w:color="auto" w:fill="auto"/>
            <w:vAlign w:val="bottom"/>
          </w:tcPr>
          <w:p w:rsidR="007A74C9" w:rsidRPr="00DE475B" w:rsidRDefault="007A74C9">
            <w:pPr>
              <w:snapToGrid w:val="0"/>
              <w:jc w:val="center"/>
              <w:rPr>
                <w:rFonts w:ascii="Arial" w:hAnsi="Arial" w:cs="Arial"/>
                <w:b/>
                <w:bCs/>
                <w:sz w:val="20"/>
                <w:szCs w:val="20"/>
              </w:rPr>
            </w:pPr>
          </w:p>
        </w:tc>
        <w:tc>
          <w:tcPr>
            <w:tcW w:w="963" w:type="dxa"/>
            <w:tcBorders>
              <w:bottom w:val="single" w:sz="4" w:space="0" w:color="000000"/>
            </w:tcBorders>
            <w:shd w:val="clear" w:color="auto" w:fill="auto"/>
            <w:vAlign w:val="bottom"/>
          </w:tcPr>
          <w:p w:rsidR="007A74C9" w:rsidRPr="00DE475B" w:rsidRDefault="007A74C9">
            <w:pPr>
              <w:rPr>
                <w:rFonts w:ascii="Arial" w:hAnsi="Arial" w:cs="Arial"/>
                <w:sz w:val="20"/>
                <w:szCs w:val="20"/>
              </w:rPr>
            </w:pPr>
            <w:r w:rsidRPr="00DE475B">
              <w:rPr>
                <w:rFonts w:ascii="Arial" w:hAnsi="Arial" w:cs="Arial"/>
                <w:sz w:val="20"/>
                <w:szCs w:val="20"/>
              </w:rPr>
              <w:t> </w:t>
            </w:r>
          </w:p>
        </w:tc>
        <w:tc>
          <w:tcPr>
            <w:tcW w:w="963" w:type="dxa"/>
            <w:tcBorders>
              <w:bottom w:val="single" w:sz="4" w:space="0" w:color="000000"/>
            </w:tcBorders>
            <w:shd w:val="clear" w:color="auto" w:fill="auto"/>
            <w:vAlign w:val="bottom"/>
          </w:tcPr>
          <w:p w:rsidR="007A74C9" w:rsidRPr="00DE475B" w:rsidRDefault="007A74C9">
            <w:pPr>
              <w:rPr>
                <w:rFonts w:ascii="Arial" w:hAnsi="Arial" w:cs="Arial"/>
                <w:sz w:val="20"/>
                <w:szCs w:val="20"/>
              </w:rPr>
            </w:pPr>
            <w:r w:rsidRPr="00DE475B">
              <w:rPr>
                <w:rFonts w:ascii="Arial" w:hAnsi="Arial" w:cs="Arial"/>
                <w:sz w:val="20"/>
                <w:szCs w:val="20"/>
              </w:rPr>
              <w:t> </w:t>
            </w:r>
          </w:p>
        </w:tc>
        <w:tc>
          <w:tcPr>
            <w:tcW w:w="963" w:type="dxa"/>
            <w:tcBorders>
              <w:bottom w:val="single" w:sz="4" w:space="0" w:color="000000"/>
            </w:tcBorders>
            <w:shd w:val="clear" w:color="auto" w:fill="auto"/>
            <w:vAlign w:val="bottom"/>
          </w:tcPr>
          <w:p w:rsidR="007A74C9" w:rsidRPr="00DE475B" w:rsidRDefault="007A74C9">
            <w:pPr>
              <w:rPr>
                <w:rFonts w:ascii="Arial" w:hAnsi="Arial" w:cs="Arial"/>
                <w:sz w:val="20"/>
                <w:szCs w:val="20"/>
              </w:rPr>
            </w:pPr>
            <w:r w:rsidRPr="00DE475B">
              <w:rPr>
                <w:rFonts w:ascii="Arial" w:hAnsi="Arial" w:cs="Arial"/>
                <w:sz w:val="20"/>
                <w:szCs w:val="20"/>
              </w:rPr>
              <w:t> </w:t>
            </w:r>
          </w:p>
        </w:tc>
        <w:tc>
          <w:tcPr>
            <w:tcW w:w="963" w:type="dxa"/>
            <w:tcBorders>
              <w:bottom w:val="single" w:sz="4" w:space="0" w:color="000000"/>
            </w:tcBorders>
            <w:shd w:val="clear" w:color="auto" w:fill="auto"/>
            <w:vAlign w:val="bottom"/>
          </w:tcPr>
          <w:p w:rsidR="007A74C9" w:rsidRPr="00DE475B" w:rsidRDefault="007A74C9">
            <w:pPr>
              <w:rPr>
                <w:rFonts w:ascii="Arial" w:hAnsi="Arial" w:cs="Arial"/>
                <w:b/>
                <w:bCs/>
                <w:sz w:val="20"/>
                <w:szCs w:val="20"/>
              </w:rPr>
            </w:pPr>
            <w:r w:rsidRPr="00DE475B">
              <w:rPr>
                <w:rFonts w:ascii="Arial" w:hAnsi="Arial" w:cs="Arial"/>
                <w:sz w:val="20"/>
                <w:szCs w:val="20"/>
              </w:rPr>
              <w:t> </w:t>
            </w:r>
          </w:p>
        </w:tc>
      </w:tr>
      <w:tr w:rsidR="007A74C9" w:rsidRPr="00DE475B" w:rsidTr="00E021AE">
        <w:trPr>
          <w:trHeight w:val="266"/>
        </w:trPr>
        <w:tc>
          <w:tcPr>
            <w:tcW w:w="3918" w:type="dxa"/>
            <w:gridSpan w:val="5"/>
            <w:shd w:val="clear" w:color="auto" w:fill="auto"/>
            <w:vAlign w:val="bottom"/>
          </w:tcPr>
          <w:p w:rsidR="007A74C9" w:rsidRPr="00DE475B" w:rsidRDefault="007A74C9" w:rsidP="004D1ED7">
            <w:pPr>
              <w:rPr>
                <w:rFonts w:ascii="Arial" w:hAnsi="Arial" w:cs="Arial"/>
                <w:b/>
                <w:bCs/>
                <w:sz w:val="20"/>
                <w:szCs w:val="20"/>
              </w:rPr>
            </w:pPr>
            <w:r w:rsidRPr="00DE475B">
              <w:rPr>
                <w:rFonts w:ascii="Arial" w:hAnsi="Arial" w:cs="Arial"/>
                <w:b/>
                <w:bCs/>
                <w:sz w:val="20"/>
                <w:szCs w:val="20"/>
              </w:rPr>
              <w:t xml:space="preserve">Cash and cash equivalents </w:t>
            </w:r>
            <w:r w:rsidR="004D1ED7">
              <w:rPr>
                <w:rFonts w:ascii="Arial" w:hAnsi="Arial" w:cs="Arial"/>
                <w:b/>
                <w:bCs/>
                <w:sz w:val="20"/>
                <w:szCs w:val="20"/>
              </w:rPr>
              <w:t>— closing balance</w:t>
            </w:r>
          </w:p>
        </w:tc>
        <w:tc>
          <w:tcPr>
            <w:tcW w:w="843" w:type="dxa"/>
            <w:shd w:val="clear" w:color="auto" w:fill="auto"/>
            <w:vAlign w:val="bottom"/>
          </w:tcPr>
          <w:p w:rsidR="007A74C9" w:rsidRPr="00DE475B" w:rsidRDefault="007A74C9" w:rsidP="0074204F">
            <w:pPr>
              <w:jc w:val="center"/>
              <w:rPr>
                <w:rFonts w:ascii="Arial" w:hAnsi="Arial" w:cs="Arial"/>
                <w:sz w:val="20"/>
                <w:szCs w:val="20"/>
              </w:rPr>
            </w:pPr>
            <w:r w:rsidRPr="00DE475B">
              <w:rPr>
                <w:rFonts w:ascii="Arial" w:hAnsi="Arial" w:cs="Arial"/>
                <w:b/>
                <w:bCs/>
                <w:sz w:val="20"/>
                <w:szCs w:val="20"/>
              </w:rPr>
              <w:t>C1</w:t>
            </w:r>
          </w:p>
        </w:tc>
        <w:tc>
          <w:tcPr>
            <w:tcW w:w="963" w:type="dxa"/>
            <w:tcBorders>
              <w:top w:val="single" w:sz="4" w:space="0" w:color="000000"/>
              <w:bottom w:val="single" w:sz="12" w:space="0" w:color="000000"/>
            </w:tcBorders>
            <w:shd w:val="clear" w:color="auto" w:fill="auto"/>
            <w:vAlign w:val="bottom"/>
          </w:tcPr>
          <w:p w:rsidR="007A74C9" w:rsidRPr="00DE475B" w:rsidRDefault="007A74C9" w:rsidP="00456CA9">
            <w:pPr>
              <w:jc w:val="right"/>
              <w:rPr>
                <w:rFonts w:ascii="Arial" w:hAnsi="Arial" w:cs="Arial"/>
                <w:sz w:val="20"/>
                <w:szCs w:val="20"/>
              </w:rPr>
            </w:pPr>
            <w:r>
              <w:rPr>
                <w:rFonts w:ascii="Arial" w:hAnsi="Arial" w:cs="Arial"/>
                <w:sz w:val="20"/>
                <w:szCs w:val="20"/>
              </w:rPr>
              <w:t>18,860</w:t>
            </w:r>
          </w:p>
        </w:tc>
        <w:tc>
          <w:tcPr>
            <w:tcW w:w="963" w:type="dxa"/>
            <w:tcBorders>
              <w:top w:val="single" w:sz="4" w:space="0" w:color="000000"/>
              <w:bottom w:val="single" w:sz="12" w:space="0" w:color="000000"/>
            </w:tcBorders>
            <w:shd w:val="clear" w:color="auto" w:fill="auto"/>
            <w:vAlign w:val="bottom"/>
          </w:tcPr>
          <w:p w:rsidR="007A74C9" w:rsidRPr="00DE475B" w:rsidRDefault="007A74C9" w:rsidP="001F339E">
            <w:pPr>
              <w:jc w:val="right"/>
              <w:rPr>
                <w:rFonts w:ascii="Arial" w:hAnsi="Arial" w:cs="Arial"/>
                <w:sz w:val="20"/>
                <w:szCs w:val="20"/>
              </w:rPr>
            </w:pPr>
            <w:r w:rsidRPr="00DE475B">
              <w:rPr>
                <w:rFonts w:ascii="Arial" w:hAnsi="Arial" w:cs="Arial"/>
                <w:sz w:val="20"/>
                <w:szCs w:val="20"/>
              </w:rPr>
              <w:t>16,920</w:t>
            </w:r>
          </w:p>
        </w:tc>
        <w:tc>
          <w:tcPr>
            <w:tcW w:w="963" w:type="dxa"/>
            <w:tcBorders>
              <w:top w:val="single" w:sz="4" w:space="0" w:color="000000"/>
              <w:bottom w:val="single" w:sz="12" w:space="0" w:color="000000"/>
            </w:tcBorders>
            <w:shd w:val="clear" w:color="auto" w:fill="auto"/>
            <w:vAlign w:val="bottom"/>
          </w:tcPr>
          <w:p w:rsidR="007A74C9" w:rsidRPr="00DE475B" w:rsidRDefault="007A74C9" w:rsidP="001F339E">
            <w:pPr>
              <w:jc w:val="right"/>
              <w:rPr>
                <w:rFonts w:ascii="Arial" w:hAnsi="Arial" w:cs="Arial"/>
                <w:sz w:val="20"/>
                <w:szCs w:val="20"/>
              </w:rPr>
            </w:pPr>
            <w:r>
              <w:rPr>
                <w:rFonts w:ascii="Arial" w:hAnsi="Arial" w:cs="Arial"/>
                <w:sz w:val="20"/>
                <w:szCs w:val="20"/>
              </w:rPr>
              <w:t>12,893</w:t>
            </w:r>
          </w:p>
        </w:tc>
        <w:tc>
          <w:tcPr>
            <w:tcW w:w="963" w:type="dxa"/>
            <w:tcBorders>
              <w:top w:val="single" w:sz="4" w:space="0" w:color="000000"/>
              <w:bottom w:val="single" w:sz="12" w:space="0" w:color="000000"/>
            </w:tcBorders>
            <w:shd w:val="clear" w:color="auto" w:fill="auto"/>
            <w:vAlign w:val="bottom"/>
          </w:tcPr>
          <w:p w:rsidR="007A74C9" w:rsidRPr="00DE475B" w:rsidRDefault="007A74C9" w:rsidP="001F339E">
            <w:pPr>
              <w:jc w:val="right"/>
              <w:rPr>
                <w:rFonts w:ascii="Arial" w:hAnsi="Arial" w:cs="Arial"/>
                <w:sz w:val="20"/>
                <w:szCs w:val="20"/>
              </w:rPr>
            </w:pPr>
            <w:bookmarkStart w:id="4" w:name="RANGE!J45"/>
            <w:r w:rsidRPr="00DE475B">
              <w:rPr>
                <w:rFonts w:ascii="Arial" w:hAnsi="Arial" w:cs="Arial"/>
                <w:sz w:val="20"/>
                <w:szCs w:val="20"/>
              </w:rPr>
              <w:t xml:space="preserve">11,217 </w:t>
            </w:r>
            <w:bookmarkEnd w:id="4"/>
          </w:p>
        </w:tc>
      </w:tr>
    </w:tbl>
    <w:p w:rsidR="00D346B4" w:rsidRPr="00DE475B" w:rsidRDefault="00D346B4">
      <w:pPr>
        <w:pStyle w:val="ARbodytext"/>
      </w:pPr>
    </w:p>
    <w:p w:rsidR="00D346B4" w:rsidRPr="00DE475B" w:rsidRDefault="00D346B4">
      <w:pPr>
        <w:pStyle w:val="ARbodytext"/>
        <w:rPr>
          <w:i/>
        </w:rPr>
      </w:pPr>
      <w:r w:rsidRPr="00DE475B">
        <w:rPr>
          <w:i/>
        </w:rPr>
        <w:t>The accompanying notes form part of these statements.</w:t>
      </w:r>
    </w:p>
    <w:p w:rsidR="009F7CFF" w:rsidRPr="00DE475B" w:rsidRDefault="009F7CFF">
      <w:pPr>
        <w:pStyle w:val="ARbodytext"/>
        <w:rPr>
          <w:i/>
        </w:rPr>
      </w:pPr>
    </w:p>
    <w:p w:rsidR="009F7CFF" w:rsidRPr="00DE475B" w:rsidRDefault="009F7CFF">
      <w:pPr>
        <w:pStyle w:val="ARbodytext"/>
        <w:rPr>
          <w:i/>
        </w:rPr>
      </w:pPr>
    </w:p>
    <w:p w:rsidR="009F7CFF" w:rsidRPr="00DE475B" w:rsidRDefault="009F7CFF">
      <w:pPr>
        <w:pStyle w:val="ARbodytext"/>
        <w:rPr>
          <w:rFonts w:eastAsia="Times New Roman"/>
          <w:b/>
          <w:bCs/>
          <w:sz w:val="24"/>
          <w:szCs w:val="24"/>
          <w:lang w:eastAsia="en-US"/>
        </w:rPr>
      </w:pPr>
    </w:p>
    <w:p w:rsidR="009F7CFF" w:rsidRPr="00DE475B" w:rsidRDefault="009F7CFF" w:rsidP="009F7CFF">
      <w:pPr>
        <w:pStyle w:val="ARbodytext"/>
        <w:rPr>
          <w:b/>
          <w:bCs/>
        </w:rPr>
      </w:pPr>
      <w:r w:rsidRPr="00DE475B">
        <w:rPr>
          <w:rFonts w:eastAsia="Times New Roman"/>
          <w:b/>
          <w:bCs/>
          <w:sz w:val="24"/>
          <w:szCs w:val="24"/>
          <w:lang w:eastAsia="en-US"/>
        </w:rPr>
        <w:br w:type="page"/>
      </w:r>
      <w:r w:rsidR="00373FFE" w:rsidRPr="00DE475B">
        <w:rPr>
          <w:noProof/>
          <w:lang w:eastAsia="en-AU"/>
        </w:rPr>
        <w:lastRenderedPageBreak/>
        <mc:AlternateContent>
          <mc:Choice Requires="wps">
            <w:drawing>
              <wp:anchor distT="0" distB="0" distL="114300" distR="114300" simplePos="0" relativeHeight="251628544" behindDoc="0" locked="0" layoutInCell="1" allowOverlap="1" wp14:anchorId="33A8AE4F" wp14:editId="6933DFCB">
                <wp:simplePos x="0" y="0"/>
                <wp:positionH relativeFrom="column">
                  <wp:posOffset>-88900</wp:posOffset>
                </wp:positionH>
                <wp:positionV relativeFrom="paragraph">
                  <wp:posOffset>-97790</wp:posOffset>
                </wp:positionV>
                <wp:extent cx="5573395" cy="0"/>
                <wp:effectExtent l="10160" t="6985" r="7620" b="12065"/>
                <wp:wrapNone/>
                <wp:docPr id="26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7pt" to="431.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sTnAIAAHsFAAAOAAAAZHJzL2Uyb0RvYy54bWysVE1v2zAMvQ/YfxB0d23Hdj6MOkXrOLt0&#10;W4F22FmR5ViYLHmSGicY+t9HKYnXdJdhaAIYokRSj3yPur7ZdwLtmDZcyQLHVxFGTFJVc7kt8Len&#10;dTDHyFgiayKUZAU+MINvlh8/XA99ziaqVaJmGkESafKhL3BrbZ+HoaEt64i5Uj2TcNgo3RELpt6G&#10;tSYDZO9EOImiaTgoXfdaUWYM7K6Oh3jp8zcNo/Zr0xhmkSgwYLP+q/13477h8prkW036ltMTDPIf&#10;KDrCJVw6ploRS9Cz5n+l6jjVyqjGXlHVhappOGW+Bqgmjt5U89iSnvlaoDmmH9tk3i8t/bJ70IjX&#10;BZ5MU4wk6YCkey4ZirPEdWfoTQ5OpXzQrj66l4/9vaI/DJKqbIncMo/y6dBDYOwiwosQZ5ge7tgM&#10;n1UNPuTZKt+qfaM7lxKagPaekcPICNtbRGEzy2ZJssgwouezkOTnwF4b+4mpDrlFgQWg9onJ7t5Y&#10;B4TkZxd3j1RrLoQnXEg0FHiRTEESlIDszE8faZTgtfNy/kZvN6XQaEecdvzPlwcnr906bkHBgncF&#10;no9OJG8ZqStZ++ss4eK4BkhCuuTMa/OIE6y9haXfh8K9bn4tokU1r+ZpkE6mVZBGq1Vwuy7TYLqO&#10;Z9kqWZXlKn5xqOM0b3ldM+mAnzUcp/+mkdM0HdU3qnhsVXiZ3fcUwF4ivV1n0SxN5sFsliVBmlRR&#10;cDdfl8FtGU+ns+quvKveIK189eZ9wI6tdKjUM7Dx2NYDqrkTRZItJjEGA2Z+Mjvyg4jYwmNFrcZI&#10;K/ud29Zr2KnP5bggfh65/4n4MfuxEWcOnTWycKrtT6uA8zO/fjTcNBznaqPqw4M+jwxMuA86vUbu&#10;CXltw/r1m7n8DQAA//8DAFBLAwQUAAYACAAAACEA0UA9kuAAAAALAQAADwAAAGRycy9kb3ducmV2&#10;LnhtbEyPQUvDQBCF74L/YRnBi7Sb2lhLzKaIIB4Eaaso3rbZMRvMzobdaRP/vVsQ6m1m3uPN98rV&#10;6DpxwBBbTwpm0wwEUu1NS42Ct9fHyRJEZE1Gd55QwQ9GWFXnZ6UujB9og4ctNyKFUCy0AsvcF1LG&#10;2qLTcep7pKR9+eA0pzU00gQ9pHDXyessW0inW0ofrO7xwWL9vd07BS9haCPP83yN/Pn+9Pxh11du&#10;o9TlxXh/B4Jx5JMZjvgJHarEtPN7MlF0CiazPHXh43CTg0iO5WJ+C2L3d5FVKf93qH4BAAD//wMA&#10;UEsBAi0AFAAGAAgAAAAhALaDOJL+AAAA4QEAABMAAAAAAAAAAAAAAAAAAAAAAFtDb250ZW50X1R5&#10;cGVzXS54bWxQSwECLQAUAAYACAAAACEAOP0h/9YAAACUAQAACwAAAAAAAAAAAAAAAAAvAQAAX3Jl&#10;bHMvLnJlbHNQSwECLQAUAAYACAAAACEA+iYbE5wCAAB7BQAADgAAAAAAAAAAAAAAAAAuAgAAZHJz&#10;L2Uyb0RvYy54bWxQSwECLQAUAAYACAAAACEA0UA9kuAAAAALAQAADwAAAAAAAAAAAAAAAAD2BAAA&#10;ZHJzL2Rvd25yZXYueG1sUEsFBgAAAAAEAAQA8wAAAAMGAAAAAA==&#10;" strokeweight=".26mm">
                <v:stroke joinstyle="miter" endcap="square"/>
              </v:line>
            </w:pict>
          </mc:Fallback>
        </mc:AlternateContent>
      </w:r>
      <w:r w:rsidRPr="00DE475B">
        <w:rPr>
          <w:b/>
          <w:bCs/>
          <w:i/>
          <w:iCs/>
        </w:rPr>
        <w:t>Library Board of Queensland</w:t>
      </w:r>
      <w:r w:rsidR="00704C2E" w:rsidRPr="00DE475B">
        <w:rPr>
          <w:b/>
          <w:bCs/>
          <w:i/>
          <w:iCs/>
        </w:rPr>
        <w:t xml:space="preserve"> and controlled entities</w:t>
      </w:r>
    </w:p>
    <w:p w:rsidR="009F7CFF" w:rsidRPr="00DE475B" w:rsidRDefault="009F7CFF" w:rsidP="009F7CFF">
      <w:pPr>
        <w:rPr>
          <w:rFonts w:ascii="Arial" w:hAnsi="Arial" w:cs="Arial"/>
          <w:b/>
          <w:bCs/>
          <w:sz w:val="20"/>
          <w:szCs w:val="20"/>
        </w:rPr>
      </w:pPr>
      <w:r w:rsidRPr="00DE475B">
        <w:rPr>
          <w:rFonts w:ascii="Arial" w:hAnsi="Arial" w:cs="Arial"/>
          <w:b/>
          <w:bCs/>
          <w:sz w:val="20"/>
          <w:szCs w:val="20"/>
        </w:rPr>
        <w:t>NOTES TO THE FINANCIAL STATEMENTS</w:t>
      </w:r>
    </w:p>
    <w:p w:rsidR="009F7CFF" w:rsidRPr="00DE475B" w:rsidRDefault="00213D97" w:rsidP="009F7CFF">
      <w:r>
        <w:rPr>
          <w:rFonts w:ascii="Arial" w:hAnsi="Arial" w:cs="Arial"/>
          <w:b/>
          <w:bCs/>
          <w:sz w:val="20"/>
          <w:szCs w:val="20"/>
        </w:rPr>
        <w:t>For the year ended 30 June 2017</w:t>
      </w:r>
    </w:p>
    <w:p w:rsidR="009F7CFF" w:rsidRPr="00DE475B" w:rsidRDefault="00373FFE">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629568" behindDoc="0" locked="0" layoutInCell="1" allowOverlap="1" wp14:anchorId="061D5973" wp14:editId="2EFD3711">
                <wp:simplePos x="0" y="0"/>
                <wp:positionH relativeFrom="column">
                  <wp:posOffset>-66040</wp:posOffset>
                </wp:positionH>
                <wp:positionV relativeFrom="paragraph">
                  <wp:posOffset>70485</wp:posOffset>
                </wp:positionV>
                <wp:extent cx="5573395" cy="0"/>
                <wp:effectExtent l="13970" t="13335" r="13335" b="5715"/>
                <wp:wrapNone/>
                <wp:docPr id="26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9wlnAIAAHsFAAAOAAAAZHJzL2Uyb0RvYy54bWysVE1v2zAMvQ/YfxB0d23Hdj6MOkXrOLt0&#10;W4F22FmR5ViYLHmSGicY+t9HKYnXdJdhaAIYokRSj3yPur7ZdwLtmDZcyQLHVxFGTFJVc7kt8Len&#10;dTDHyFgiayKUZAU+MINvlh8/XA99ziaqVaJmGkESafKhL3BrbZ+HoaEt64i5Uj2TcNgo3RELpt6G&#10;tSYDZO9EOImiaTgoXfdaUWYM7K6Oh3jp8zcNo/Zr0xhmkSgwYLP+q/13477h8prkW036ltMTDPIf&#10;KDrCJVw6ploRS9Cz5n+l6jjVyqjGXlHVhappOGW+Bqgmjt5U89iSnvlaoDmmH9tk3i8t/bJ70IjX&#10;BZ5ME4wk6YCkey4ZirPUdWfoTQ5OpXzQrj66l4/9vaI/DJKqbIncMo/y6dBDYOwiwosQZ5ge7tgM&#10;n1UNPuTZKt+qfaM7lxKagPaekcPICNtbRGEzy2ZJssgwouezkOTnwF4b+4mpDrlFgQWg9onJ7t5Y&#10;B4TkZxd3j1RrLoQnXEg0FHiRTEESlIDszE8faZTgtfNy/kZvN6XQaEecdvzPlwcnr906bkHBgncF&#10;no9OJG8ZqStZ++ss4eK4BkhCuuTMa/OIE6y9haXfh8K9bn4tokU1r+ZpkE6mVZBGq1Vwuy7TYLqO&#10;Z9kqWZXlKn5xqOM0b3ldM+mAnzUcp/+mkdM0HdU3qnhsVXiZ3fcUwF4ivV1n0SxN5sFsliVBmlRR&#10;cDdfl8FtGU+ns+quvKveIK189eZ9wI6tdKjUM7Dx2NYDqrkTRZItJjEGA2Z+Mjvyg4jYwmNFrcZI&#10;K/ud29Zr2KnP5bggfh65/4n4MfuxEWcOnTWycKrtT6uA8zO/fjTcNBznaqPqw4M+jwxMuA86vUbu&#10;CXltw/r1m7n8DQAA//8DAFBLAwQUAAYACAAAACEA8EBpcd4AAAAJAQAADwAAAGRycy9kb3ducmV2&#10;LnhtbEyPwUrDQBCG74LvsIzgRdpNbKglZlNEEA+CtFUUb9vsmA1mZ8Putolv70gPepz5P/75plpP&#10;rhdHDLHzpCCfZyCQGm86ahW8vjzMViBi0mR07wkVfGOEdX1+VunS+JG2eNylVnAJxVIrsCkNpZSx&#10;seh0nPsBibNPH5xOPIZWmqBHLne9vM6ypXS6I75g9YD3Fpuv3cEpeA5jF9OiKDaYPt4en97t5spt&#10;lbq8mO5uQSSc0h8Mv/qsDjU77f2BTBS9glmeFYxykOcgGFgtbxYg9qeFrCv5/4P6BwAA//8DAFBL&#10;AQItABQABgAIAAAAIQC2gziS/gAAAOEBAAATAAAAAAAAAAAAAAAAAAAAAABbQ29udGVudF9UeXBl&#10;c10ueG1sUEsBAi0AFAAGAAgAAAAhADj9If/WAAAAlAEAAAsAAAAAAAAAAAAAAAAALwEAAF9yZWxz&#10;Ly5yZWxzUEsBAi0AFAAGAAgAAAAhAGrT3CWcAgAAewUAAA4AAAAAAAAAAAAAAAAALgIAAGRycy9l&#10;Mm9Eb2MueG1sUEsBAi0AFAAGAAgAAAAhAPBAaXHeAAAACQEAAA8AAAAAAAAAAAAAAAAA9gQAAGRy&#10;cy9kb3ducmV2LnhtbFBLBQYAAAAABAAEAPMAAAABBgAAAAA=&#10;" strokeweight=".26mm">
                <v:stroke joinstyle="miter" endcap="square"/>
              </v:line>
            </w:pict>
          </mc:Fallback>
        </mc:AlternateContent>
      </w:r>
    </w:p>
    <w:p w:rsidR="009F7CFF" w:rsidRPr="00DE475B" w:rsidRDefault="009F7CFF">
      <w:pPr>
        <w:pStyle w:val="ARbodytext"/>
        <w:rPr>
          <w:rFonts w:eastAsia="Times New Roman"/>
          <w:b/>
          <w:bCs/>
          <w:sz w:val="24"/>
          <w:szCs w:val="24"/>
          <w:lang w:eastAsia="en-US"/>
        </w:rPr>
      </w:pPr>
      <w:r w:rsidRPr="00DE475B">
        <w:rPr>
          <w:rFonts w:eastAsia="Times New Roman"/>
          <w:b/>
          <w:bCs/>
          <w:sz w:val="24"/>
          <w:szCs w:val="24"/>
          <w:lang w:eastAsia="en-US"/>
        </w:rPr>
        <w:t>Notes to the Statements of Cash Flows</w:t>
      </w:r>
    </w:p>
    <w:p w:rsidR="009F7CFF" w:rsidRPr="00DE475B" w:rsidRDefault="009F7CFF">
      <w:pPr>
        <w:pStyle w:val="ARbodytext"/>
        <w:rPr>
          <w:rFonts w:eastAsia="Times New Roman"/>
          <w:b/>
          <w:bCs/>
          <w:sz w:val="24"/>
          <w:szCs w:val="24"/>
          <w:lang w:eastAsia="en-US"/>
        </w:rPr>
      </w:pPr>
    </w:p>
    <w:p w:rsidR="009F7CFF" w:rsidRPr="00DE475B" w:rsidRDefault="00CB278B">
      <w:pPr>
        <w:pStyle w:val="ARbodytext"/>
        <w:rPr>
          <w:rFonts w:eastAsia="Times New Roman"/>
          <w:b/>
          <w:bCs/>
          <w:sz w:val="24"/>
          <w:szCs w:val="24"/>
          <w:lang w:eastAsia="en-US"/>
        </w:rPr>
      </w:pPr>
      <w:r w:rsidRPr="00DE475B">
        <w:rPr>
          <w:b/>
          <w:bCs/>
        </w:rPr>
        <w:t>CF-1 Reconciliation of o</w:t>
      </w:r>
      <w:r w:rsidR="009F7CFF" w:rsidRPr="00DE475B">
        <w:rPr>
          <w:b/>
          <w:bCs/>
        </w:rPr>
        <w:t xml:space="preserve">perating </w:t>
      </w:r>
      <w:r w:rsidRPr="00DE475B">
        <w:rPr>
          <w:b/>
          <w:bCs/>
        </w:rPr>
        <w:t>r</w:t>
      </w:r>
      <w:r w:rsidR="009F7CFF" w:rsidRPr="00DE475B">
        <w:rPr>
          <w:b/>
          <w:bCs/>
        </w:rPr>
        <w:t>esult to net cash provided by operating activities</w:t>
      </w:r>
    </w:p>
    <w:p w:rsidR="009F7CFF" w:rsidRPr="00DE475B" w:rsidRDefault="009F7CFF">
      <w:pPr>
        <w:pStyle w:val="ARbodytext"/>
        <w:rPr>
          <w:rFonts w:eastAsia="Times New Roman"/>
          <w:b/>
          <w:bCs/>
          <w:sz w:val="24"/>
          <w:szCs w:val="24"/>
          <w:lang w:eastAsia="en-US"/>
        </w:rPr>
      </w:pPr>
    </w:p>
    <w:tbl>
      <w:tblPr>
        <w:tblW w:w="8647" w:type="dxa"/>
        <w:tblInd w:w="108" w:type="dxa"/>
        <w:tblLayout w:type="fixed"/>
        <w:tblLook w:val="0000" w:firstRow="0" w:lastRow="0" w:firstColumn="0" w:lastColumn="0" w:noHBand="0" w:noVBand="0"/>
      </w:tblPr>
      <w:tblGrid>
        <w:gridCol w:w="529"/>
        <w:gridCol w:w="4406"/>
        <w:gridCol w:w="928"/>
        <w:gridCol w:w="928"/>
        <w:gridCol w:w="928"/>
        <w:gridCol w:w="928"/>
      </w:tblGrid>
      <w:tr w:rsidR="009F7CFF" w:rsidRPr="00DE475B" w:rsidTr="00DC3CBC">
        <w:trPr>
          <w:trHeight w:val="255"/>
        </w:trPr>
        <w:tc>
          <w:tcPr>
            <w:tcW w:w="529" w:type="dxa"/>
            <w:shd w:val="clear" w:color="auto" w:fill="auto"/>
            <w:vAlign w:val="bottom"/>
          </w:tcPr>
          <w:p w:rsidR="009F7CFF" w:rsidRPr="00DE475B" w:rsidRDefault="009F7CFF" w:rsidP="00704C2E">
            <w:pPr>
              <w:snapToGrid w:val="0"/>
              <w:rPr>
                <w:rFonts w:ascii="Arial" w:hAnsi="Arial" w:cs="Arial"/>
                <w:b/>
                <w:bCs/>
                <w:sz w:val="20"/>
                <w:szCs w:val="20"/>
              </w:rPr>
            </w:pPr>
          </w:p>
        </w:tc>
        <w:tc>
          <w:tcPr>
            <w:tcW w:w="6262" w:type="dxa"/>
            <w:gridSpan w:val="3"/>
            <w:shd w:val="clear" w:color="auto" w:fill="auto"/>
            <w:vAlign w:val="bottom"/>
          </w:tcPr>
          <w:p w:rsidR="009F7CFF" w:rsidRPr="00DE475B" w:rsidRDefault="009F7CFF" w:rsidP="00704C2E">
            <w:pPr>
              <w:jc w:val="right"/>
              <w:rPr>
                <w:rFonts w:ascii="Arial" w:hAnsi="Arial" w:cs="Arial"/>
                <w:b/>
                <w:bCs/>
                <w:sz w:val="20"/>
                <w:szCs w:val="20"/>
              </w:rPr>
            </w:pPr>
            <w:r w:rsidRPr="00DE475B">
              <w:rPr>
                <w:rFonts w:ascii="Arial" w:hAnsi="Arial" w:cs="Arial"/>
                <w:b/>
                <w:bCs/>
                <w:sz w:val="20"/>
                <w:szCs w:val="20"/>
              </w:rPr>
              <w:t>Economic Entity</w:t>
            </w:r>
          </w:p>
        </w:tc>
        <w:tc>
          <w:tcPr>
            <w:tcW w:w="1856" w:type="dxa"/>
            <w:gridSpan w:val="2"/>
            <w:shd w:val="clear" w:color="auto" w:fill="auto"/>
            <w:vAlign w:val="bottom"/>
          </w:tcPr>
          <w:p w:rsidR="009F7CFF" w:rsidRPr="00DE475B" w:rsidRDefault="009F7CFF" w:rsidP="00704C2E">
            <w:pPr>
              <w:jc w:val="right"/>
              <w:rPr>
                <w:rFonts w:ascii="Arial" w:hAnsi="Arial" w:cs="Arial"/>
                <w:b/>
                <w:bCs/>
                <w:sz w:val="20"/>
                <w:szCs w:val="20"/>
              </w:rPr>
            </w:pPr>
            <w:r w:rsidRPr="00DE475B">
              <w:rPr>
                <w:rFonts w:ascii="Arial" w:hAnsi="Arial" w:cs="Arial"/>
                <w:b/>
                <w:bCs/>
                <w:sz w:val="20"/>
                <w:szCs w:val="20"/>
              </w:rPr>
              <w:t>Parent Entity</w:t>
            </w:r>
          </w:p>
        </w:tc>
      </w:tr>
      <w:tr w:rsidR="009F7CFF" w:rsidRPr="00DE475B" w:rsidTr="00DC3CBC">
        <w:trPr>
          <w:trHeight w:val="255"/>
        </w:trPr>
        <w:tc>
          <w:tcPr>
            <w:tcW w:w="529" w:type="dxa"/>
            <w:shd w:val="clear" w:color="auto" w:fill="auto"/>
            <w:vAlign w:val="bottom"/>
          </w:tcPr>
          <w:p w:rsidR="009F7CFF" w:rsidRPr="00DE475B" w:rsidRDefault="009F7CFF" w:rsidP="00704C2E">
            <w:pPr>
              <w:snapToGrid w:val="0"/>
              <w:jc w:val="right"/>
              <w:rPr>
                <w:rFonts w:ascii="Arial" w:hAnsi="Arial" w:cs="Arial"/>
                <w:b/>
                <w:bCs/>
                <w:sz w:val="20"/>
                <w:szCs w:val="20"/>
              </w:rPr>
            </w:pPr>
          </w:p>
        </w:tc>
        <w:tc>
          <w:tcPr>
            <w:tcW w:w="4406" w:type="dxa"/>
            <w:shd w:val="clear" w:color="auto" w:fill="auto"/>
            <w:vAlign w:val="bottom"/>
          </w:tcPr>
          <w:p w:rsidR="009F7CFF" w:rsidRPr="00DE475B" w:rsidRDefault="009F7CFF" w:rsidP="00704C2E">
            <w:pPr>
              <w:snapToGrid w:val="0"/>
              <w:jc w:val="right"/>
              <w:rPr>
                <w:rFonts w:ascii="Arial" w:hAnsi="Arial" w:cs="Arial"/>
                <w:b/>
                <w:bCs/>
                <w:sz w:val="20"/>
                <w:szCs w:val="20"/>
              </w:rPr>
            </w:pPr>
          </w:p>
        </w:tc>
        <w:tc>
          <w:tcPr>
            <w:tcW w:w="928" w:type="dxa"/>
            <w:shd w:val="clear" w:color="auto" w:fill="auto"/>
            <w:vAlign w:val="bottom"/>
          </w:tcPr>
          <w:p w:rsidR="009F7CFF" w:rsidRPr="00DE475B" w:rsidRDefault="00213D97" w:rsidP="00704C2E">
            <w:pPr>
              <w:jc w:val="right"/>
              <w:rPr>
                <w:rFonts w:ascii="Arial" w:hAnsi="Arial" w:cs="Arial"/>
                <w:b/>
                <w:bCs/>
                <w:sz w:val="20"/>
                <w:szCs w:val="20"/>
              </w:rPr>
            </w:pPr>
            <w:r>
              <w:rPr>
                <w:rFonts w:ascii="Arial" w:hAnsi="Arial" w:cs="Arial"/>
                <w:b/>
                <w:bCs/>
                <w:sz w:val="20"/>
                <w:szCs w:val="20"/>
              </w:rPr>
              <w:t>2017</w:t>
            </w:r>
          </w:p>
        </w:tc>
        <w:tc>
          <w:tcPr>
            <w:tcW w:w="928" w:type="dxa"/>
            <w:shd w:val="clear" w:color="auto" w:fill="auto"/>
            <w:vAlign w:val="bottom"/>
          </w:tcPr>
          <w:p w:rsidR="009F7CFF" w:rsidRPr="00DE475B" w:rsidRDefault="00213D97" w:rsidP="009F7CFF">
            <w:pPr>
              <w:jc w:val="right"/>
              <w:rPr>
                <w:rFonts w:ascii="Arial" w:hAnsi="Arial" w:cs="Arial"/>
                <w:b/>
                <w:bCs/>
                <w:sz w:val="20"/>
                <w:szCs w:val="20"/>
              </w:rPr>
            </w:pPr>
            <w:r>
              <w:rPr>
                <w:rFonts w:ascii="Arial" w:hAnsi="Arial" w:cs="Arial"/>
                <w:b/>
                <w:bCs/>
                <w:sz w:val="20"/>
                <w:szCs w:val="20"/>
              </w:rPr>
              <w:t>2016</w:t>
            </w:r>
          </w:p>
        </w:tc>
        <w:tc>
          <w:tcPr>
            <w:tcW w:w="928" w:type="dxa"/>
            <w:shd w:val="clear" w:color="auto" w:fill="auto"/>
            <w:vAlign w:val="bottom"/>
          </w:tcPr>
          <w:p w:rsidR="009F7CFF" w:rsidRPr="00DE475B" w:rsidRDefault="00213D97" w:rsidP="009F7CFF">
            <w:pPr>
              <w:jc w:val="right"/>
              <w:rPr>
                <w:rFonts w:ascii="Arial" w:hAnsi="Arial" w:cs="Arial"/>
                <w:b/>
                <w:bCs/>
                <w:sz w:val="20"/>
                <w:szCs w:val="20"/>
              </w:rPr>
            </w:pPr>
            <w:r>
              <w:rPr>
                <w:rFonts w:ascii="Arial" w:hAnsi="Arial" w:cs="Arial"/>
                <w:b/>
                <w:bCs/>
                <w:sz w:val="20"/>
                <w:szCs w:val="20"/>
              </w:rPr>
              <w:t>2017</w:t>
            </w:r>
          </w:p>
        </w:tc>
        <w:tc>
          <w:tcPr>
            <w:tcW w:w="928" w:type="dxa"/>
            <w:shd w:val="clear" w:color="auto" w:fill="auto"/>
            <w:vAlign w:val="bottom"/>
          </w:tcPr>
          <w:p w:rsidR="009F7CFF" w:rsidRPr="00DE475B" w:rsidRDefault="00213D97" w:rsidP="009F7CFF">
            <w:pPr>
              <w:jc w:val="right"/>
              <w:rPr>
                <w:rFonts w:ascii="Arial" w:hAnsi="Arial" w:cs="Arial"/>
                <w:b/>
                <w:bCs/>
                <w:sz w:val="20"/>
                <w:szCs w:val="20"/>
              </w:rPr>
            </w:pPr>
            <w:r>
              <w:rPr>
                <w:rFonts w:ascii="Arial" w:hAnsi="Arial" w:cs="Arial"/>
                <w:b/>
                <w:bCs/>
                <w:sz w:val="20"/>
                <w:szCs w:val="20"/>
              </w:rPr>
              <w:t>2016</w:t>
            </w:r>
          </w:p>
        </w:tc>
      </w:tr>
      <w:tr w:rsidR="009F7CFF" w:rsidRPr="00DE475B" w:rsidTr="00DC3CBC">
        <w:trPr>
          <w:trHeight w:val="255"/>
        </w:trPr>
        <w:tc>
          <w:tcPr>
            <w:tcW w:w="529" w:type="dxa"/>
            <w:shd w:val="clear" w:color="auto" w:fill="auto"/>
            <w:vAlign w:val="bottom"/>
          </w:tcPr>
          <w:p w:rsidR="009F7CFF" w:rsidRPr="00DE475B" w:rsidRDefault="009F7CFF" w:rsidP="00704C2E">
            <w:pPr>
              <w:snapToGrid w:val="0"/>
              <w:jc w:val="right"/>
              <w:rPr>
                <w:rFonts w:ascii="Arial" w:hAnsi="Arial" w:cs="Arial"/>
                <w:b/>
                <w:bCs/>
                <w:sz w:val="20"/>
                <w:szCs w:val="20"/>
              </w:rPr>
            </w:pPr>
          </w:p>
        </w:tc>
        <w:tc>
          <w:tcPr>
            <w:tcW w:w="4406" w:type="dxa"/>
            <w:shd w:val="clear" w:color="auto" w:fill="auto"/>
            <w:vAlign w:val="bottom"/>
          </w:tcPr>
          <w:p w:rsidR="009F7CFF" w:rsidRPr="00DE475B" w:rsidRDefault="009F7CFF" w:rsidP="00704C2E">
            <w:pPr>
              <w:snapToGrid w:val="0"/>
              <w:jc w:val="right"/>
              <w:rPr>
                <w:rFonts w:ascii="Arial" w:hAnsi="Arial" w:cs="Arial"/>
                <w:b/>
                <w:bCs/>
                <w:sz w:val="20"/>
                <w:szCs w:val="20"/>
              </w:rPr>
            </w:pPr>
          </w:p>
        </w:tc>
        <w:tc>
          <w:tcPr>
            <w:tcW w:w="928" w:type="dxa"/>
            <w:shd w:val="clear" w:color="auto" w:fill="auto"/>
            <w:vAlign w:val="bottom"/>
          </w:tcPr>
          <w:p w:rsidR="009F7CFF" w:rsidRPr="00DE475B" w:rsidRDefault="009F7CFF" w:rsidP="00704C2E">
            <w:pPr>
              <w:jc w:val="right"/>
              <w:rPr>
                <w:rFonts w:ascii="Arial" w:hAnsi="Arial" w:cs="Arial"/>
                <w:b/>
                <w:bCs/>
                <w:sz w:val="20"/>
                <w:szCs w:val="20"/>
              </w:rPr>
            </w:pPr>
            <w:r w:rsidRPr="00DE475B">
              <w:rPr>
                <w:rFonts w:ascii="Arial" w:hAnsi="Arial" w:cs="Arial"/>
                <w:b/>
                <w:bCs/>
                <w:sz w:val="20"/>
                <w:szCs w:val="20"/>
              </w:rPr>
              <w:t>$'000</w:t>
            </w:r>
          </w:p>
        </w:tc>
        <w:tc>
          <w:tcPr>
            <w:tcW w:w="928" w:type="dxa"/>
            <w:shd w:val="clear" w:color="auto" w:fill="auto"/>
            <w:vAlign w:val="bottom"/>
          </w:tcPr>
          <w:p w:rsidR="009F7CFF" w:rsidRPr="00DE475B" w:rsidRDefault="009F7CFF" w:rsidP="00704C2E">
            <w:pPr>
              <w:jc w:val="right"/>
              <w:rPr>
                <w:rFonts w:ascii="Arial" w:hAnsi="Arial" w:cs="Arial"/>
                <w:b/>
                <w:bCs/>
                <w:sz w:val="20"/>
                <w:szCs w:val="20"/>
              </w:rPr>
            </w:pPr>
            <w:r w:rsidRPr="00DE475B">
              <w:rPr>
                <w:rFonts w:ascii="Arial" w:hAnsi="Arial" w:cs="Arial"/>
                <w:b/>
                <w:bCs/>
                <w:sz w:val="20"/>
                <w:szCs w:val="20"/>
              </w:rPr>
              <w:t>$'000</w:t>
            </w:r>
          </w:p>
        </w:tc>
        <w:tc>
          <w:tcPr>
            <w:tcW w:w="928" w:type="dxa"/>
            <w:shd w:val="clear" w:color="auto" w:fill="auto"/>
            <w:vAlign w:val="bottom"/>
          </w:tcPr>
          <w:p w:rsidR="009F7CFF" w:rsidRPr="00DE475B" w:rsidRDefault="009F7CFF" w:rsidP="00704C2E">
            <w:pPr>
              <w:jc w:val="right"/>
              <w:rPr>
                <w:rFonts w:ascii="Arial" w:hAnsi="Arial" w:cs="Arial"/>
                <w:b/>
                <w:bCs/>
                <w:sz w:val="20"/>
                <w:szCs w:val="20"/>
              </w:rPr>
            </w:pPr>
            <w:r w:rsidRPr="00DE475B">
              <w:rPr>
                <w:rFonts w:ascii="Arial" w:hAnsi="Arial" w:cs="Arial"/>
                <w:b/>
                <w:bCs/>
                <w:sz w:val="20"/>
                <w:szCs w:val="20"/>
              </w:rPr>
              <w:t>$'000</w:t>
            </w:r>
          </w:p>
        </w:tc>
        <w:tc>
          <w:tcPr>
            <w:tcW w:w="928" w:type="dxa"/>
            <w:shd w:val="clear" w:color="auto" w:fill="auto"/>
            <w:vAlign w:val="bottom"/>
          </w:tcPr>
          <w:p w:rsidR="009F7CFF" w:rsidRPr="00DE475B" w:rsidRDefault="009F7CFF" w:rsidP="00704C2E">
            <w:pPr>
              <w:jc w:val="right"/>
              <w:rPr>
                <w:rFonts w:ascii="Arial" w:hAnsi="Arial" w:cs="Arial"/>
                <w:b/>
                <w:bCs/>
                <w:sz w:val="16"/>
                <w:szCs w:val="16"/>
              </w:rPr>
            </w:pPr>
            <w:r w:rsidRPr="00DE475B">
              <w:rPr>
                <w:rFonts w:ascii="Arial" w:hAnsi="Arial" w:cs="Arial"/>
                <w:b/>
                <w:bCs/>
                <w:sz w:val="20"/>
                <w:szCs w:val="20"/>
              </w:rPr>
              <w:t>$'000</w:t>
            </w:r>
          </w:p>
        </w:tc>
      </w:tr>
      <w:tr w:rsidR="009F7CFF" w:rsidRPr="00DE475B" w:rsidTr="00D86878">
        <w:trPr>
          <w:trHeight w:val="195"/>
        </w:trPr>
        <w:tc>
          <w:tcPr>
            <w:tcW w:w="8647" w:type="dxa"/>
            <w:gridSpan w:val="6"/>
            <w:shd w:val="clear" w:color="auto" w:fill="auto"/>
          </w:tcPr>
          <w:p w:rsidR="009F7CFF" w:rsidRPr="00DE475B" w:rsidRDefault="009F7CFF" w:rsidP="009F7CFF">
            <w:pPr>
              <w:rPr>
                <w:rFonts w:ascii="Arial" w:hAnsi="Arial" w:cs="Arial"/>
                <w:b/>
                <w:bCs/>
                <w:sz w:val="20"/>
                <w:szCs w:val="20"/>
              </w:rPr>
            </w:pPr>
          </w:p>
        </w:tc>
      </w:tr>
      <w:tr w:rsidR="00213D97" w:rsidRPr="00DE475B" w:rsidTr="00DC3CBC">
        <w:trPr>
          <w:trHeight w:val="255"/>
        </w:trPr>
        <w:tc>
          <w:tcPr>
            <w:tcW w:w="529" w:type="dxa"/>
            <w:shd w:val="clear" w:color="auto" w:fill="auto"/>
            <w:vAlign w:val="bottom"/>
          </w:tcPr>
          <w:p w:rsidR="00213D97" w:rsidRPr="00DE475B" w:rsidRDefault="00213D97" w:rsidP="00704C2E">
            <w:pPr>
              <w:snapToGrid w:val="0"/>
              <w:rPr>
                <w:rFonts w:ascii="Arial" w:hAnsi="Arial" w:cs="Arial"/>
                <w:b/>
                <w:bCs/>
                <w:sz w:val="20"/>
                <w:szCs w:val="20"/>
              </w:rPr>
            </w:pPr>
          </w:p>
        </w:tc>
        <w:tc>
          <w:tcPr>
            <w:tcW w:w="4406" w:type="dxa"/>
            <w:shd w:val="clear" w:color="auto" w:fill="auto"/>
            <w:vAlign w:val="bottom"/>
          </w:tcPr>
          <w:p w:rsidR="00213D97" w:rsidRPr="00DE475B" w:rsidRDefault="00213D97" w:rsidP="00213D97">
            <w:pPr>
              <w:rPr>
                <w:rFonts w:ascii="Arial" w:hAnsi="Arial" w:cs="Arial"/>
                <w:sz w:val="20"/>
                <w:szCs w:val="20"/>
              </w:rPr>
            </w:pPr>
            <w:r w:rsidRPr="00DE475B">
              <w:rPr>
                <w:rFonts w:ascii="Arial" w:hAnsi="Arial" w:cs="Arial"/>
                <w:sz w:val="20"/>
                <w:szCs w:val="20"/>
              </w:rPr>
              <w:t xml:space="preserve">Operating </w:t>
            </w:r>
            <w:r>
              <w:rPr>
                <w:rFonts w:ascii="Arial" w:hAnsi="Arial" w:cs="Arial"/>
                <w:sz w:val="20"/>
                <w:szCs w:val="20"/>
              </w:rPr>
              <w:t>Surplus</w:t>
            </w:r>
          </w:p>
        </w:tc>
        <w:tc>
          <w:tcPr>
            <w:tcW w:w="928" w:type="dxa"/>
            <w:shd w:val="clear" w:color="auto" w:fill="auto"/>
          </w:tcPr>
          <w:p w:rsidR="00213D97" w:rsidRPr="00DE475B" w:rsidRDefault="007A74C9" w:rsidP="00323AFE">
            <w:pPr>
              <w:jc w:val="right"/>
              <w:rPr>
                <w:rFonts w:ascii="Arial" w:hAnsi="Arial" w:cs="Arial"/>
                <w:sz w:val="20"/>
                <w:szCs w:val="20"/>
              </w:rPr>
            </w:pPr>
            <w:r>
              <w:rPr>
                <w:rFonts w:ascii="Arial" w:hAnsi="Arial" w:cs="Arial"/>
                <w:sz w:val="20"/>
                <w:szCs w:val="20"/>
              </w:rPr>
              <w:t>3,212</w:t>
            </w:r>
          </w:p>
        </w:tc>
        <w:tc>
          <w:tcPr>
            <w:tcW w:w="928" w:type="dxa"/>
            <w:shd w:val="clear" w:color="auto" w:fill="auto"/>
          </w:tcPr>
          <w:p w:rsidR="00213D97" w:rsidRPr="00DE475B" w:rsidRDefault="00213D97" w:rsidP="001F339E">
            <w:pPr>
              <w:jc w:val="right"/>
              <w:rPr>
                <w:rFonts w:ascii="Arial" w:hAnsi="Arial" w:cs="Arial"/>
                <w:sz w:val="20"/>
                <w:szCs w:val="20"/>
              </w:rPr>
            </w:pPr>
            <w:r w:rsidRPr="00DE475B">
              <w:rPr>
                <w:rFonts w:ascii="Arial" w:hAnsi="Arial" w:cs="Arial"/>
                <w:sz w:val="20"/>
                <w:szCs w:val="20"/>
              </w:rPr>
              <w:t xml:space="preserve">2,461 </w:t>
            </w:r>
          </w:p>
        </w:tc>
        <w:tc>
          <w:tcPr>
            <w:tcW w:w="928" w:type="dxa"/>
            <w:shd w:val="clear" w:color="auto" w:fill="auto"/>
          </w:tcPr>
          <w:p w:rsidR="00213D97" w:rsidRPr="00DE475B" w:rsidRDefault="007A74C9" w:rsidP="001F339E">
            <w:pPr>
              <w:jc w:val="right"/>
              <w:rPr>
                <w:rFonts w:ascii="Arial" w:hAnsi="Arial" w:cs="Arial"/>
                <w:sz w:val="20"/>
                <w:szCs w:val="20"/>
              </w:rPr>
            </w:pPr>
            <w:r>
              <w:rPr>
                <w:rFonts w:ascii="Arial" w:hAnsi="Arial" w:cs="Arial"/>
                <w:sz w:val="20"/>
                <w:szCs w:val="20"/>
              </w:rPr>
              <w:t>3,018</w:t>
            </w:r>
          </w:p>
        </w:tc>
        <w:tc>
          <w:tcPr>
            <w:tcW w:w="928" w:type="dxa"/>
            <w:shd w:val="clear" w:color="auto" w:fill="auto"/>
          </w:tcPr>
          <w:p w:rsidR="00213D97" w:rsidRPr="00DE475B" w:rsidRDefault="00213D97" w:rsidP="001F339E">
            <w:pPr>
              <w:jc w:val="right"/>
              <w:rPr>
                <w:rFonts w:ascii="Arial" w:hAnsi="Arial" w:cs="Arial"/>
                <w:sz w:val="20"/>
                <w:szCs w:val="20"/>
              </w:rPr>
            </w:pPr>
            <w:r w:rsidRPr="00DE475B">
              <w:rPr>
                <w:rFonts w:ascii="Arial" w:hAnsi="Arial" w:cs="Arial"/>
                <w:sz w:val="20"/>
                <w:szCs w:val="20"/>
              </w:rPr>
              <w:t xml:space="preserve">2,275 </w:t>
            </w:r>
          </w:p>
        </w:tc>
      </w:tr>
      <w:tr w:rsidR="00213D97" w:rsidRPr="00DE475B" w:rsidTr="00DC3CBC">
        <w:trPr>
          <w:trHeight w:val="139"/>
        </w:trPr>
        <w:tc>
          <w:tcPr>
            <w:tcW w:w="529" w:type="dxa"/>
            <w:shd w:val="clear" w:color="auto" w:fill="auto"/>
            <w:vAlign w:val="bottom"/>
          </w:tcPr>
          <w:p w:rsidR="00213D97" w:rsidRPr="00DE475B" w:rsidRDefault="00213D97" w:rsidP="00704C2E">
            <w:pPr>
              <w:snapToGrid w:val="0"/>
              <w:rPr>
                <w:rFonts w:ascii="Arial" w:hAnsi="Arial" w:cs="Arial"/>
                <w:b/>
                <w:bCs/>
                <w:sz w:val="20"/>
                <w:szCs w:val="20"/>
              </w:rPr>
            </w:pPr>
          </w:p>
        </w:tc>
        <w:tc>
          <w:tcPr>
            <w:tcW w:w="4406" w:type="dxa"/>
            <w:shd w:val="clear" w:color="auto" w:fill="auto"/>
            <w:vAlign w:val="bottom"/>
          </w:tcPr>
          <w:p w:rsidR="00213D97" w:rsidRPr="00DE475B" w:rsidRDefault="00213D97" w:rsidP="00704C2E">
            <w:pPr>
              <w:snapToGrid w:val="0"/>
              <w:rPr>
                <w:rFonts w:ascii="Arial" w:hAnsi="Arial" w:cs="Arial"/>
                <w:sz w:val="20"/>
                <w:szCs w:val="20"/>
              </w:rPr>
            </w:pPr>
          </w:p>
        </w:tc>
        <w:tc>
          <w:tcPr>
            <w:tcW w:w="928" w:type="dxa"/>
            <w:shd w:val="clear" w:color="auto" w:fill="auto"/>
            <w:vAlign w:val="bottom"/>
          </w:tcPr>
          <w:p w:rsidR="00213D97" w:rsidRPr="00DE475B" w:rsidRDefault="00213D97" w:rsidP="00F65482">
            <w:pPr>
              <w:jc w:val="right"/>
              <w:rPr>
                <w:rFonts w:ascii="Arial" w:hAnsi="Arial" w:cs="Arial"/>
                <w:sz w:val="20"/>
                <w:szCs w:val="20"/>
              </w:rPr>
            </w:pPr>
          </w:p>
        </w:tc>
        <w:tc>
          <w:tcPr>
            <w:tcW w:w="928" w:type="dxa"/>
            <w:shd w:val="clear" w:color="auto" w:fill="auto"/>
            <w:vAlign w:val="bottom"/>
          </w:tcPr>
          <w:p w:rsidR="00213D97" w:rsidRPr="00DE475B" w:rsidRDefault="00213D97" w:rsidP="001F339E">
            <w:pPr>
              <w:jc w:val="right"/>
              <w:rPr>
                <w:rFonts w:ascii="Arial" w:hAnsi="Arial" w:cs="Arial"/>
                <w:sz w:val="20"/>
                <w:szCs w:val="20"/>
              </w:rPr>
            </w:pPr>
          </w:p>
        </w:tc>
        <w:tc>
          <w:tcPr>
            <w:tcW w:w="928" w:type="dxa"/>
            <w:shd w:val="clear" w:color="auto" w:fill="auto"/>
            <w:vAlign w:val="bottom"/>
          </w:tcPr>
          <w:p w:rsidR="00213D97" w:rsidRPr="00DE475B" w:rsidRDefault="00213D97" w:rsidP="001F339E">
            <w:pPr>
              <w:jc w:val="right"/>
              <w:rPr>
                <w:rFonts w:ascii="Arial" w:hAnsi="Arial" w:cs="Arial"/>
                <w:sz w:val="20"/>
                <w:szCs w:val="20"/>
              </w:rPr>
            </w:pPr>
          </w:p>
        </w:tc>
        <w:tc>
          <w:tcPr>
            <w:tcW w:w="928" w:type="dxa"/>
            <w:shd w:val="clear" w:color="auto" w:fill="auto"/>
            <w:vAlign w:val="bottom"/>
          </w:tcPr>
          <w:p w:rsidR="00213D97" w:rsidRPr="00DE475B" w:rsidRDefault="00213D97" w:rsidP="001F339E">
            <w:pPr>
              <w:jc w:val="right"/>
              <w:rPr>
                <w:rFonts w:ascii="Arial" w:hAnsi="Arial" w:cs="Arial"/>
                <w:sz w:val="20"/>
                <w:szCs w:val="20"/>
              </w:rPr>
            </w:pPr>
          </w:p>
        </w:tc>
      </w:tr>
      <w:tr w:rsidR="00213D97" w:rsidRPr="00DE475B" w:rsidTr="00DC3CBC">
        <w:trPr>
          <w:trHeight w:val="139"/>
        </w:trPr>
        <w:tc>
          <w:tcPr>
            <w:tcW w:w="529" w:type="dxa"/>
            <w:shd w:val="clear" w:color="auto" w:fill="auto"/>
            <w:vAlign w:val="bottom"/>
          </w:tcPr>
          <w:p w:rsidR="00213D97" w:rsidRPr="00DE475B" w:rsidRDefault="00213D97" w:rsidP="00704C2E">
            <w:pPr>
              <w:snapToGrid w:val="0"/>
              <w:rPr>
                <w:rFonts w:ascii="Arial" w:hAnsi="Arial" w:cs="Arial"/>
                <w:b/>
                <w:bCs/>
                <w:sz w:val="20"/>
                <w:szCs w:val="20"/>
              </w:rPr>
            </w:pPr>
          </w:p>
        </w:tc>
        <w:tc>
          <w:tcPr>
            <w:tcW w:w="4406" w:type="dxa"/>
            <w:shd w:val="clear" w:color="auto" w:fill="auto"/>
            <w:vAlign w:val="bottom"/>
          </w:tcPr>
          <w:p w:rsidR="00213D97" w:rsidRPr="00DE475B" w:rsidRDefault="00213D97" w:rsidP="00213D97">
            <w:pPr>
              <w:rPr>
                <w:rFonts w:ascii="Arial" w:hAnsi="Arial" w:cs="Arial"/>
                <w:sz w:val="20"/>
                <w:szCs w:val="20"/>
              </w:rPr>
            </w:pPr>
            <w:r w:rsidRPr="00213D97">
              <w:rPr>
                <w:rFonts w:ascii="Arial" w:hAnsi="Arial" w:cs="Arial"/>
                <w:i/>
                <w:iCs/>
                <w:sz w:val="20"/>
                <w:szCs w:val="20"/>
              </w:rPr>
              <w:t>Non-cash ite</w:t>
            </w:r>
            <w:r>
              <w:rPr>
                <w:rFonts w:ascii="Arial" w:hAnsi="Arial" w:cs="Arial"/>
                <w:i/>
                <w:iCs/>
                <w:sz w:val="20"/>
                <w:szCs w:val="20"/>
              </w:rPr>
              <w:t>ms included in operating result</w:t>
            </w:r>
          </w:p>
        </w:tc>
        <w:tc>
          <w:tcPr>
            <w:tcW w:w="928" w:type="dxa"/>
            <w:shd w:val="clear" w:color="auto" w:fill="auto"/>
            <w:vAlign w:val="bottom"/>
          </w:tcPr>
          <w:p w:rsidR="00213D97" w:rsidRPr="00DE475B" w:rsidRDefault="00213D97" w:rsidP="00F65482">
            <w:pPr>
              <w:jc w:val="right"/>
              <w:rPr>
                <w:rFonts w:ascii="Arial" w:hAnsi="Arial" w:cs="Arial"/>
                <w:sz w:val="20"/>
                <w:szCs w:val="20"/>
              </w:rPr>
            </w:pPr>
          </w:p>
        </w:tc>
        <w:tc>
          <w:tcPr>
            <w:tcW w:w="928" w:type="dxa"/>
            <w:shd w:val="clear" w:color="auto" w:fill="auto"/>
            <w:vAlign w:val="bottom"/>
          </w:tcPr>
          <w:p w:rsidR="00213D97" w:rsidRPr="00DE475B" w:rsidRDefault="00213D97" w:rsidP="001F339E">
            <w:pPr>
              <w:jc w:val="right"/>
              <w:rPr>
                <w:rFonts w:ascii="Arial" w:hAnsi="Arial" w:cs="Arial"/>
                <w:sz w:val="20"/>
                <w:szCs w:val="20"/>
              </w:rPr>
            </w:pPr>
          </w:p>
        </w:tc>
        <w:tc>
          <w:tcPr>
            <w:tcW w:w="928" w:type="dxa"/>
            <w:shd w:val="clear" w:color="auto" w:fill="auto"/>
            <w:vAlign w:val="bottom"/>
          </w:tcPr>
          <w:p w:rsidR="00213D97" w:rsidRPr="00DE475B" w:rsidRDefault="00213D97" w:rsidP="001F339E">
            <w:pPr>
              <w:jc w:val="right"/>
              <w:rPr>
                <w:rFonts w:ascii="Arial" w:hAnsi="Arial" w:cs="Arial"/>
                <w:sz w:val="20"/>
                <w:szCs w:val="20"/>
              </w:rPr>
            </w:pPr>
          </w:p>
        </w:tc>
        <w:tc>
          <w:tcPr>
            <w:tcW w:w="928" w:type="dxa"/>
            <w:shd w:val="clear" w:color="auto" w:fill="auto"/>
            <w:vAlign w:val="bottom"/>
          </w:tcPr>
          <w:p w:rsidR="00213D97" w:rsidRPr="00DE475B" w:rsidRDefault="00213D97" w:rsidP="001F339E">
            <w:pPr>
              <w:jc w:val="right"/>
              <w:rPr>
                <w:rFonts w:ascii="Arial" w:hAnsi="Arial" w:cs="Arial"/>
                <w:sz w:val="20"/>
                <w:szCs w:val="20"/>
              </w:rPr>
            </w:pPr>
          </w:p>
        </w:tc>
      </w:tr>
      <w:tr w:rsidR="007A74C9" w:rsidRPr="00DE475B" w:rsidTr="00652F6C">
        <w:trPr>
          <w:trHeight w:val="255"/>
        </w:trPr>
        <w:tc>
          <w:tcPr>
            <w:tcW w:w="529" w:type="dxa"/>
            <w:shd w:val="clear" w:color="auto" w:fill="auto"/>
            <w:vAlign w:val="bottom"/>
          </w:tcPr>
          <w:p w:rsidR="007A74C9" w:rsidRPr="00DE475B" w:rsidRDefault="007A74C9" w:rsidP="00704C2E">
            <w:pPr>
              <w:snapToGrid w:val="0"/>
              <w:rPr>
                <w:rFonts w:ascii="Arial" w:hAnsi="Arial" w:cs="Arial"/>
                <w:b/>
                <w:bCs/>
                <w:sz w:val="20"/>
                <w:szCs w:val="20"/>
              </w:rPr>
            </w:pPr>
          </w:p>
        </w:tc>
        <w:tc>
          <w:tcPr>
            <w:tcW w:w="4406" w:type="dxa"/>
            <w:shd w:val="clear" w:color="auto" w:fill="auto"/>
            <w:vAlign w:val="bottom"/>
          </w:tcPr>
          <w:p w:rsidR="007A74C9" w:rsidRPr="00DE475B" w:rsidRDefault="007A74C9" w:rsidP="00704C2E">
            <w:pPr>
              <w:rPr>
                <w:rFonts w:ascii="Arial" w:hAnsi="Arial" w:cs="Arial"/>
                <w:sz w:val="20"/>
                <w:szCs w:val="20"/>
              </w:rPr>
            </w:pPr>
            <w:r w:rsidRPr="00DE475B">
              <w:rPr>
                <w:rFonts w:ascii="Arial" w:hAnsi="Arial" w:cs="Arial"/>
                <w:sz w:val="20"/>
                <w:szCs w:val="20"/>
              </w:rPr>
              <w:t>Depreciation and amortisation expense</w:t>
            </w:r>
          </w:p>
        </w:tc>
        <w:tc>
          <w:tcPr>
            <w:tcW w:w="928" w:type="dxa"/>
            <w:shd w:val="clear" w:color="auto" w:fill="auto"/>
          </w:tcPr>
          <w:p w:rsidR="007A74C9" w:rsidRPr="00DE475B" w:rsidRDefault="007A74C9" w:rsidP="00652F6C">
            <w:pPr>
              <w:jc w:val="right"/>
              <w:rPr>
                <w:rFonts w:ascii="Arial" w:hAnsi="Arial" w:cs="Arial"/>
                <w:sz w:val="20"/>
                <w:szCs w:val="20"/>
              </w:rPr>
            </w:pPr>
            <w:r>
              <w:rPr>
                <w:rFonts w:ascii="Arial" w:hAnsi="Arial" w:cs="Arial"/>
                <w:sz w:val="20"/>
                <w:szCs w:val="20"/>
              </w:rPr>
              <w:t>517</w:t>
            </w:r>
          </w:p>
        </w:tc>
        <w:tc>
          <w:tcPr>
            <w:tcW w:w="928" w:type="dxa"/>
            <w:shd w:val="clear" w:color="auto" w:fill="auto"/>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475 </w:t>
            </w:r>
          </w:p>
        </w:tc>
        <w:tc>
          <w:tcPr>
            <w:tcW w:w="928" w:type="dxa"/>
            <w:shd w:val="clear" w:color="auto" w:fill="auto"/>
          </w:tcPr>
          <w:p w:rsidR="007A74C9" w:rsidRPr="00DE475B" w:rsidRDefault="007A74C9" w:rsidP="00652F6C">
            <w:pPr>
              <w:jc w:val="right"/>
              <w:rPr>
                <w:rFonts w:ascii="Arial" w:hAnsi="Arial" w:cs="Arial"/>
                <w:sz w:val="20"/>
                <w:szCs w:val="20"/>
              </w:rPr>
            </w:pPr>
            <w:r>
              <w:rPr>
                <w:rFonts w:ascii="Arial" w:hAnsi="Arial" w:cs="Arial"/>
                <w:sz w:val="20"/>
                <w:szCs w:val="20"/>
              </w:rPr>
              <w:t>517</w:t>
            </w:r>
          </w:p>
        </w:tc>
        <w:tc>
          <w:tcPr>
            <w:tcW w:w="928" w:type="dxa"/>
            <w:shd w:val="clear" w:color="auto" w:fill="auto"/>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475 </w:t>
            </w:r>
          </w:p>
        </w:tc>
      </w:tr>
      <w:tr w:rsidR="007A74C9" w:rsidRPr="00DE475B" w:rsidTr="00652F6C">
        <w:trPr>
          <w:trHeight w:val="255"/>
        </w:trPr>
        <w:tc>
          <w:tcPr>
            <w:tcW w:w="529" w:type="dxa"/>
            <w:shd w:val="clear" w:color="auto" w:fill="auto"/>
            <w:vAlign w:val="bottom"/>
          </w:tcPr>
          <w:p w:rsidR="007A74C9" w:rsidRPr="00DE475B" w:rsidRDefault="007A74C9" w:rsidP="00704C2E">
            <w:pPr>
              <w:snapToGrid w:val="0"/>
              <w:rPr>
                <w:rFonts w:ascii="Arial" w:hAnsi="Arial" w:cs="Arial"/>
                <w:b/>
                <w:bCs/>
                <w:sz w:val="20"/>
                <w:szCs w:val="20"/>
              </w:rPr>
            </w:pPr>
          </w:p>
        </w:tc>
        <w:tc>
          <w:tcPr>
            <w:tcW w:w="4406" w:type="dxa"/>
            <w:shd w:val="clear" w:color="auto" w:fill="auto"/>
            <w:vAlign w:val="bottom"/>
          </w:tcPr>
          <w:p w:rsidR="007A74C9" w:rsidRPr="00DE475B" w:rsidRDefault="007A74C9" w:rsidP="00704C2E">
            <w:pPr>
              <w:rPr>
                <w:rFonts w:ascii="Arial" w:hAnsi="Arial" w:cs="Arial"/>
                <w:sz w:val="20"/>
                <w:szCs w:val="20"/>
              </w:rPr>
            </w:pPr>
            <w:r w:rsidRPr="00DE475B">
              <w:rPr>
                <w:rFonts w:ascii="Arial" w:hAnsi="Arial" w:cs="Arial"/>
                <w:sz w:val="20"/>
                <w:szCs w:val="20"/>
              </w:rPr>
              <w:t>Donation of intangibles</w:t>
            </w:r>
          </w:p>
        </w:tc>
        <w:tc>
          <w:tcPr>
            <w:tcW w:w="928" w:type="dxa"/>
            <w:shd w:val="clear" w:color="auto" w:fill="auto"/>
          </w:tcPr>
          <w:p w:rsidR="007A74C9" w:rsidRPr="00DE475B" w:rsidRDefault="007A74C9" w:rsidP="00652F6C">
            <w:pPr>
              <w:jc w:val="right"/>
              <w:rPr>
                <w:rFonts w:ascii="Arial" w:hAnsi="Arial" w:cs="Arial"/>
                <w:sz w:val="20"/>
                <w:szCs w:val="20"/>
              </w:rPr>
            </w:pPr>
            <w:r>
              <w:rPr>
                <w:rFonts w:ascii="Arial" w:hAnsi="Arial" w:cs="Arial"/>
                <w:sz w:val="20"/>
                <w:szCs w:val="20"/>
              </w:rPr>
              <w:t>(366)</w:t>
            </w:r>
          </w:p>
        </w:tc>
        <w:tc>
          <w:tcPr>
            <w:tcW w:w="928" w:type="dxa"/>
            <w:shd w:val="clear" w:color="auto" w:fill="auto"/>
          </w:tcPr>
          <w:p w:rsidR="007A74C9" w:rsidRPr="00DE475B" w:rsidRDefault="007A74C9" w:rsidP="001F339E">
            <w:pPr>
              <w:jc w:val="right"/>
              <w:rPr>
                <w:rFonts w:ascii="Arial" w:hAnsi="Arial" w:cs="Arial"/>
                <w:sz w:val="20"/>
                <w:szCs w:val="20"/>
              </w:rPr>
            </w:pPr>
            <w:r w:rsidRPr="00DE475B">
              <w:rPr>
                <w:rFonts w:ascii="Arial" w:hAnsi="Arial" w:cs="Arial"/>
                <w:sz w:val="20"/>
                <w:szCs w:val="20"/>
              </w:rPr>
              <w:t>(1,433)</w:t>
            </w:r>
          </w:p>
        </w:tc>
        <w:tc>
          <w:tcPr>
            <w:tcW w:w="928" w:type="dxa"/>
            <w:shd w:val="clear" w:color="auto" w:fill="auto"/>
          </w:tcPr>
          <w:p w:rsidR="007A74C9" w:rsidRPr="00DE475B" w:rsidRDefault="007A74C9" w:rsidP="00652F6C">
            <w:pPr>
              <w:jc w:val="right"/>
              <w:rPr>
                <w:rFonts w:ascii="Arial" w:hAnsi="Arial" w:cs="Arial"/>
                <w:sz w:val="20"/>
                <w:szCs w:val="20"/>
              </w:rPr>
            </w:pPr>
            <w:r>
              <w:rPr>
                <w:rFonts w:ascii="Arial" w:hAnsi="Arial" w:cs="Arial"/>
                <w:sz w:val="20"/>
                <w:szCs w:val="20"/>
              </w:rPr>
              <w:t>(366)</w:t>
            </w:r>
          </w:p>
        </w:tc>
        <w:tc>
          <w:tcPr>
            <w:tcW w:w="928" w:type="dxa"/>
            <w:shd w:val="clear" w:color="auto" w:fill="auto"/>
          </w:tcPr>
          <w:p w:rsidR="007A74C9" w:rsidRPr="00DE475B" w:rsidRDefault="007A74C9" w:rsidP="001F339E">
            <w:pPr>
              <w:jc w:val="right"/>
              <w:rPr>
                <w:rFonts w:ascii="Arial" w:hAnsi="Arial" w:cs="Arial"/>
                <w:sz w:val="20"/>
                <w:szCs w:val="20"/>
              </w:rPr>
            </w:pPr>
            <w:r w:rsidRPr="00DE475B">
              <w:rPr>
                <w:rFonts w:ascii="Arial" w:hAnsi="Arial" w:cs="Arial"/>
                <w:sz w:val="20"/>
                <w:szCs w:val="20"/>
              </w:rPr>
              <w:t>(1,433)</w:t>
            </w:r>
          </w:p>
        </w:tc>
      </w:tr>
      <w:tr w:rsidR="007A74C9" w:rsidRPr="00DE475B" w:rsidTr="00652F6C">
        <w:trPr>
          <w:trHeight w:val="255"/>
        </w:trPr>
        <w:tc>
          <w:tcPr>
            <w:tcW w:w="529" w:type="dxa"/>
            <w:shd w:val="clear" w:color="auto" w:fill="auto"/>
            <w:vAlign w:val="bottom"/>
          </w:tcPr>
          <w:p w:rsidR="007A74C9" w:rsidRPr="00DE475B" w:rsidRDefault="007A74C9" w:rsidP="00704C2E">
            <w:pPr>
              <w:snapToGrid w:val="0"/>
              <w:rPr>
                <w:rFonts w:ascii="Arial" w:hAnsi="Arial" w:cs="Arial"/>
                <w:b/>
                <w:bCs/>
                <w:sz w:val="20"/>
                <w:szCs w:val="20"/>
              </w:rPr>
            </w:pPr>
          </w:p>
        </w:tc>
        <w:tc>
          <w:tcPr>
            <w:tcW w:w="4406" w:type="dxa"/>
            <w:shd w:val="clear" w:color="auto" w:fill="auto"/>
            <w:vAlign w:val="bottom"/>
          </w:tcPr>
          <w:p w:rsidR="007A74C9" w:rsidRPr="00DE475B" w:rsidRDefault="007A74C9" w:rsidP="00704C2E">
            <w:pPr>
              <w:rPr>
                <w:rFonts w:ascii="Arial" w:hAnsi="Arial" w:cs="Arial"/>
                <w:sz w:val="20"/>
                <w:szCs w:val="20"/>
              </w:rPr>
            </w:pPr>
            <w:r w:rsidRPr="00DE475B">
              <w:rPr>
                <w:rFonts w:ascii="Arial" w:hAnsi="Arial" w:cs="Arial"/>
                <w:sz w:val="20"/>
                <w:szCs w:val="20"/>
              </w:rPr>
              <w:t>Donation of valuables</w:t>
            </w:r>
          </w:p>
        </w:tc>
        <w:tc>
          <w:tcPr>
            <w:tcW w:w="928" w:type="dxa"/>
            <w:shd w:val="clear" w:color="auto" w:fill="auto"/>
          </w:tcPr>
          <w:p w:rsidR="007A74C9" w:rsidRPr="00DE475B" w:rsidRDefault="007A74C9" w:rsidP="00652F6C">
            <w:pPr>
              <w:jc w:val="right"/>
              <w:rPr>
                <w:rFonts w:ascii="Arial" w:hAnsi="Arial" w:cs="Arial"/>
                <w:sz w:val="20"/>
                <w:szCs w:val="20"/>
              </w:rPr>
            </w:pPr>
            <w:r>
              <w:rPr>
                <w:rFonts w:ascii="Arial" w:hAnsi="Arial" w:cs="Arial"/>
                <w:sz w:val="20"/>
                <w:szCs w:val="20"/>
              </w:rPr>
              <w:t>(512)</w:t>
            </w:r>
          </w:p>
        </w:tc>
        <w:tc>
          <w:tcPr>
            <w:tcW w:w="928" w:type="dxa"/>
            <w:shd w:val="clear" w:color="auto" w:fill="auto"/>
          </w:tcPr>
          <w:p w:rsidR="007A74C9" w:rsidRPr="00DE475B" w:rsidRDefault="007A74C9" w:rsidP="001F339E">
            <w:pPr>
              <w:jc w:val="right"/>
              <w:rPr>
                <w:rFonts w:ascii="Arial" w:hAnsi="Arial" w:cs="Arial"/>
                <w:sz w:val="20"/>
                <w:szCs w:val="20"/>
              </w:rPr>
            </w:pPr>
            <w:r w:rsidRPr="00DE475B">
              <w:rPr>
                <w:rFonts w:ascii="Arial" w:hAnsi="Arial" w:cs="Arial"/>
                <w:sz w:val="20"/>
                <w:szCs w:val="20"/>
              </w:rPr>
              <w:t>(470)</w:t>
            </w:r>
          </w:p>
        </w:tc>
        <w:tc>
          <w:tcPr>
            <w:tcW w:w="928" w:type="dxa"/>
            <w:shd w:val="clear" w:color="auto" w:fill="auto"/>
          </w:tcPr>
          <w:p w:rsidR="007A74C9" w:rsidRPr="00DE475B" w:rsidRDefault="007A74C9" w:rsidP="00652F6C">
            <w:pPr>
              <w:jc w:val="right"/>
              <w:rPr>
                <w:rFonts w:ascii="Arial" w:hAnsi="Arial" w:cs="Arial"/>
                <w:sz w:val="20"/>
                <w:szCs w:val="20"/>
              </w:rPr>
            </w:pPr>
            <w:r>
              <w:rPr>
                <w:rFonts w:ascii="Arial" w:hAnsi="Arial" w:cs="Arial"/>
                <w:sz w:val="20"/>
                <w:szCs w:val="20"/>
              </w:rPr>
              <w:t>(512)</w:t>
            </w:r>
          </w:p>
        </w:tc>
        <w:tc>
          <w:tcPr>
            <w:tcW w:w="928" w:type="dxa"/>
            <w:shd w:val="clear" w:color="auto" w:fill="auto"/>
          </w:tcPr>
          <w:p w:rsidR="007A74C9" w:rsidRPr="00DE475B" w:rsidRDefault="007A74C9" w:rsidP="001F339E">
            <w:pPr>
              <w:jc w:val="right"/>
              <w:rPr>
                <w:rFonts w:ascii="Arial" w:hAnsi="Arial" w:cs="Arial"/>
                <w:sz w:val="20"/>
                <w:szCs w:val="20"/>
              </w:rPr>
            </w:pPr>
            <w:r w:rsidRPr="00DE475B">
              <w:rPr>
                <w:rFonts w:ascii="Arial" w:hAnsi="Arial" w:cs="Arial"/>
                <w:sz w:val="20"/>
                <w:szCs w:val="20"/>
              </w:rPr>
              <w:t>(470)</w:t>
            </w:r>
          </w:p>
        </w:tc>
      </w:tr>
      <w:tr w:rsidR="007A74C9" w:rsidRPr="00DE475B" w:rsidTr="00652F6C">
        <w:trPr>
          <w:trHeight w:val="255"/>
        </w:trPr>
        <w:tc>
          <w:tcPr>
            <w:tcW w:w="529" w:type="dxa"/>
            <w:shd w:val="clear" w:color="auto" w:fill="auto"/>
            <w:vAlign w:val="bottom"/>
          </w:tcPr>
          <w:p w:rsidR="007A74C9" w:rsidRPr="00DE475B" w:rsidRDefault="007A74C9" w:rsidP="00704C2E">
            <w:pPr>
              <w:snapToGrid w:val="0"/>
              <w:rPr>
                <w:rFonts w:ascii="Arial" w:hAnsi="Arial" w:cs="Arial"/>
                <w:b/>
                <w:bCs/>
                <w:sz w:val="20"/>
                <w:szCs w:val="20"/>
              </w:rPr>
            </w:pPr>
          </w:p>
        </w:tc>
        <w:tc>
          <w:tcPr>
            <w:tcW w:w="4406" w:type="dxa"/>
            <w:shd w:val="clear" w:color="auto" w:fill="auto"/>
            <w:vAlign w:val="bottom"/>
          </w:tcPr>
          <w:p w:rsidR="007A74C9" w:rsidRPr="00DE475B" w:rsidRDefault="007A74C9" w:rsidP="00704C2E">
            <w:pPr>
              <w:rPr>
                <w:rFonts w:ascii="Arial" w:eastAsia="Arial" w:hAnsi="Arial" w:cs="Arial"/>
                <w:sz w:val="20"/>
                <w:szCs w:val="20"/>
              </w:rPr>
            </w:pPr>
            <w:r w:rsidRPr="00DE475B">
              <w:rPr>
                <w:rFonts w:ascii="Arial" w:hAnsi="Arial" w:cs="Arial"/>
                <w:sz w:val="20"/>
                <w:szCs w:val="20"/>
              </w:rPr>
              <w:t>Loss on disposal of assets</w:t>
            </w:r>
          </w:p>
        </w:tc>
        <w:tc>
          <w:tcPr>
            <w:tcW w:w="928" w:type="dxa"/>
            <w:shd w:val="clear" w:color="auto" w:fill="auto"/>
          </w:tcPr>
          <w:p w:rsidR="007A74C9" w:rsidRPr="00DE475B" w:rsidRDefault="007A74C9" w:rsidP="00652F6C">
            <w:pPr>
              <w:jc w:val="right"/>
              <w:rPr>
                <w:rFonts w:ascii="Arial" w:hAnsi="Arial" w:cs="Arial"/>
                <w:sz w:val="20"/>
                <w:szCs w:val="20"/>
              </w:rPr>
            </w:pPr>
            <w:r>
              <w:rPr>
                <w:rFonts w:ascii="Arial" w:hAnsi="Arial" w:cs="Arial"/>
                <w:sz w:val="20"/>
                <w:szCs w:val="20"/>
              </w:rPr>
              <w:t>2</w:t>
            </w:r>
          </w:p>
        </w:tc>
        <w:tc>
          <w:tcPr>
            <w:tcW w:w="928" w:type="dxa"/>
            <w:shd w:val="clear" w:color="auto" w:fill="auto"/>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12 </w:t>
            </w:r>
          </w:p>
        </w:tc>
        <w:tc>
          <w:tcPr>
            <w:tcW w:w="928" w:type="dxa"/>
            <w:shd w:val="clear" w:color="auto" w:fill="auto"/>
          </w:tcPr>
          <w:p w:rsidR="007A74C9" w:rsidRPr="00DE475B" w:rsidRDefault="007A74C9" w:rsidP="00652F6C">
            <w:pPr>
              <w:jc w:val="right"/>
              <w:rPr>
                <w:rFonts w:ascii="Arial" w:hAnsi="Arial" w:cs="Arial"/>
                <w:sz w:val="20"/>
                <w:szCs w:val="20"/>
              </w:rPr>
            </w:pPr>
            <w:r>
              <w:rPr>
                <w:rFonts w:ascii="Arial" w:hAnsi="Arial" w:cs="Arial"/>
                <w:sz w:val="20"/>
                <w:szCs w:val="20"/>
              </w:rPr>
              <w:t>2</w:t>
            </w:r>
          </w:p>
        </w:tc>
        <w:tc>
          <w:tcPr>
            <w:tcW w:w="928" w:type="dxa"/>
            <w:shd w:val="clear" w:color="auto" w:fill="auto"/>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12 </w:t>
            </w:r>
          </w:p>
        </w:tc>
      </w:tr>
      <w:tr w:rsidR="007A74C9" w:rsidRPr="00DE475B" w:rsidTr="00DC3CBC">
        <w:trPr>
          <w:trHeight w:val="139"/>
        </w:trPr>
        <w:tc>
          <w:tcPr>
            <w:tcW w:w="529" w:type="dxa"/>
            <w:shd w:val="clear" w:color="auto" w:fill="auto"/>
            <w:vAlign w:val="bottom"/>
          </w:tcPr>
          <w:p w:rsidR="007A74C9" w:rsidRPr="00DE475B" w:rsidRDefault="007A74C9" w:rsidP="00704C2E">
            <w:pPr>
              <w:snapToGrid w:val="0"/>
              <w:rPr>
                <w:rFonts w:ascii="Arial" w:hAnsi="Arial" w:cs="Arial"/>
                <w:b/>
                <w:bCs/>
                <w:sz w:val="20"/>
                <w:szCs w:val="20"/>
              </w:rPr>
            </w:pPr>
          </w:p>
        </w:tc>
        <w:tc>
          <w:tcPr>
            <w:tcW w:w="4406" w:type="dxa"/>
            <w:shd w:val="clear" w:color="auto" w:fill="auto"/>
            <w:vAlign w:val="bottom"/>
          </w:tcPr>
          <w:p w:rsidR="007A74C9" w:rsidRPr="00DE475B" w:rsidRDefault="007A74C9" w:rsidP="00704C2E">
            <w:pPr>
              <w:snapToGrid w:val="0"/>
              <w:rPr>
                <w:rFonts w:ascii="Arial" w:hAnsi="Arial" w:cs="Arial"/>
                <w:sz w:val="20"/>
                <w:szCs w:val="20"/>
              </w:rPr>
            </w:pPr>
          </w:p>
        </w:tc>
        <w:tc>
          <w:tcPr>
            <w:tcW w:w="928" w:type="dxa"/>
            <w:shd w:val="clear" w:color="auto" w:fill="auto"/>
            <w:vAlign w:val="bottom"/>
          </w:tcPr>
          <w:p w:rsidR="007A74C9" w:rsidRPr="00DE475B" w:rsidRDefault="007A74C9" w:rsidP="00704C2E">
            <w:pPr>
              <w:rPr>
                <w:rFonts w:ascii="Arial" w:hAnsi="Arial" w:cs="Arial"/>
                <w:sz w:val="20"/>
                <w:szCs w:val="20"/>
              </w:rPr>
            </w:pPr>
          </w:p>
        </w:tc>
        <w:tc>
          <w:tcPr>
            <w:tcW w:w="928" w:type="dxa"/>
            <w:shd w:val="clear" w:color="auto" w:fill="auto"/>
            <w:vAlign w:val="bottom"/>
          </w:tcPr>
          <w:p w:rsidR="007A74C9" w:rsidRPr="00DE475B" w:rsidRDefault="007A74C9" w:rsidP="001F339E">
            <w:pPr>
              <w:rPr>
                <w:rFonts w:ascii="Arial" w:hAnsi="Arial" w:cs="Arial"/>
                <w:sz w:val="20"/>
                <w:szCs w:val="20"/>
              </w:rPr>
            </w:pPr>
          </w:p>
        </w:tc>
        <w:tc>
          <w:tcPr>
            <w:tcW w:w="928" w:type="dxa"/>
            <w:shd w:val="clear" w:color="auto" w:fill="auto"/>
            <w:vAlign w:val="bottom"/>
          </w:tcPr>
          <w:p w:rsidR="007A74C9" w:rsidRPr="00DE475B" w:rsidRDefault="007A74C9" w:rsidP="001F339E">
            <w:pPr>
              <w:rPr>
                <w:rFonts w:ascii="Arial" w:hAnsi="Arial" w:cs="Arial"/>
                <w:sz w:val="20"/>
                <w:szCs w:val="20"/>
              </w:rPr>
            </w:pPr>
          </w:p>
        </w:tc>
        <w:tc>
          <w:tcPr>
            <w:tcW w:w="928" w:type="dxa"/>
            <w:shd w:val="clear" w:color="auto" w:fill="auto"/>
            <w:vAlign w:val="bottom"/>
          </w:tcPr>
          <w:p w:rsidR="007A74C9" w:rsidRPr="00DE475B" w:rsidRDefault="007A74C9" w:rsidP="001F339E">
            <w:pPr>
              <w:rPr>
                <w:rFonts w:ascii="Arial" w:hAnsi="Arial" w:cs="Arial"/>
                <w:sz w:val="20"/>
                <w:szCs w:val="20"/>
              </w:rPr>
            </w:pPr>
          </w:p>
        </w:tc>
      </w:tr>
      <w:tr w:rsidR="007A74C9" w:rsidRPr="00DE475B" w:rsidTr="00DC3CBC">
        <w:trPr>
          <w:trHeight w:val="255"/>
        </w:trPr>
        <w:tc>
          <w:tcPr>
            <w:tcW w:w="529" w:type="dxa"/>
            <w:shd w:val="clear" w:color="auto" w:fill="auto"/>
            <w:vAlign w:val="bottom"/>
          </w:tcPr>
          <w:p w:rsidR="007A74C9" w:rsidRPr="00DE475B" w:rsidRDefault="007A74C9" w:rsidP="00704C2E">
            <w:pPr>
              <w:snapToGrid w:val="0"/>
              <w:rPr>
                <w:rFonts w:ascii="Arial" w:hAnsi="Arial" w:cs="Arial"/>
                <w:b/>
                <w:bCs/>
                <w:sz w:val="20"/>
                <w:szCs w:val="20"/>
              </w:rPr>
            </w:pPr>
          </w:p>
        </w:tc>
        <w:tc>
          <w:tcPr>
            <w:tcW w:w="4406" w:type="dxa"/>
            <w:shd w:val="clear" w:color="auto" w:fill="auto"/>
            <w:vAlign w:val="bottom"/>
          </w:tcPr>
          <w:p w:rsidR="007A74C9" w:rsidRPr="00DE475B" w:rsidRDefault="007A74C9" w:rsidP="00704C2E">
            <w:pPr>
              <w:rPr>
                <w:rFonts w:ascii="Arial" w:hAnsi="Arial" w:cs="Arial"/>
                <w:sz w:val="20"/>
                <w:szCs w:val="20"/>
              </w:rPr>
            </w:pPr>
            <w:r w:rsidRPr="00DE475B">
              <w:rPr>
                <w:rFonts w:ascii="Arial" w:hAnsi="Arial" w:cs="Arial"/>
                <w:i/>
                <w:iCs/>
                <w:sz w:val="20"/>
                <w:szCs w:val="20"/>
              </w:rPr>
              <w:t>Changes in assets and liabilities</w:t>
            </w:r>
          </w:p>
        </w:tc>
        <w:tc>
          <w:tcPr>
            <w:tcW w:w="928" w:type="dxa"/>
            <w:shd w:val="clear" w:color="auto" w:fill="auto"/>
            <w:vAlign w:val="bottom"/>
          </w:tcPr>
          <w:p w:rsidR="007A74C9" w:rsidRPr="00DE475B" w:rsidRDefault="007A74C9" w:rsidP="00704C2E">
            <w:pPr>
              <w:rPr>
                <w:rFonts w:ascii="Arial" w:hAnsi="Arial" w:cs="Arial"/>
                <w:sz w:val="20"/>
                <w:szCs w:val="20"/>
              </w:rPr>
            </w:pPr>
          </w:p>
        </w:tc>
        <w:tc>
          <w:tcPr>
            <w:tcW w:w="928" w:type="dxa"/>
            <w:shd w:val="clear" w:color="auto" w:fill="auto"/>
            <w:vAlign w:val="bottom"/>
          </w:tcPr>
          <w:p w:rsidR="007A74C9" w:rsidRPr="00DE475B" w:rsidRDefault="007A74C9" w:rsidP="001F339E">
            <w:pPr>
              <w:rPr>
                <w:rFonts w:ascii="Arial" w:hAnsi="Arial" w:cs="Arial"/>
                <w:sz w:val="20"/>
                <w:szCs w:val="20"/>
              </w:rPr>
            </w:pPr>
          </w:p>
        </w:tc>
        <w:tc>
          <w:tcPr>
            <w:tcW w:w="928" w:type="dxa"/>
            <w:shd w:val="clear" w:color="auto" w:fill="auto"/>
            <w:vAlign w:val="bottom"/>
          </w:tcPr>
          <w:p w:rsidR="007A74C9" w:rsidRPr="00DE475B" w:rsidRDefault="007A74C9" w:rsidP="001F339E">
            <w:pPr>
              <w:rPr>
                <w:rFonts w:ascii="Arial" w:hAnsi="Arial" w:cs="Arial"/>
                <w:sz w:val="20"/>
                <w:szCs w:val="20"/>
              </w:rPr>
            </w:pPr>
          </w:p>
        </w:tc>
        <w:tc>
          <w:tcPr>
            <w:tcW w:w="928" w:type="dxa"/>
            <w:shd w:val="clear" w:color="auto" w:fill="auto"/>
            <w:vAlign w:val="bottom"/>
          </w:tcPr>
          <w:p w:rsidR="007A74C9" w:rsidRPr="00DE475B" w:rsidRDefault="007A74C9" w:rsidP="001F339E">
            <w:pPr>
              <w:rPr>
                <w:rFonts w:ascii="Arial" w:hAnsi="Arial" w:cs="Arial"/>
                <w:sz w:val="20"/>
                <w:szCs w:val="20"/>
              </w:rPr>
            </w:pPr>
          </w:p>
        </w:tc>
      </w:tr>
      <w:tr w:rsidR="007A74C9" w:rsidRPr="00DE475B" w:rsidTr="00DC3CBC">
        <w:trPr>
          <w:trHeight w:val="255"/>
        </w:trPr>
        <w:tc>
          <w:tcPr>
            <w:tcW w:w="529" w:type="dxa"/>
            <w:shd w:val="clear" w:color="auto" w:fill="auto"/>
            <w:vAlign w:val="bottom"/>
          </w:tcPr>
          <w:p w:rsidR="007A74C9" w:rsidRPr="00DE475B" w:rsidRDefault="007A74C9" w:rsidP="00704C2E">
            <w:pPr>
              <w:snapToGrid w:val="0"/>
              <w:rPr>
                <w:rFonts w:ascii="Arial" w:hAnsi="Arial" w:cs="Arial"/>
                <w:b/>
                <w:bCs/>
                <w:sz w:val="20"/>
                <w:szCs w:val="20"/>
              </w:rPr>
            </w:pPr>
          </w:p>
        </w:tc>
        <w:tc>
          <w:tcPr>
            <w:tcW w:w="4406" w:type="dxa"/>
            <w:shd w:val="clear" w:color="auto" w:fill="auto"/>
            <w:vAlign w:val="bottom"/>
          </w:tcPr>
          <w:p w:rsidR="007A74C9" w:rsidRPr="00DE475B" w:rsidRDefault="007A74C9" w:rsidP="00704C2E">
            <w:pPr>
              <w:rPr>
                <w:rFonts w:ascii="Arial" w:hAnsi="Arial" w:cs="Arial"/>
                <w:sz w:val="20"/>
                <w:szCs w:val="20"/>
              </w:rPr>
            </w:pPr>
            <w:r>
              <w:rPr>
                <w:rFonts w:ascii="Arial" w:hAnsi="Arial" w:cs="Arial"/>
                <w:sz w:val="20"/>
                <w:szCs w:val="20"/>
              </w:rPr>
              <w:t>D</w:t>
            </w:r>
            <w:r w:rsidRPr="00DE475B">
              <w:rPr>
                <w:rFonts w:ascii="Arial" w:hAnsi="Arial" w:cs="Arial"/>
                <w:sz w:val="20"/>
                <w:szCs w:val="20"/>
              </w:rPr>
              <w:t>ecrease in GST input tax credits receivable</w:t>
            </w:r>
          </w:p>
        </w:tc>
        <w:tc>
          <w:tcPr>
            <w:tcW w:w="928" w:type="dxa"/>
            <w:shd w:val="clear" w:color="auto" w:fill="auto"/>
            <w:vAlign w:val="center"/>
          </w:tcPr>
          <w:p w:rsidR="007A74C9" w:rsidRPr="00DE475B" w:rsidRDefault="007A74C9" w:rsidP="00F65482">
            <w:pPr>
              <w:jc w:val="right"/>
              <w:rPr>
                <w:rFonts w:ascii="Arial" w:hAnsi="Arial" w:cs="Arial"/>
                <w:sz w:val="20"/>
                <w:szCs w:val="20"/>
              </w:rPr>
            </w:pPr>
            <w:r>
              <w:rPr>
                <w:rFonts w:ascii="Arial" w:hAnsi="Arial" w:cs="Arial"/>
                <w:sz w:val="20"/>
                <w:szCs w:val="20"/>
              </w:rPr>
              <w:t>40</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60 </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Pr>
                <w:rFonts w:ascii="Arial" w:hAnsi="Arial" w:cs="Arial"/>
                <w:sz w:val="20"/>
                <w:szCs w:val="20"/>
              </w:rPr>
              <w:t>51</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60 </w:t>
            </w:r>
          </w:p>
        </w:tc>
      </w:tr>
      <w:tr w:rsidR="007A74C9" w:rsidRPr="00DE475B" w:rsidTr="00DC3CBC">
        <w:trPr>
          <w:trHeight w:val="255"/>
        </w:trPr>
        <w:tc>
          <w:tcPr>
            <w:tcW w:w="529" w:type="dxa"/>
            <w:shd w:val="clear" w:color="auto" w:fill="auto"/>
            <w:vAlign w:val="bottom"/>
          </w:tcPr>
          <w:p w:rsidR="007A74C9" w:rsidRPr="00DE475B" w:rsidRDefault="007A74C9" w:rsidP="00704C2E">
            <w:pPr>
              <w:snapToGrid w:val="0"/>
              <w:rPr>
                <w:rFonts w:ascii="Arial" w:hAnsi="Arial" w:cs="Arial"/>
                <w:b/>
                <w:bCs/>
                <w:sz w:val="20"/>
                <w:szCs w:val="20"/>
              </w:rPr>
            </w:pPr>
          </w:p>
        </w:tc>
        <w:tc>
          <w:tcPr>
            <w:tcW w:w="4406" w:type="dxa"/>
            <w:shd w:val="clear" w:color="auto" w:fill="auto"/>
            <w:vAlign w:val="bottom"/>
          </w:tcPr>
          <w:p w:rsidR="007A74C9" w:rsidRPr="00DE475B" w:rsidRDefault="007A74C9" w:rsidP="00704C2E">
            <w:pPr>
              <w:rPr>
                <w:rFonts w:ascii="Arial" w:hAnsi="Arial" w:cs="Arial"/>
                <w:sz w:val="20"/>
                <w:szCs w:val="20"/>
              </w:rPr>
            </w:pPr>
            <w:r w:rsidRPr="00DE475B">
              <w:rPr>
                <w:rFonts w:ascii="Arial" w:hAnsi="Arial" w:cs="Arial"/>
                <w:sz w:val="20"/>
                <w:szCs w:val="20"/>
              </w:rPr>
              <w:t>Decrease in LSL reimbursement receivable</w:t>
            </w:r>
          </w:p>
        </w:tc>
        <w:tc>
          <w:tcPr>
            <w:tcW w:w="928" w:type="dxa"/>
            <w:shd w:val="clear" w:color="auto" w:fill="auto"/>
            <w:vAlign w:val="center"/>
          </w:tcPr>
          <w:p w:rsidR="007A74C9" w:rsidRPr="00DE475B" w:rsidRDefault="007A74C9" w:rsidP="00F65482">
            <w:pPr>
              <w:jc w:val="right"/>
              <w:rPr>
                <w:rFonts w:ascii="Arial" w:hAnsi="Arial" w:cs="Arial"/>
                <w:sz w:val="20"/>
                <w:szCs w:val="20"/>
              </w:rPr>
            </w:pPr>
            <w:r>
              <w:rPr>
                <w:rFonts w:ascii="Arial" w:hAnsi="Arial" w:cs="Arial"/>
                <w:sz w:val="20"/>
                <w:szCs w:val="20"/>
              </w:rPr>
              <w:t>26</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66 </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Pr>
                <w:rFonts w:ascii="Arial" w:hAnsi="Arial" w:cs="Arial"/>
                <w:sz w:val="20"/>
                <w:szCs w:val="20"/>
              </w:rPr>
              <w:t>26</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66 </w:t>
            </w:r>
          </w:p>
        </w:tc>
      </w:tr>
      <w:tr w:rsidR="007A74C9" w:rsidRPr="00DE475B" w:rsidTr="00DC3CBC">
        <w:trPr>
          <w:trHeight w:val="255"/>
        </w:trPr>
        <w:tc>
          <w:tcPr>
            <w:tcW w:w="529" w:type="dxa"/>
            <w:shd w:val="clear" w:color="auto" w:fill="auto"/>
            <w:vAlign w:val="bottom"/>
          </w:tcPr>
          <w:p w:rsidR="007A74C9" w:rsidRPr="00DE475B" w:rsidRDefault="007A74C9" w:rsidP="00704C2E">
            <w:pPr>
              <w:snapToGrid w:val="0"/>
              <w:rPr>
                <w:rFonts w:ascii="Arial" w:hAnsi="Arial" w:cs="Arial"/>
                <w:b/>
                <w:bCs/>
                <w:sz w:val="20"/>
                <w:szCs w:val="20"/>
              </w:rPr>
            </w:pPr>
          </w:p>
        </w:tc>
        <w:tc>
          <w:tcPr>
            <w:tcW w:w="4406" w:type="dxa"/>
            <w:shd w:val="clear" w:color="auto" w:fill="auto"/>
            <w:vAlign w:val="bottom"/>
          </w:tcPr>
          <w:p w:rsidR="007A74C9" w:rsidRPr="00DE475B" w:rsidRDefault="007A74C9" w:rsidP="00704C2E">
            <w:pPr>
              <w:rPr>
                <w:rFonts w:ascii="Arial" w:hAnsi="Arial" w:cs="Arial"/>
                <w:sz w:val="20"/>
                <w:szCs w:val="20"/>
              </w:rPr>
            </w:pPr>
            <w:r w:rsidRPr="00DE475B">
              <w:rPr>
                <w:rFonts w:ascii="Arial" w:hAnsi="Arial" w:cs="Arial"/>
                <w:sz w:val="20"/>
                <w:szCs w:val="20"/>
              </w:rPr>
              <w:t>(Increase)/decrease in other receivables</w:t>
            </w:r>
          </w:p>
        </w:tc>
        <w:tc>
          <w:tcPr>
            <w:tcW w:w="928" w:type="dxa"/>
            <w:shd w:val="clear" w:color="auto" w:fill="auto"/>
            <w:vAlign w:val="center"/>
          </w:tcPr>
          <w:p w:rsidR="007A74C9" w:rsidRPr="00DE475B" w:rsidRDefault="007A74C9" w:rsidP="00F65482">
            <w:pPr>
              <w:jc w:val="right"/>
              <w:rPr>
                <w:rFonts w:ascii="Arial" w:hAnsi="Arial" w:cs="Arial"/>
                <w:sz w:val="20"/>
                <w:szCs w:val="20"/>
              </w:rPr>
            </w:pPr>
            <w:r>
              <w:rPr>
                <w:rFonts w:ascii="Arial" w:hAnsi="Arial" w:cs="Arial"/>
                <w:sz w:val="20"/>
                <w:szCs w:val="20"/>
              </w:rPr>
              <w:t>419</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(800)</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Pr>
                <w:rFonts w:ascii="Arial" w:hAnsi="Arial" w:cs="Arial"/>
                <w:sz w:val="20"/>
                <w:szCs w:val="20"/>
              </w:rPr>
              <w:t>320</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(793)</w:t>
            </w:r>
          </w:p>
        </w:tc>
      </w:tr>
      <w:tr w:rsidR="007A74C9" w:rsidRPr="00DE475B" w:rsidTr="00DC3CBC">
        <w:trPr>
          <w:trHeight w:val="255"/>
        </w:trPr>
        <w:tc>
          <w:tcPr>
            <w:tcW w:w="529" w:type="dxa"/>
            <w:shd w:val="clear" w:color="auto" w:fill="auto"/>
            <w:vAlign w:val="bottom"/>
          </w:tcPr>
          <w:p w:rsidR="007A74C9" w:rsidRPr="00DE475B" w:rsidRDefault="007A74C9" w:rsidP="00704C2E">
            <w:pPr>
              <w:snapToGrid w:val="0"/>
              <w:rPr>
                <w:rFonts w:ascii="Arial" w:hAnsi="Arial" w:cs="Arial"/>
                <w:b/>
                <w:bCs/>
                <w:sz w:val="20"/>
                <w:szCs w:val="20"/>
              </w:rPr>
            </w:pPr>
          </w:p>
        </w:tc>
        <w:tc>
          <w:tcPr>
            <w:tcW w:w="4406" w:type="dxa"/>
            <w:shd w:val="clear" w:color="auto" w:fill="auto"/>
            <w:vAlign w:val="bottom"/>
          </w:tcPr>
          <w:p w:rsidR="007A74C9" w:rsidRPr="00DE475B" w:rsidRDefault="007A74C9" w:rsidP="00704C2E">
            <w:pPr>
              <w:rPr>
                <w:rFonts w:ascii="Arial" w:hAnsi="Arial" w:cs="Arial"/>
                <w:sz w:val="20"/>
                <w:szCs w:val="20"/>
              </w:rPr>
            </w:pPr>
            <w:r w:rsidRPr="00DE475B">
              <w:rPr>
                <w:rFonts w:ascii="Arial" w:hAnsi="Arial" w:cs="Arial"/>
                <w:sz w:val="20"/>
                <w:szCs w:val="20"/>
              </w:rPr>
              <w:t>(Increase) in inventories</w:t>
            </w:r>
          </w:p>
        </w:tc>
        <w:tc>
          <w:tcPr>
            <w:tcW w:w="928" w:type="dxa"/>
            <w:shd w:val="clear" w:color="auto" w:fill="auto"/>
            <w:vAlign w:val="center"/>
          </w:tcPr>
          <w:p w:rsidR="007A74C9" w:rsidRPr="00DE475B" w:rsidRDefault="007A74C9" w:rsidP="00F65482">
            <w:pPr>
              <w:jc w:val="right"/>
              <w:rPr>
                <w:rFonts w:ascii="Arial" w:hAnsi="Arial" w:cs="Arial"/>
                <w:sz w:val="20"/>
                <w:szCs w:val="20"/>
              </w:rPr>
            </w:pPr>
            <w:r>
              <w:rPr>
                <w:rFonts w:ascii="Arial" w:hAnsi="Arial" w:cs="Arial"/>
                <w:sz w:val="20"/>
                <w:szCs w:val="20"/>
              </w:rPr>
              <w:t>90</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(55)</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Pr>
                <w:rFonts w:ascii="Arial" w:hAnsi="Arial" w:cs="Arial"/>
                <w:sz w:val="20"/>
                <w:szCs w:val="20"/>
              </w:rPr>
              <w:t>90</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(55)</w:t>
            </w:r>
          </w:p>
        </w:tc>
      </w:tr>
      <w:tr w:rsidR="007A74C9" w:rsidRPr="00DE475B" w:rsidTr="00DC3CBC">
        <w:trPr>
          <w:trHeight w:val="255"/>
        </w:trPr>
        <w:tc>
          <w:tcPr>
            <w:tcW w:w="529" w:type="dxa"/>
            <w:shd w:val="clear" w:color="auto" w:fill="auto"/>
            <w:vAlign w:val="bottom"/>
          </w:tcPr>
          <w:p w:rsidR="007A74C9" w:rsidRPr="00DE475B" w:rsidRDefault="007A74C9" w:rsidP="00704C2E">
            <w:pPr>
              <w:snapToGrid w:val="0"/>
              <w:rPr>
                <w:rFonts w:ascii="Arial" w:hAnsi="Arial" w:cs="Arial"/>
                <w:b/>
                <w:bCs/>
                <w:sz w:val="20"/>
                <w:szCs w:val="20"/>
              </w:rPr>
            </w:pPr>
          </w:p>
        </w:tc>
        <w:tc>
          <w:tcPr>
            <w:tcW w:w="4406" w:type="dxa"/>
            <w:shd w:val="clear" w:color="auto" w:fill="auto"/>
            <w:vAlign w:val="bottom"/>
          </w:tcPr>
          <w:p w:rsidR="007A74C9" w:rsidRPr="00DE475B" w:rsidRDefault="007A74C9" w:rsidP="00E47203">
            <w:pPr>
              <w:rPr>
                <w:rFonts w:ascii="Arial" w:hAnsi="Arial" w:cs="Arial"/>
                <w:sz w:val="20"/>
                <w:szCs w:val="20"/>
              </w:rPr>
            </w:pPr>
            <w:r w:rsidRPr="00DE475B">
              <w:rPr>
                <w:rFonts w:ascii="Arial" w:hAnsi="Arial" w:cs="Arial"/>
                <w:sz w:val="20"/>
                <w:szCs w:val="20"/>
              </w:rPr>
              <w:t>(Increase)/decrease in prepayments</w:t>
            </w:r>
          </w:p>
        </w:tc>
        <w:tc>
          <w:tcPr>
            <w:tcW w:w="928" w:type="dxa"/>
            <w:shd w:val="clear" w:color="auto" w:fill="auto"/>
            <w:vAlign w:val="center"/>
          </w:tcPr>
          <w:p w:rsidR="007A74C9" w:rsidRPr="00DE475B" w:rsidRDefault="007A74C9" w:rsidP="00F65482">
            <w:pPr>
              <w:jc w:val="right"/>
              <w:rPr>
                <w:rFonts w:ascii="Arial" w:hAnsi="Arial" w:cs="Arial"/>
                <w:sz w:val="20"/>
                <w:szCs w:val="20"/>
              </w:rPr>
            </w:pPr>
            <w:r>
              <w:rPr>
                <w:rFonts w:ascii="Arial" w:hAnsi="Arial" w:cs="Arial"/>
                <w:sz w:val="20"/>
                <w:szCs w:val="20"/>
              </w:rPr>
              <w:t>50</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(194)</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Pr>
                <w:rFonts w:ascii="Arial" w:hAnsi="Arial" w:cs="Arial"/>
                <w:sz w:val="20"/>
                <w:szCs w:val="20"/>
              </w:rPr>
              <w:t>50</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(194)</w:t>
            </w:r>
          </w:p>
        </w:tc>
      </w:tr>
      <w:tr w:rsidR="007A74C9" w:rsidRPr="00DE475B" w:rsidTr="00DC3CBC">
        <w:trPr>
          <w:trHeight w:val="255"/>
        </w:trPr>
        <w:tc>
          <w:tcPr>
            <w:tcW w:w="529" w:type="dxa"/>
            <w:shd w:val="clear" w:color="auto" w:fill="auto"/>
            <w:vAlign w:val="bottom"/>
          </w:tcPr>
          <w:p w:rsidR="007A74C9" w:rsidRPr="00DE475B" w:rsidRDefault="007A74C9" w:rsidP="00704C2E">
            <w:pPr>
              <w:snapToGrid w:val="0"/>
              <w:rPr>
                <w:rFonts w:ascii="Arial" w:hAnsi="Arial" w:cs="Arial"/>
                <w:b/>
                <w:bCs/>
                <w:sz w:val="20"/>
                <w:szCs w:val="20"/>
              </w:rPr>
            </w:pPr>
          </w:p>
        </w:tc>
        <w:tc>
          <w:tcPr>
            <w:tcW w:w="4406" w:type="dxa"/>
            <w:shd w:val="clear" w:color="auto" w:fill="auto"/>
            <w:vAlign w:val="bottom"/>
          </w:tcPr>
          <w:p w:rsidR="007A74C9" w:rsidRPr="00DE475B" w:rsidRDefault="007A74C9" w:rsidP="00323AFE">
            <w:pPr>
              <w:rPr>
                <w:rFonts w:ascii="Arial" w:hAnsi="Arial" w:cs="Arial"/>
                <w:sz w:val="20"/>
                <w:szCs w:val="20"/>
              </w:rPr>
            </w:pPr>
            <w:r w:rsidRPr="00DE475B">
              <w:rPr>
                <w:rFonts w:ascii="Arial" w:hAnsi="Arial" w:cs="Arial"/>
                <w:sz w:val="20"/>
                <w:szCs w:val="20"/>
              </w:rPr>
              <w:t>Increase/(decrease) in accounts payable</w:t>
            </w:r>
          </w:p>
        </w:tc>
        <w:tc>
          <w:tcPr>
            <w:tcW w:w="928" w:type="dxa"/>
            <w:shd w:val="clear" w:color="auto" w:fill="auto"/>
            <w:vAlign w:val="center"/>
          </w:tcPr>
          <w:p w:rsidR="007A74C9" w:rsidRPr="00DE475B" w:rsidRDefault="007A74C9" w:rsidP="00F65482">
            <w:pPr>
              <w:jc w:val="right"/>
              <w:rPr>
                <w:rFonts w:ascii="Arial" w:hAnsi="Arial" w:cs="Arial"/>
                <w:sz w:val="20"/>
                <w:szCs w:val="20"/>
              </w:rPr>
            </w:pPr>
            <w:r>
              <w:rPr>
                <w:rFonts w:ascii="Arial" w:hAnsi="Arial" w:cs="Arial"/>
                <w:sz w:val="20"/>
                <w:szCs w:val="20"/>
              </w:rPr>
              <w:t>(103)</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305 </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Pr>
                <w:rFonts w:ascii="Arial" w:hAnsi="Arial" w:cs="Arial"/>
                <w:sz w:val="20"/>
                <w:szCs w:val="20"/>
              </w:rPr>
              <w:t>(51)</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302 </w:t>
            </w:r>
          </w:p>
        </w:tc>
      </w:tr>
      <w:tr w:rsidR="007A74C9" w:rsidRPr="00DE475B" w:rsidTr="00DC3CBC">
        <w:trPr>
          <w:trHeight w:val="255"/>
        </w:trPr>
        <w:tc>
          <w:tcPr>
            <w:tcW w:w="529" w:type="dxa"/>
            <w:shd w:val="clear" w:color="auto" w:fill="auto"/>
            <w:vAlign w:val="bottom"/>
          </w:tcPr>
          <w:p w:rsidR="007A74C9" w:rsidRPr="00DE475B" w:rsidRDefault="007A74C9" w:rsidP="00704C2E">
            <w:pPr>
              <w:snapToGrid w:val="0"/>
              <w:rPr>
                <w:rFonts w:ascii="Arial" w:hAnsi="Arial" w:cs="Arial"/>
                <w:b/>
                <w:bCs/>
                <w:sz w:val="20"/>
                <w:szCs w:val="20"/>
              </w:rPr>
            </w:pPr>
          </w:p>
        </w:tc>
        <w:tc>
          <w:tcPr>
            <w:tcW w:w="4406" w:type="dxa"/>
            <w:shd w:val="clear" w:color="auto" w:fill="auto"/>
            <w:vAlign w:val="bottom"/>
          </w:tcPr>
          <w:p w:rsidR="007A74C9" w:rsidRPr="00DE475B" w:rsidRDefault="007A74C9" w:rsidP="009F7CFF">
            <w:pPr>
              <w:rPr>
                <w:rFonts w:ascii="Arial" w:hAnsi="Arial" w:cs="Arial"/>
                <w:sz w:val="20"/>
                <w:szCs w:val="20"/>
              </w:rPr>
            </w:pPr>
            <w:r w:rsidRPr="00DE475B">
              <w:rPr>
                <w:rFonts w:ascii="Arial" w:hAnsi="Arial" w:cs="Arial"/>
                <w:sz w:val="20"/>
                <w:szCs w:val="20"/>
              </w:rPr>
              <w:t xml:space="preserve">Increase/(decrease) in unearned revenue </w:t>
            </w:r>
          </w:p>
        </w:tc>
        <w:tc>
          <w:tcPr>
            <w:tcW w:w="928" w:type="dxa"/>
            <w:shd w:val="clear" w:color="auto" w:fill="auto"/>
            <w:vAlign w:val="center"/>
          </w:tcPr>
          <w:p w:rsidR="007A74C9" w:rsidRPr="00DE475B" w:rsidRDefault="007A74C9" w:rsidP="00F65482">
            <w:pPr>
              <w:jc w:val="right"/>
              <w:rPr>
                <w:rFonts w:ascii="Arial" w:hAnsi="Arial" w:cs="Arial"/>
                <w:sz w:val="20"/>
                <w:szCs w:val="20"/>
              </w:rPr>
            </w:pPr>
            <w:r>
              <w:rPr>
                <w:rFonts w:ascii="Arial" w:hAnsi="Arial" w:cs="Arial"/>
                <w:sz w:val="20"/>
                <w:szCs w:val="20"/>
              </w:rPr>
              <w:t>(160)</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118 </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Pr>
                <w:rFonts w:ascii="Arial" w:hAnsi="Arial" w:cs="Arial"/>
                <w:sz w:val="20"/>
                <w:szCs w:val="20"/>
              </w:rPr>
              <w:t>(160)</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118 </w:t>
            </w:r>
          </w:p>
        </w:tc>
      </w:tr>
      <w:tr w:rsidR="007A74C9" w:rsidRPr="00DE475B" w:rsidTr="00DC3CBC">
        <w:trPr>
          <w:trHeight w:val="255"/>
        </w:trPr>
        <w:tc>
          <w:tcPr>
            <w:tcW w:w="529" w:type="dxa"/>
            <w:shd w:val="clear" w:color="auto" w:fill="auto"/>
            <w:vAlign w:val="bottom"/>
          </w:tcPr>
          <w:p w:rsidR="007A74C9" w:rsidRPr="00DE475B" w:rsidRDefault="007A74C9" w:rsidP="00704C2E">
            <w:pPr>
              <w:snapToGrid w:val="0"/>
              <w:rPr>
                <w:rFonts w:ascii="Arial" w:hAnsi="Arial" w:cs="Arial"/>
                <w:b/>
                <w:bCs/>
                <w:sz w:val="20"/>
                <w:szCs w:val="20"/>
              </w:rPr>
            </w:pPr>
          </w:p>
        </w:tc>
        <w:tc>
          <w:tcPr>
            <w:tcW w:w="4406" w:type="dxa"/>
            <w:shd w:val="clear" w:color="auto" w:fill="auto"/>
            <w:vAlign w:val="bottom"/>
          </w:tcPr>
          <w:p w:rsidR="007A74C9" w:rsidRPr="00DE475B" w:rsidRDefault="007A74C9" w:rsidP="00704C2E">
            <w:pPr>
              <w:rPr>
                <w:rFonts w:ascii="Arial" w:hAnsi="Arial" w:cs="Arial"/>
                <w:sz w:val="20"/>
                <w:szCs w:val="20"/>
              </w:rPr>
            </w:pPr>
            <w:r w:rsidRPr="00DE475B">
              <w:rPr>
                <w:rFonts w:ascii="Arial" w:hAnsi="Arial" w:cs="Arial"/>
                <w:sz w:val="20"/>
                <w:szCs w:val="20"/>
              </w:rPr>
              <w:t>Increase/(decrease) in accrued employee benefits</w:t>
            </w:r>
          </w:p>
        </w:tc>
        <w:tc>
          <w:tcPr>
            <w:tcW w:w="928" w:type="dxa"/>
            <w:shd w:val="clear" w:color="auto" w:fill="auto"/>
            <w:vAlign w:val="center"/>
          </w:tcPr>
          <w:p w:rsidR="007A74C9" w:rsidRPr="00DE475B" w:rsidRDefault="007A74C9" w:rsidP="00F65482">
            <w:pPr>
              <w:jc w:val="right"/>
              <w:rPr>
                <w:rFonts w:ascii="Arial" w:hAnsi="Arial" w:cs="Arial"/>
                <w:sz w:val="20"/>
                <w:szCs w:val="20"/>
              </w:rPr>
            </w:pPr>
            <w:r>
              <w:rPr>
                <w:rFonts w:ascii="Arial" w:hAnsi="Arial" w:cs="Arial"/>
                <w:sz w:val="20"/>
                <w:szCs w:val="20"/>
              </w:rPr>
              <w:t>(12)</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234 </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Pr>
                <w:rFonts w:ascii="Arial" w:hAnsi="Arial" w:cs="Arial"/>
                <w:sz w:val="20"/>
                <w:szCs w:val="20"/>
              </w:rPr>
              <w:t>(12)</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xml:space="preserve">234 </w:t>
            </w:r>
          </w:p>
        </w:tc>
      </w:tr>
      <w:tr w:rsidR="007A74C9" w:rsidRPr="00DE475B" w:rsidTr="00DC3CBC">
        <w:trPr>
          <w:trHeight w:val="255"/>
        </w:trPr>
        <w:tc>
          <w:tcPr>
            <w:tcW w:w="529" w:type="dxa"/>
            <w:shd w:val="clear" w:color="auto" w:fill="auto"/>
            <w:vAlign w:val="bottom"/>
          </w:tcPr>
          <w:p w:rsidR="007A74C9" w:rsidRPr="00DE475B" w:rsidRDefault="007A74C9" w:rsidP="00704C2E">
            <w:pPr>
              <w:snapToGrid w:val="0"/>
              <w:rPr>
                <w:rFonts w:ascii="Arial" w:hAnsi="Arial" w:cs="Arial"/>
                <w:b/>
                <w:bCs/>
                <w:sz w:val="20"/>
                <w:szCs w:val="20"/>
              </w:rPr>
            </w:pPr>
          </w:p>
        </w:tc>
        <w:tc>
          <w:tcPr>
            <w:tcW w:w="4406" w:type="dxa"/>
            <w:shd w:val="clear" w:color="auto" w:fill="auto"/>
            <w:vAlign w:val="bottom"/>
          </w:tcPr>
          <w:p w:rsidR="007A74C9" w:rsidRPr="00DE475B" w:rsidRDefault="007A74C9" w:rsidP="00704C2E">
            <w:pPr>
              <w:rPr>
                <w:rFonts w:ascii="Arial" w:hAnsi="Arial" w:cs="Arial"/>
                <w:sz w:val="20"/>
                <w:szCs w:val="20"/>
              </w:rPr>
            </w:pPr>
            <w:r w:rsidRPr="00DE475B">
              <w:rPr>
                <w:rFonts w:ascii="Arial" w:hAnsi="Arial" w:cs="Arial"/>
                <w:sz w:val="20"/>
                <w:szCs w:val="20"/>
              </w:rPr>
              <w:t>Increase/(decrease) in GST payable</w:t>
            </w:r>
          </w:p>
        </w:tc>
        <w:tc>
          <w:tcPr>
            <w:tcW w:w="928" w:type="dxa"/>
            <w:shd w:val="clear" w:color="auto" w:fill="auto"/>
            <w:vAlign w:val="center"/>
          </w:tcPr>
          <w:p w:rsidR="007A74C9" w:rsidRPr="00DE475B" w:rsidRDefault="007A74C9" w:rsidP="00F65482">
            <w:pPr>
              <w:jc w:val="right"/>
              <w:rPr>
                <w:rFonts w:ascii="Arial" w:hAnsi="Arial" w:cs="Arial"/>
                <w:sz w:val="20"/>
                <w:szCs w:val="20"/>
              </w:rPr>
            </w:pPr>
            <w:r>
              <w:rPr>
                <w:rFonts w:ascii="Arial" w:hAnsi="Arial" w:cs="Arial"/>
                <w:sz w:val="20"/>
                <w:szCs w:val="20"/>
              </w:rPr>
              <w:t>5</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(1)</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Pr>
                <w:rFonts w:ascii="Arial" w:hAnsi="Arial" w:cs="Arial"/>
                <w:sz w:val="20"/>
                <w:szCs w:val="20"/>
              </w:rPr>
              <w:t>(29)</w:t>
            </w:r>
          </w:p>
        </w:tc>
        <w:tc>
          <w:tcPr>
            <w:tcW w:w="928" w:type="dxa"/>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2</w:t>
            </w:r>
          </w:p>
        </w:tc>
      </w:tr>
      <w:tr w:rsidR="007A74C9" w:rsidRPr="00DE475B" w:rsidTr="00DC3CBC">
        <w:trPr>
          <w:trHeight w:val="139"/>
        </w:trPr>
        <w:tc>
          <w:tcPr>
            <w:tcW w:w="529" w:type="dxa"/>
            <w:shd w:val="clear" w:color="auto" w:fill="auto"/>
            <w:vAlign w:val="bottom"/>
          </w:tcPr>
          <w:p w:rsidR="007A74C9" w:rsidRPr="00DE475B" w:rsidRDefault="007A74C9" w:rsidP="00704C2E">
            <w:pPr>
              <w:snapToGrid w:val="0"/>
              <w:rPr>
                <w:rFonts w:ascii="Arial" w:hAnsi="Arial" w:cs="Arial"/>
                <w:b/>
                <w:bCs/>
                <w:sz w:val="20"/>
                <w:szCs w:val="20"/>
              </w:rPr>
            </w:pPr>
          </w:p>
        </w:tc>
        <w:tc>
          <w:tcPr>
            <w:tcW w:w="4406" w:type="dxa"/>
            <w:shd w:val="clear" w:color="auto" w:fill="auto"/>
            <w:vAlign w:val="bottom"/>
          </w:tcPr>
          <w:p w:rsidR="007A74C9" w:rsidRPr="00DE475B" w:rsidRDefault="007A74C9" w:rsidP="00704C2E">
            <w:pPr>
              <w:snapToGrid w:val="0"/>
              <w:rPr>
                <w:rFonts w:ascii="Arial" w:hAnsi="Arial" w:cs="Arial"/>
                <w:sz w:val="20"/>
                <w:szCs w:val="20"/>
              </w:rPr>
            </w:pPr>
          </w:p>
        </w:tc>
        <w:tc>
          <w:tcPr>
            <w:tcW w:w="928" w:type="dxa"/>
            <w:tcBorders>
              <w:bottom w:val="single" w:sz="8" w:space="0" w:color="000000"/>
            </w:tcBorders>
            <w:shd w:val="clear" w:color="auto" w:fill="auto"/>
            <w:vAlign w:val="center"/>
          </w:tcPr>
          <w:p w:rsidR="007A74C9" w:rsidRPr="00DE475B" w:rsidRDefault="007A74C9" w:rsidP="00F65482">
            <w:pPr>
              <w:jc w:val="right"/>
              <w:rPr>
                <w:rFonts w:ascii="Arial" w:hAnsi="Arial" w:cs="Arial"/>
                <w:sz w:val="20"/>
                <w:szCs w:val="20"/>
              </w:rPr>
            </w:pPr>
          </w:p>
        </w:tc>
        <w:tc>
          <w:tcPr>
            <w:tcW w:w="928" w:type="dxa"/>
            <w:tcBorders>
              <w:bottom w:val="single" w:sz="8" w:space="0" w:color="000000"/>
            </w:tcBorders>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w:t>
            </w:r>
          </w:p>
        </w:tc>
        <w:tc>
          <w:tcPr>
            <w:tcW w:w="928" w:type="dxa"/>
            <w:tcBorders>
              <w:bottom w:val="single" w:sz="8" w:space="0" w:color="000000"/>
            </w:tcBorders>
            <w:shd w:val="clear" w:color="auto" w:fill="auto"/>
            <w:vAlign w:val="center"/>
          </w:tcPr>
          <w:p w:rsidR="007A74C9" w:rsidRPr="00DE475B" w:rsidRDefault="007A74C9" w:rsidP="001F339E">
            <w:pPr>
              <w:jc w:val="right"/>
              <w:rPr>
                <w:rFonts w:ascii="Arial" w:hAnsi="Arial" w:cs="Arial"/>
                <w:sz w:val="20"/>
                <w:szCs w:val="20"/>
              </w:rPr>
            </w:pPr>
          </w:p>
        </w:tc>
        <w:tc>
          <w:tcPr>
            <w:tcW w:w="928" w:type="dxa"/>
            <w:tcBorders>
              <w:bottom w:val="single" w:sz="8" w:space="0" w:color="000000"/>
            </w:tcBorders>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 </w:t>
            </w:r>
          </w:p>
        </w:tc>
      </w:tr>
      <w:tr w:rsidR="007A74C9" w:rsidRPr="00DE475B" w:rsidTr="00DC3CBC">
        <w:trPr>
          <w:trHeight w:val="255"/>
        </w:trPr>
        <w:tc>
          <w:tcPr>
            <w:tcW w:w="529" w:type="dxa"/>
            <w:shd w:val="clear" w:color="auto" w:fill="auto"/>
            <w:vAlign w:val="bottom"/>
          </w:tcPr>
          <w:p w:rsidR="007A74C9" w:rsidRPr="00DE475B" w:rsidRDefault="007A74C9" w:rsidP="00704C2E">
            <w:pPr>
              <w:snapToGrid w:val="0"/>
              <w:rPr>
                <w:rFonts w:ascii="Arial" w:hAnsi="Arial" w:cs="Arial"/>
                <w:b/>
                <w:bCs/>
                <w:sz w:val="20"/>
                <w:szCs w:val="20"/>
              </w:rPr>
            </w:pPr>
          </w:p>
        </w:tc>
        <w:tc>
          <w:tcPr>
            <w:tcW w:w="4406" w:type="dxa"/>
            <w:shd w:val="clear" w:color="auto" w:fill="auto"/>
            <w:vAlign w:val="bottom"/>
          </w:tcPr>
          <w:p w:rsidR="007A74C9" w:rsidRPr="00DE475B" w:rsidRDefault="007A74C9" w:rsidP="00704C2E">
            <w:pPr>
              <w:rPr>
                <w:rFonts w:ascii="Arial" w:hAnsi="Arial" w:cs="Arial"/>
                <w:sz w:val="20"/>
                <w:szCs w:val="20"/>
              </w:rPr>
            </w:pPr>
            <w:r w:rsidRPr="00DE475B">
              <w:rPr>
                <w:rFonts w:ascii="Arial" w:hAnsi="Arial" w:cs="Arial"/>
                <w:b/>
                <w:bCs/>
                <w:sz w:val="20"/>
                <w:szCs w:val="20"/>
              </w:rPr>
              <w:t>Net cash provided by operating activities</w:t>
            </w:r>
          </w:p>
        </w:tc>
        <w:tc>
          <w:tcPr>
            <w:tcW w:w="928" w:type="dxa"/>
            <w:tcBorders>
              <w:top w:val="single" w:sz="8" w:space="0" w:color="000000"/>
              <w:bottom w:val="single" w:sz="12" w:space="0" w:color="000000"/>
            </w:tcBorders>
            <w:shd w:val="clear" w:color="auto" w:fill="auto"/>
            <w:vAlign w:val="center"/>
          </w:tcPr>
          <w:p w:rsidR="007A74C9" w:rsidRPr="00DE475B" w:rsidRDefault="007A74C9" w:rsidP="00323AFE">
            <w:pPr>
              <w:jc w:val="right"/>
              <w:rPr>
                <w:rFonts w:ascii="Arial" w:hAnsi="Arial" w:cs="Arial"/>
                <w:sz w:val="20"/>
                <w:szCs w:val="20"/>
              </w:rPr>
            </w:pPr>
            <w:r>
              <w:rPr>
                <w:rFonts w:ascii="Arial" w:hAnsi="Arial" w:cs="Arial"/>
                <w:sz w:val="20"/>
                <w:szCs w:val="20"/>
              </w:rPr>
              <w:t>3,208</w:t>
            </w:r>
          </w:p>
        </w:tc>
        <w:tc>
          <w:tcPr>
            <w:tcW w:w="928" w:type="dxa"/>
            <w:tcBorders>
              <w:top w:val="single" w:sz="8" w:space="0" w:color="000000"/>
              <w:bottom w:val="single" w:sz="12" w:space="0" w:color="000000"/>
            </w:tcBorders>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778</w:t>
            </w:r>
          </w:p>
        </w:tc>
        <w:tc>
          <w:tcPr>
            <w:tcW w:w="928" w:type="dxa"/>
            <w:tcBorders>
              <w:top w:val="single" w:sz="8" w:space="0" w:color="000000"/>
              <w:bottom w:val="single" w:sz="12" w:space="0" w:color="000000"/>
            </w:tcBorders>
            <w:shd w:val="clear" w:color="auto" w:fill="auto"/>
            <w:vAlign w:val="center"/>
          </w:tcPr>
          <w:p w:rsidR="007A74C9" w:rsidRPr="00DE475B" w:rsidRDefault="007A74C9" w:rsidP="001F339E">
            <w:pPr>
              <w:jc w:val="right"/>
              <w:rPr>
                <w:rFonts w:ascii="Arial" w:hAnsi="Arial" w:cs="Arial"/>
                <w:sz w:val="20"/>
                <w:szCs w:val="20"/>
              </w:rPr>
            </w:pPr>
            <w:r>
              <w:rPr>
                <w:rFonts w:ascii="Arial" w:hAnsi="Arial" w:cs="Arial"/>
                <w:sz w:val="20"/>
                <w:szCs w:val="20"/>
              </w:rPr>
              <w:t>2,944</w:t>
            </w:r>
          </w:p>
        </w:tc>
        <w:tc>
          <w:tcPr>
            <w:tcW w:w="928" w:type="dxa"/>
            <w:tcBorders>
              <w:top w:val="single" w:sz="8" w:space="0" w:color="000000"/>
              <w:bottom w:val="single" w:sz="12" w:space="0" w:color="000000"/>
            </w:tcBorders>
            <w:shd w:val="clear" w:color="auto" w:fill="auto"/>
            <w:vAlign w:val="center"/>
          </w:tcPr>
          <w:p w:rsidR="007A74C9" w:rsidRPr="00DE475B" w:rsidRDefault="007A74C9" w:rsidP="001F339E">
            <w:pPr>
              <w:jc w:val="right"/>
              <w:rPr>
                <w:rFonts w:ascii="Arial" w:hAnsi="Arial" w:cs="Arial"/>
                <w:sz w:val="20"/>
                <w:szCs w:val="20"/>
              </w:rPr>
            </w:pPr>
            <w:r w:rsidRPr="00DE475B">
              <w:rPr>
                <w:rFonts w:ascii="Arial" w:hAnsi="Arial" w:cs="Arial"/>
                <w:sz w:val="20"/>
                <w:szCs w:val="20"/>
              </w:rPr>
              <w:t>599</w:t>
            </w:r>
          </w:p>
        </w:tc>
      </w:tr>
    </w:tbl>
    <w:p w:rsidR="009F7CFF" w:rsidRPr="00DE475B" w:rsidRDefault="009F7CFF">
      <w:pPr>
        <w:pStyle w:val="ARbodytext"/>
        <w:rPr>
          <w:rFonts w:eastAsia="Times New Roman"/>
          <w:b/>
          <w:bCs/>
          <w:sz w:val="24"/>
          <w:szCs w:val="24"/>
          <w:lang w:eastAsia="en-US"/>
        </w:rPr>
      </w:pPr>
    </w:p>
    <w:p w:rsidR="0011727D" w:rsidRPr="0011727D" w:rsidRDefault="0011727D" w:rsidP="00704C2E">
      <w:pPr>
        <w:pStyle w:val="ARbodytext"/>
        <w:rPr>
          <w:b/>
          <w:bCs/>
        </w:rPr>
      </w:pPr>
      <w:r w:rsidRPr="0011727D">
        <w:rPr>
          <w:b/>
          <w:bCs/>
        </w:rPr>
        <w:t>CF-2   Non-Cash Investing and Financing Activities</w:t>
      </w:r>
    </w:p>
    <w:p w:rsidR="00704C2E" w:rsidRPr="00DE475B" w:rsidRDefault="0011727D" w:rsidP="00704C2E">
      <w:pPr>
        <w:pStyle w:val="ARbodytext"/>
        <w:rPr>
          <w:b/>
          <w:bCs/>
        </w:rPr>
      </w:pPr>
      <w:r w:rsidRPr="0011727D">
        <w:rPr>
          <w:rFonts w:eastAsia="Times New Roman"/>
        </w:rPr>
        <w:t>Assets and liabilities received or donated/transferred by the Library Board are recognised as revenue or expenses (refer B1-2 and B2-2) as applicable.</w:t>
      </w:r>
      <w:r w:rsidR="00704C2E" w:rsidRPr="00DE475B">
        <w:rPr>
          <w:b/>
          <w:bCs/>
          <w:i/>
          <w:iCs/>
        </w:rPr>
        <w:br w:type="page"/>
      </w:r>
      <w:r w:rsidR="00704C2E" w:rsidRPr="00DE475B">
        <w:rPr>
          <w:b/>
          <w:bCs/>
          <w:i/>
          <w:iCs/>
        </w:rPr>
        <w:lastRenderedPageBreak/>
        <w:t>Library Board of Queensland and controlled entities</w:t>
      </w:r>
    </w:p>
    <w:p w:rsidR="00704C2E" w:rsidRPr="00DE475B" w:rsidRDefault="00373FFE" w:rsidP="00704C2E">
      <w:r w:rsidRPr="00DE475B">
        <w:rPr>
          <w:noProof/>
          <w:lang w:eastAsia="en-AU"/>
        </w:rPr>
        <mc:AlternateContent>
          <mc:Choice Requires="wps">
            <w:drawing>
              <wp:anchor distT="0" distB="0" distL="114300" distR="114300" simplePos="0" relativeHeight="251631616" behindDoc="0" locked="0" layoutInCell="1" allowOverlap="1" wp14:anchorId="43365A0C" wp14:editId="17295428">
                <wp:simplePos x="0" y="0"/>
                <wp:positionH relativeFrom="column">
                  <wp:posOffset>-66040</wp:posOffset>
                </wp:positionH>
                <wp:positionV relativeFrom="paragraph">
                  <wp:posOffset>-222250</wp:posOffset>
                </wp:positionV>
                <wp:extent cx="5573395" cy="0"/>
                <wp:effectExtent l="13970" t="9525" r="13335" b="9525"/>
                <wp:wrapNone/>
                <wp:docPr id="26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yLnAIAAHsFAAAOAAAAZHJzL2Uyb0RvYy54bWysVFFvmzAQfp+0/2D5nQIBEoJKppaQvXRb&#10;pXbas2ObYA1sZrsh1bT/vrOTsKZ7maYmEvLZd+fv7vvO1x8OfYf2XBuhZInjqwgjLqliQu5K/PVx&#10;E+QYGUskI52SvMTP3OAPq/fvrseh4DPVqo5xjSCJNMU4lLi1dijC0NCW98RcqYFLOGyU7okFU+9C&#10;pskI2fsunEXRPByVZoNWlBsDu+vjIV75/E3Dqf3SNIZb1JUYsFn/1f67dd9wdU2KnSZDK+gJBvkP&#10;FD0REi6dUq2JJehJi79S9YJqZVRjr6jqQ9U0gnJfA1QTR6+qeWjJwH0t0BwzTG0yb5eWft7fayRY&#10;iWfzGUaS9EDSnZAcxVnuujMOpgCnSt5rVx89yIfhTtHvBklVtUTuuEf5+DxAYOwiwosQZ5gB7tiO&#10;nxQDH/JklW/VodG9SwlNQAfPyPPECD9YRGEzyxZJsswwouezkBTnwEEb+5GrHrlFiTtA7ROT/Z2x&#10;Dggpzi7uHqk2ous84Z1EY4mXyRwkQQnIzvzwkUZ1gjkv52/0blt1Gu2J047/+fLg5KVbLywouBN9&#10;ifPJiRQtJ6yWzF9nieiOa4DUSZece20ecYJ1sLD0+1C4183PZbSs8zpPg3Q2r4M0Wq+Dm02VBvNN&#10;vMjWybqq1vEvhzpOi1YwxqUDftZwnP6bRk7TdFTfpOKpVeFldt9TAHuJ9GaTRYs0yYPFIkuCNKmj&#10;4DbfVMFNFc/ni/q2uq1fIa199eZtwE6tdKjUE7Dx0LIRMeFEkWTLWYzBgJmfLY78INLt4LGiVmOk&#10;lf0mbOs17NTnclwQn0fufyJ+yn5sxJlDZ00snGr70yrg/MyvHw03Dce52ir2fK/PIwMT7oNOr5F7&#10;Ql7asH75Zq5+AwAA//8DAFBLAwQUAAYACAAAACEA3tirZ+AAAAALAQAADwAAAGRycy9kb3ducmV2&#10;LnhtbEyPQUvDQBCF74L/YRnBi7SbmlhLzKaIIB4Eaaso3rbZMRvMzobdbRP/vSMIepuZ93jzvWo9&#10;uV4cMcTOk4LFPAOB1HjTUavg5fl+tgIRkyaje0+o4AsjrOvTk0qXxo+0xeMutYJDKJZagU1pKKWM&#10;jUWn49wPSKx9+OB04jW00gQ9crjr5WWWLaXTHfEHqwe8s9h87g5OwVMYu5jyothgen99eHyzmwu3&#10;Ver8bLq9AZFwSn9m+MFndKiZae8PZKLoFcwWWcFWHvIrLsWO1fI6B7H/vci6kv871N8AAAD//wMA&#10;UEsBAi0AFAAGAAgAAAAhALaDOJL+AAAA4QEAABMAAAAAAAAAAAAAAAAAAAAAAFtDb250ZW50X1R5&#10;cGVzXS54bWxQSwECLQAUAAYACAAAACEAOP0h/9YAAACUAQAACwAAAAAAAAAAAAAAAAAvAQAAX3Jl&#10;bHMvLnJlbHNQSwECLQAUAAYACAAAACEAoRq8i5wCAAB7BQAADgAAAAAAAAAAAAAAAAAuAgAAZHJz&#10;L2Uyb0RvYy54bWxQSwECLQAUAAYACAAAACEA3tirZ+AAAAALAQAADwAAAAAAAAAAAAAAAAD2BAAA&#10;ZHJzL2Rvd25yZXYueG1sUEsFBgAAAAAEAAQA8wAAAAMGAAAAAA==&#10;" strokeweight=".26mm">
                <v:stroke joinstyle="miter" endcap="square"/>
              </v:line>
            </w:pict>
          </mc:Fallback>
        </mc:AlternateContent>
      </w:r>
      <w:r w:rsidR="00657BE9">
        <w:rPr>
          <w:rFonts w:ascii="Arial" w:hAnsi="Arial" w:cs="Arial"/>
          <w:b/>
          <w:bCs/>
          <w:sz w:val="20"/>
          <w:szCs w:val="20"/>
        </w:rPr>
        <w:t>For the year ended 30 June 2017</w:t>
      </w:r>
    </w:p>
    <w:p w:rsidR="00704C2E" w:rsidRPr="00DE475B" w:rsidRDefault="00373FFE" w:rsidP="00704C2E">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630592" behindDoc="0" locked="0" layoutInCell="1" allowOverlap="1" wp14:anchorId="278E352F" wp14:editId="159B1DD3">
                <wp:simplePos x="0" y="0"/>
                <wp:positionH relativeFrom="column">
                  <wp:posOffset>-66040</wp:posOffset>
                </wp:positionH>
                <wp:positionV relativeFrom="paragraph">
                  <wp:posOffset>70485</wp:posOffset>
                </wp:positionV>
                <wp:extent cx="5573395" cy="0"/>
                <wp:effectExtent l="13970" t="10160" r="13335" b="8890"/>
                <wp:wrapNone/>
                <wp:docPr id="26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NXnAIAAHsFAAAOAAAAZHJzL2Uyb0RvYy54bWysVF1vmzAUfZ+0/2D5nQIBQoJKppaQvXRb&#10;pXbas4NNsGZsZrsh1bT/vmsnYU33Mk1NJOSP6+Nz7znX1x8OvUB7pg1XssTxVYQRk42iXO5K/PVx&#10;EywwMpZISoSSrMTPzOAPq/fvrsehYDPVKUGZRgAiTTEOJe6sHYowNE3HemKu1MAkbLZK98TCVO9C&#10;qskI6L0IZ1E0D0el6aBVw4yB1fVxE688ftuyxn5pW8MsEiUGbtZ/tf9u3TdcXZNip8nQ8eZEg/wH&#10;i55wCZdOUGtiCXrS/C+onjdaGdXaq0b1oWpb3jCfA2QTR6+yeejIwHwuUBwzTGUybwfbfN7fa8Rp&#10;iWfzGCNJehDpjkuG4ix31RkHU0BQJe+1y685yIfhTjXfDZKq6ojcMc/y8XmAg7E7EV4ccRMzwB3b&#10;8ZOiEEOerPKlOrS6d5BQBHTwijxPirCDRQ0sZlmeJMsMo+a8F5LifHDQxn5kqkduUGIBrD0w2d8Z&#10;64iQ4hzi7pFqw4XwgguJxhIvkzlYoiFgO/PDnzRKcOqiXLzRu20lNNoT5x3/8+nBzsuwnltwsOB9&#10;iRdTECk6Rmgtqb/OEi6OY6AkpANn3ptHnjA7WBj6dUjc++bnMlrWi3qRBulsXgdptF4HN5sqDeab&#10;OM/Wybqq1vEvxzpOi45TyqQjfvZwnP6bR07ddHTf5OKpVOEluq8pkL1kerPJojxNFkGeZ0mQJnUU&#10;3C42VXBTxfN5Xt9Wt/UrprXP3rwN2amUjpV6AjUeOjoiyp0pkmw5A19TDj0/y4/6ICJ28Fg1VmOk&#10;lf3Gbec97NznMC6EX0TufxJ+Qj8W4qyhm00qnHL7UyrQ/Kyvbw3XDce+2ir6fK/PLQMd7g+dXiP3&#10;hLycw/jlm7n6DQAA//8DAFBLAwQUAAYACAAAACEA8EBpcd4AAAAJAQAADwAAAGRycy9kb3ducmV2&#10;LnhtbEyPwUrDQBCG74LvsIzgRdpNbKglZlNEEA+CtFUUb9vsmA1mZ8Putolv70gPepz5P/75plpP&#10;rhdHDLHzpCCfZyCQGm86ahW8vjzMViBi0mR07wkVfGOEdX1+VunS+JG2eNylVnAJxVIrsCkNpZSx&#10;seh0nPsBibNPH5xOPIZWmqBHLne9vM6ypXS6I75g9YD3Fpuv3cEpeA5jF9OiKDaYPt4en97t5spt&#10;lbq8mO5uQSSc0h8Mv/qsDjU77f2BTBS9glmeFYxykOcgGFgtbxYg9qeFrCv5/4P6BwAA//8DAFBL&#10;AQItABQABgAIAAAAIQC2gziS/gAAAOEBAAATAAAAAAAAAAAAAAAAAAAAAABbQ29udGVudF9UeXBl&#10;c10ueG1sUEsBAi0AFAAGAAgAAAAhADj9If/WAAAAlAEAAAsAAAAAAAAAAAAAAAAALwEAAF9yZWxz&#10;Ly5yZWxzUEsBAi0AFAAGAAgAAAAhAJLHM1ecAgAAewUAAA4AAAAAAAAAAAAAAAAALgIAAGRycy9l&#10;Mm9Eb2MueG1sUEsBAi0AFAAGAAgAAAAhAPBAaXHeAAAACQEAAA8AAAAAAAAAAAAAAAAA9gQAAGRy&#10;cy9kb3ducmV2LnhtbFBLBQYAAAAABAAEAPMAAAABBgAAAAA=&#10;" strokeweight=".26mm">
                <v:stroke joinstyle="miter" endcap="square"/>
              </v:line>
            </w:pict>
          </mc:Fallback>
        </mc:AlternateContent>
      </w:r>
    </w:p>
    <w:p w:rsidR="00D346B4" w:rsidRPr="00DE475B" w:rsidRDefault="00D346B4">
      <w:pPr>
        <w:sectPr w:rsidR="00D346B4" w:rsidRPr="00DE475B" w:rsidSect="00B53922">
          <w:headerReference w:type="even" r:id="rId33"/>
          <w:headerReference w:type="default" r:id="rId34"/>
          <w:footerReference w:type="even" r:id="rId35"/>
          <w:footerReference w:type="default" r:id="rId36"/>
          <w:headerReference w:type="first" r:id="rId37"/>
          <w:footerReference w:type="first" r:id="rId38"/>
          <w:pgSz w:w="11906" w:h="16838"/>
          <w:pgMar w:top="1440" w:right="1701" w:bottom="1440" w:left="1701" w:header="680" w:footer="680" w:gutter="0"/>
          <w:cols w:space="720"/>
          <w:docGrid w:linePitch="360"/>
        </w:sectPr>
      </w:pPr>
    </w:p>
    <w:p w:rsidR="00704C2E" w:rsidRPr="00DE475B" w:rsidRDefault="00CB278B" w:rsidP="00CB278B">
      <w:pPr>
        <w:pStyle w:val="ARheading3"/>
        <w:tabs>
          <w:tab w:val="left" w:pos="851"/>
        </w:tabs>
        <w:spacing w:after="120"/>
        <w:rPr>
          <w:b w:val="0"/>
          <w:bCs w:val="0"/>
        </w:rPr>
      </w:pPr>
      <w:r w:rsidRPr="00DE475B">
        <w:rPr>
          <w:color w:val="808080"/>
        </w:rPr>
        <w:lastRenderedPageBreak/>
        <w:t>Table of contents</w:t>
      </w:r>
      <w:r w:rsidR="00704C2E" w:rsidRPr="00DE475B">
        <w:rPr>
          <w:b w:val="0"/>
          <w:bCs w:val="0"/>
        </w:rPr>
        <w:tab/>
      </w:r>
    </w:p>
    <w:p w:rsidR="00704C2E" w:rsidRPr="00DE475B" w:rsidRDefault="00DB3649" w:rsidP="00704C2E">
      <w:pPr>
        <w:tabs>
          <w:tab w:val="left" w:pos="1091"/>
          <w:tab w:val="left" w:pos="1636"/>
        </w:tabs>
        <w:spacing w:after="40"/>
        <w:rPr>
          <w:rFonts w:ascii="Arial" w:hAnsi="Arial" w:cs="Arial"/>
          <w:b/>
          <w:bCs/>
          <w:sz w:val="20"/>
          <w:szCs w:val="20"/>
        </w:rPr>
      </w:pPr>
      <w:r w:rsidRPr="00DE475B">
        <w:rPr>
          <w:rFonts w:ascii="Arial" w:hAnsi="Arial" w:cs="Arial"/>
          <w:b/>
          <w:bCs/>
          <w:sz w:val="20"/>
          <w:szCs w:val="20"/>
        </w:rPr>
        <w:t>Section 1:</w:t>
      </w:r>
      <w:r w:rsidRPr="00DE475B">
        <w:rPr>
          <w:rFonts w:ascii="Arial" w:hAnsi="Arial" w:cs="Arial"/>
          <w:b/>
          <w:bCs/>
          <w:sz w:val="20"/>
          <w:szCs w:val="20"/>
        </w:rPr>
        <w:tab/>
      </w:r>
      <w:r w:rsidR="00657BE9" w:rsidRPr="00657BE9">
        <w:rPr>
          <w:rFonts w:ascii="Arial" w:hAnsi="Arial" w:cs="Arial"/>
          <w:b/>
          <w:bCs/>
          <w:sz w:val="20"/>
          <w:szCs w:val="20"/>
        </w:rPr>
        <w:t>About the Library Board and this Financial Report</w:t>
      </w:r>
      <w:r w:rsidR="00704C2E" w:rsidRPr="00DE475B">
        <w:rPr>
          <w:rFonts w:ascii="Arial" w:hAnsi="Arial" w:cs="Arial"/>
          <w:sz w:val="20"/>
          <w:szCs w:val="20"/>
        </w:rPr>
        <w:tab/>
      </w:r>
    </w:p>
    <w:p w:rsidR="00704C2E" w:rsidRPr="00DE475B" w:rsidRDefault="00094AA9" w:rsidP="007646BC">
      <w:pPr>
        <w:tabs>
          <w:tab w:val="left" w:pos="284"/>
          <w:tab w:val="left" w:pos="709"/>
          <w:tab w:val="left" w:pos="1134"/>
        </w:tabs>
        <w:spacing w:after="40"/>
        <w:rPr>
          <w:rFonts w:ascii="Arial" w:hAnsi="Arial" w:cs="Arial"/>
          <w:sz w:val="20"/>
          <w:szCs w:val="20"/>
        </w:rPr>
      </w:pPr>
      <w:r w:rsidRPr="00DE475B">
        <w:rPr>
          <w:rFonts w:ascii="Arial" w:hAnsi="Arial" w:cs="Arial"/>
          <w:sz w:val="20"/>
          <w:szCs w:val="20"/>
        </w:rPr>
        <w:tab/>
      </w:r>
      <w:r w:rsidR="00704C2E" w:rsidRPr="00DE475B">
        <w:rPr>
          <w:rFonts w:ascii="Arial" w:hAnsi="Arial" w:cs="Arial"/>
          <w:sz w:val="20"/>
          <w:szCs w:val="20"/>
        </w:rPr>
        <w:t>A1 Objec</w:t>
      </w:r>
      <w:r w:rsidR="00DB3649" w:rsidRPr="00DE475B">
        <w:rPr>
          <w:rFonts w:ascii="Arial" w:hAnsi="Arial" w:cs="Arial"/>
          <w:sz w:val="20"/>
          <w:szCs w:val="20"/>
        </w:rPr>
        <w:t>tives and principal a</w:t>
      </w:r>
      <w:r w:rsidR="00704C2E" w:rsidRPr="00DE475B">
        <w:rPr>
          <w:rFonts w:ascii="Arial" w:hAnsi="Arial" w:cs="Arial"/>
          <w:sz w:val="20"/>
          <w:szCs w:val="20"/>
        </w:rPr>
        <w:t xml:space="preserve">ctivities of Library Board </w:t>
      </w:r>
      <w:proofErr w:type="gramStart"/>
      <w:r w:rsidR="00704C2E" w:rsidRPr="00DE475B">
        <w:rPr>
          <w:rFonts w:ascii="Arial" w:hAnsi="Arial" w:cs="Arial"/>
          <w:sz w:val="20"/>
          <w:szCs w:val="20"/>
        </w:rPr>
        <w:t>Of</w:t>
      </w:r>
      <w:proofErr w:type="gramEnd"/>
      <w:r w:rsidR="00704C2E" w:rsidRPr="00DE475B">
        <w:rPr>
          <w:rFonts w:ascii="Arial" w:hAnsi="Arial" w:cs="Arial"/>
          <w:sz w:val="20"/>
          <w:szCs w:val="20"/>
        </w:rPr>
        <w:t xml:space="preserve"> Queensland</w:t>
      </w:r>
    </w:p>
    <w:p w:rsidR="00704C2E" w:rsidRDefault="00704C2E" w:rsidP="007646BC">
      <w:pPr>
        <w:tabs>
          <w:tab w:val="left" w:pos="284"/>
          <w:tab w:val="left" w:pos="1091"/>
          <w:tab w:val="left" w:pos="1636"/>
        </w:tabs>
        <w:spacing w:after="40"/>
        <w:rPr>
          <w:rFonts w:ascii="Arial" w:hAnsi="Arial" w:cs="Arial"/>
          <w:sz w:val="20"/>
          <w:szCs w:val="20"/>
        </w:rPr>
      </w:pPr>
      <w:r w:rsidRPr="00DE475B">
        <w:rPr>
          <w:rFonts w:ascii="Arial" w:hAnsi="Arial" w:cs="Arial"/>
          <w:sz w:val="20"/>
          <w:szCs w:val="20"/>
        </w:rPr>
        <w:tab/>
        <w:t>A2 Basis o</w:t>
      </w:r>
      <w:r w:rsidR="00DB3649" w:rsidRPr="00DE475B">
        <w:rPr>
          <w:rFonts w:ascii="Arial" w:hAnsi="Arial" w:cs="Arial"/>
          <w:sz w:val="20"/>
          <w:szCs w:val="20"/>
        </w:rPr>
        <w:t>f f</w:t>
      </w:r>
      <w:r w:rsidRPr="00DE475B">
        <w:rPr>
          <w:rFonts w:ascii="Arial" w:hAnsi="Arial" w:cs="Arial"/>
          <w:sz w:val="20"/>
          <w:szCs w:val="20"/>
        </w:rPr>
        <w:t>inancial</w:t>
      </w:r>
      <w:r w:rsidR="00DB3649" w:rsidRPr="00DE475B">
        <w:rPr>
          <w:rFonts w:ascii="Arial" w:hAnsi="Arial" w:cs="Arial"/>
          <w:sz w:val="20"/>
          <w:szCs w:val="20"/>
        </w:rPr>
        <w:t xml:space="preserve"> statement</w:t>
      </w:r>
      <w:r w:rsidRPr="00DE475B">
        <w:rPr>
          <w:rFonts w:ascii="Arial" w:hAnsi="Arial" w:cs="Arial"/>
          <w:sz w:val="20"/>
          <w:szCs w:val="20"/>
        </w:rPr>
        <w:t xml:space="preserve"> </w:t>
      </w:r>
      <w:r w:rsidR="00DB3649" w:rsidRPr="00DE475B">
        <w:rPr>
          <w:rFonts w:ascii="Arial" w:hAnsi="Arial" w:cs="Arial"/>
          <w:sz w:val="20"/>
          <w:szCs w:val="20"/>
        </w:rPr>
        <w:t>p</w:t>
      </w:r>
      <w:r w:rsidRPr="00DE475B">
        <w:rPr>
          <w:rFonts w:ascii="Arial" w:hAnsi="Arial" w:cs="Arial"/>
          <w:sz w:val="20"/>
          <w:szCs w:val="20"/>
        </w:rPr>
        <w:t>reparation</w:t>
      </w:r>
    </w:p>
    <w:p w:rsidR="00657BE9" w:rsidRPr="00657BE9" w:rsidRDefault="00657BE9" w:rsidP="00657BE9">
      <w:pPr>
        <w:tabs>
          <w:tab w:val="left" w:pos="284"/>
          <w:tab w:val="left" w:pos="709"/>
          <w:tab w:val="left" w:pos="1134"/>
        </w:tabs>
        <w:spacing w:after="40"/>
        <w:ind w:left="709"/>
        <w:rPr>
          <w:rFonts w:ascii="Arial" w:hAnsi="Arial" w:cs="Arial"/>
          <w:i/>
          <w:sz w:val="20"/>
          <w:szCs w:val="20"/>
        </w:rPr>
      </w:pPr>
      <w:r w:rsidRPr="00657BE9">
        <w:rPr>
          <w:rFonts w:ascii="Arial" w:hAnsi="Arial" w:cs="Arial"/>
          <w:i/>
          <w:sz w:val="20"/>
          <w:szCs w:val="20"/>
        </w:rPr>
        <w:t>A2-1 General Information</w:t>
      </w:r>
      <w:r w:rsidRPr="00657BE9">
        <w:rPr>
          <w:rFonts w:ascii="Arial" w:hAnsi="Arial" w:cs="Arial"/>
          <w:i/>
          <w:sz w:val="20"/>
          <w:szCs w:val="20"/>
        </w:rPr>
        <w:tab/>
      </w:r>
    </w:p>
    <w:p w:rsidR="00657BE9" w:rsidRPr="00657BE9" w:rsidRDefault="00657BE9" w:rsidP="00657BE9">
      <w:pPr>
        <w:tabs>
          <w:tab w:val="left" w:pos="284"/>
          <w:tab w:val="left" w:pos="709"/>
          <w:tab w:val="left" w:pos="1134"/>
        </w:tabs>
        <w:spacing w:after="40"/>
        <w:ind w:left="709"/>
        <w:rPr>
          <w:rFonts w:ascii="Arial" w:hAnsi="Arial" w:cs="Arial"/>
          <w:i/>
          <w:sz w:val="20"/>
          <w:szCs w:val="20"/>
        </w:rPr>
      </w:pPr>
      <w:r w:rsidRPr="00657BE9">
        <w:rPr>
          <w:rFonts w:ascii="Arial" w:hAnsi="Arial" w:cs="Arial"/>
          <w:i/>
          <w:sz w:val="20"/>
          <w:szCs w:val="20"/>
        </w:rPr>
        <w:t>A2-2 Compliance with Prescribed Requirements</w:t>
      </w:r>
      <w:r w:rsidRPr="00657BE9">
        <w:rPr>
          <w:rFonts w:ascii="Arial" w:hAnsi="Arial" w:cs="Arial"/>
          <w:i/>
          <w:sz w:val="20"/>
          <w:szCs w:val="20"/>
        </w:rPr>
        <w:tab/>
      </w:r>
    </w:p>
    <w:p w:rsidR="00657BE9" w:rsidRPr="00657BE9" w:rsidRDefault="00657BE9" w:rsidP="00657BE9">
      <w:pPr>
        <w:tabs>
          <w:tab w:val="left" w:pos="284"/>
          <w:tab w:val="left" w:pos="709"/>
          <w:tab w:val="left" w:pos="1134"/>
        </w:tabs>
        <w:spacing w:after="40"/>
        <w:ind w:left="709"/>
        <w:rPr>
          <w:rFonts w:ascii="Arial" w:hAnsi="Arial" w:cs="Arial"/>
          <w:i/>
          <w:sz w:val="20"/>
          <w:szCs w:val="20"/>
        </w:rPr>
      </w:pPr>
      <w:r w:rsidRPr="00657BE9">
        <w:rPr>
          <w:rFonts w:ascii="Arial" w:hAnsi="Arial" w:cs="Arial"/>
          <w:i/>
          <w:sz w:val="20"/>
          <w:szCs w:val="20"/>
        </w:rPr>
        <w:t>A2-3 Presentation</w:t>
      </w:r>
      <w:r w:rsidRPr="00657BE9">
        <w:rPr>
          <w:rFonts w:ascii="Arial" w:hAnsi="Arial" w:cs="Arial"/>
          <w:i/>
          <w:sz w:val="20"/>
          <w:szCs w:val="20"/>
        </w:rPr>
        <w:tab/>
      </w:r>
    </w:p>
    <w:p w:rsidR="00657BE9" w:rsidRPr="00657BE9" w:rsidRDefault="00657BE9" w:rsidP="00657BE9">
      <w:pPr>
        <w:tabs>
          <w:tab w:val="left" w:pos="284"/>
          <w:tab w:val="left" w:pos="709"/>
          <w:tab w:val="left" w:pos="1134"/>
        </w:tabs>
        <w:spacing w:after="40"/>
        <w:ind w:left="709"/>
        <w:rPr>
          <w:rFonts w:ascii="Arial" w:hAnsi="Arial" w:cs="Arial"/>
          <w:i/>
          <w:sz w:val="20"/>
          <w:szCs w:val="20"/>
        </w:rPr>
      </w:pPr>
      <w:r w:rsidRPr="00657BE9">
        <w:rPr>
          <w:rFonts w:ascii="Arial" w:hAnsi="Arial" w:cs="Arial"/>
          <w:i/>
          <w:sz w:val="20"/>
          <w:szCs w:val="20"/>
        </w:rPr>
        <w:t>A2-4 Authorisation of Financial Statements for Issue</w:t>
      </w:r>
      <w:r w:rsidRPr="00657BE9">
        <w:rPr>
          <w:rFonts w:ascii="Arial" w:hAnsi="Arial" w:cs="Arial"/>
          <w:i/>
          <w:sz w:val="20"/>
          <w:szCs w:val="20"/>
        </w:rPr>
        <w:tab/>
      </w:r>
    </w:p>
    <w:p w:rsidR="00657BE9" w:rsidRPr="00657BE9" w:rsidRDefault="00657BE9" w:rsidP="00657BE9">
      <w:pPr>
        <w:tabs>
          <w:tab w:val="left" w:pos="284"/>
          <w:tab w:val="left" w:pos="709"/>
          <w:tab w:val="left" w:pos="1134"/>
        </w:tabs>
        <w:spacing w:after="40"/>
        <w:ind w:left="709"/>
        <w:rPr>
          <w:rFonts w:ascii="Arial" w:hAnsi="Arial" w:cs="Arial"/>
          <w:i/>
          <w:sz w:val="20"/>
          <w:szCs w:val="20"/>
        </w:rPr>
      </w:pPr>
      <w:r w:rsidRPr="00657BE9">
        <w:rPr>
          <w:rFonts w:ascii="Arial" w:hAnsi="Arial" w:cs="Arial"/>
          <w:i/>
          <w:sz w:val="20"/>
          <w:szCs w:val="20"/>
        </w:rPr>
        <w:t>A2-5 Basis of Measurement</w:t>
      </w:r>
      <w:r w:rsidRPr="00657BE9">
        <w:rPr>
          <w:rFonts w:ascii="Arial" w:hAnsi="Arial" w:cs="Arial"/>
          <w:i/>
          <w:sz w:val="20"/>
          <w:szCs w:val="20"/>
        </w:rPr>
        <w:tab/>
      </w:r>
    </w:p>
    <w:p w:rsidR="00657BE9" w:rsidRPr="00657BE9" w:rsidRDefault="00657BE9" w:rsidP="00657BE9">
      <w:pPr>
        <w:tabs>
          <w:tab w:val="left" w:pos="284"/>
          <w:tab w:val="left" w:pos="709"/>
          <w:tab w:val="left" w:pos="1134"/>
        </w:tabs>
        <w:spacing w:after="40"/>
        <w:ind w:left="709"/>
        <w:rPr>
          <w:rFonts w:ascii="Arial" w:hAnsi="Arial" w:cs="Arial"/>
          <w:i/>
          <w:sz w:val="20"/>
          <w:szCs w:val="20"/>
        </w:rPr>
      </w:pPr>
      <w:r w:rsidRPr="00657BE9">
        <w:rPr>
          <w:rFonts w:ascii="Arial" w:hAnsi="Arial" w:cs="Arial"/>
          <w:i/>
          <w:sz w:val="20"/>
          <w:szCs w:val="20"/>
        </w:rPr>
        <w:t xml:space="preserve">A2-6 </w:t>
      </w:r>
      <w:proofErr w:type="gramStart"/>
      <w:r w:rsidRPr="00657BE9">
        <w:rPr>
          <w:rFonts w:ascii="Arial" w:hAnsi="Arial" w:cs="Arial"/>
          <w:i/>
          <w:sz w:val="20"/>
          <w:szCs w:val="20"/>
        </w:rPr>
        <w:t>The</w:t>
      </w:r>
      <w:proofErr w:type="gramEnd"/>
      <w:r w:rsidRPr="00657BE9">
        <w:rPr>
          <w:rFonts w:ascii="Arial" w:hAnsi="Arial" w:cs="Arial"/>
          <w:i/>
          <w:sz w:val="20"/>
          <w:szCs w:val="20"/>
        </w:rPr>
        <w:t xml:space="preserve"> reporting entity</w:t>
      </w:r>
    </w:p>
    <w:p w:rsidR="00704C2E" w:rsidRPr="00DE475B" w:rsidRDefault="00704C2E" w:rsidP="007646BC">
      <w:pPr>
        <w:tabs>
          <w:tab w:val="left" w:pos="284"/>
          <w:tab w:val="left" w:pos="1091"/>
          <w:tab w:val="left" w:pos="1636"/>
        </w:tabs>
        <w:spacing w:after="40"/>
        <w:rPr>
          <w:rFonts w:ascii="Arial" w:hAnsi="Arial" w:cs="Arial"/>
          <w:sz w:val="20"/>
          <w:szCs w:val="20"/>
        </w:rPr>
      </w:pPr>
      <w:r w:rsidRPr="00DE475B">
        <w:rPr>
          <w:rFonts w:ascii="Arial" w:hAnsi="Arial" w:cs="Arial"/>
          <w:sz w:val="20"/>
          <w:szCs w:val="20"/>
        </w:rPr>
        <w:tab/>
        <w:t>A3 Controll</w:t>
      </w:r>
      <w:r w:rsidR="00DB3649" w:rsidRPr="00DE475B">
        <w:rPr>
          <w:rFonts w:ascii="Arial" w:hAnsi="Arial" w:cs="Arial"/>
          <w:sz w:val="20"/>
          <w:szCs w:val="20"/>
        </w:rPr>
        <w:t>ed e</w:t>
      </w:r>
      <w:r w:rsidRPr="00DE475B">
        <w:rPr>
          <w:rFonts w:ascii="Arial" w:hAnsi="Arial" w:cs="Arial"/>
          <w:sz w:val="20"/>
          <w:szCs w:val="20"/>
        </w:rPr>
        <w:t>ntities</w:t>
      </w:r>
      <w:r w:rsidRPr="00DE475B">
        <w:rPr>
          <w:rFonts w:ascii="Arial" w:hAnsi="Arial" w:cs="Arial"/>
          <w:sz w:val="20"/>
          <w:szCs w:val="20"/>
        </w:rPr>
        <w:tab/>
      </w:r>
    </w:p>
    <w:p w:rsidR="00704C2E" w:rsidRPr="00DE475B" w:rsidRDefault="00DB3649" w:rsidP="00704C2E">
      <w:pPr>
        <w:tabs>
          <w:tab w:val="left" w:pos="1091"/>
          <w:tab w:val="left" w:pos="1636"/>
        </w:tabs>
        <w:spacing w:after="40"/>
        <w:rPr>
          <w:rFonts w:ascii="Arial" w:hAnsi="Arial" w:cs="Arial"/>
          <w:b/>
          <w:bCs/>
          <w:sz w:val="20"/>
          <w:szCs w:val="20"/>
        </w:rPr>
      </w:pPr>
      <w:r w:rsidRPr="00DE475B">
        <w:rPr>
          <w:rFonts w:ascii="Arial" w:hAnsi="Arial" w:cs="Arial"/>
          <w:b/>
          <w:bCs/>
          <w:sz w:val="20"/>
          <w:szCs w:val="20"/>
        </w:rPr>
        <w:t>Section 2:</w:t>
      </w:r>
      <w:r w:rsidRPr="00DE475B">
        <w:rPr>
          <w:rFonts w:ascii="Arial" w:hAnsi="Arial" w:cs="Arial"/>
          <w:b/>
          <w:bCs/>
          <w:sz w:val="20"/>
          <w:szCs w:val="20"/>
        </w:rPr>
        <w:tab/>
        <w:t>Notes about our financial p</w:t>
      </w:r>
      <w:r w:rsidR="00704C2E" w:rsidRPr="00DE475B">
        <w:rPr>
          <w:rFonts w:ascii="Arial" w:hAnsi="Arial" w:cs="Arial"/>
          <w:b/>
          <w:bCs/>
          <w:sz w:val="20"/>
          <w:szCs w:val="20"/>
        </w:rPr>
        <w:t>erformance</w:t>
      </w:r>
      <w:r w:rsidR="00704C2E" w:rsidRPr="00DE475B">
        <w:rPr>
          <w:rFonts w:ascii="Arial" w:hAnsi="Arial" w:cs="Arial"/>
          <w:sz w:val="20"/>
          <w:szCs w:val="20"/>
        </w:rPr>
        <w:tab/>
      </w:r>
    </w:p>
    <w:p w:rsidR="00704C2E" w:rsidRPr="00DE475B" w:rsidRDefault="00704C2E" w:rsidP="007646BC">
      <w:pPr>
        <w:tabs>
          <w:tab w:val="left" w:pos="284"/>
          <w:tab w:val="left" w:pos="709"/>
          <w:tab w:val="left" w:pos="1134"/>
        </w:tabs>
        <w:spacing w:after="40"/>
        <w:rPr>
          <w:rFonts w:ascii="Arial" w:hAnsi="Arial" w:cs="Arial"/>
          <w:sz w:val="20"/>
          <w:szCs w:val="20"/>
        </w:rPr>
      </w:pPr>
      <w:r w:rsidRPr="00DE475B">
        <w:rPr>
          <w:rFonts w:ascii="Arial" w:hAnsi="Arial" w:cs="Arial"/>
          <w:sz w:val="20"/>
          <w:szCs w:val="20"/>
        </w:rPr>
        <w:tab/>
        <w:t>B1 Revenue</w:t>
      </w:r>
    </w:p>
    <w:p w:rsidR="00704C2E" w:rsidRPr="00DE475B" w:rsidRDefault="00704C2E" w:rsidP="007646BC">
      <w:pPr>
        <w:tabs>
          <w:tab w:val="left" w:pos="284"/>
          <w:tab w:val="left" w:pos="709"/>
          <w:tab w:val="left" w:pos="1134"/>
        </w:tabs>
        <w:spacing w:after="40"/>
        <w:rPr>
          <w:rFonts w:ascii="Arial" w:hAnsi="Arial" w:cs="Arial"/>
          <w:i/>
          <w:sz w:val="20"/>
          <w:szCs w:val="20"/>
        </w:rPr>
      </w:pPr>
      <w:r w:rsidRPr="00DE475B">
        <w:rPr>
          <w:rFonts w:ascii="Arial" w:hAnsi="Arial" w:cs="Arial"/>
          <w:sz w:val="20"/>
          <w:szCs w:val="20"/>
        </w:rPr>
        <w:tab/>
      </w:r>
      <w:r w:rsidRPr="00DE475B">
        <w:rPr>
          <w:rFonts w:ascii="Arial" w:hAnsi="Arial" w:cs="Arial"/>
          <w:sz w:val="20"/>
          <w:szCs w:val="20"/>
        </w:rPr>
        <w:tab/>
      </w:r>
      <w:r w:rsidRPr="00DE475B">
        <w:rPr>
          <w:rFonts w:ascii="Arial" w:hAnsi="Arial" w:cs="Arial"/>
          <w:i/>
          <w:sz w:val="20"/>
          <w:szCs w:val="20"/>
        </w:rPr>
        <w:t xml:space="preserve">B1-1 User </w:t>
      </w:r>
      <w:r w:rsidR="00DB3649" w:rsidRPr="00DE475B">
        <w:rPr>
          <w:rFonts w:ascii="Arial" w:hAnsi="Arial" w:cs="Arial"/>
          <w:i/>
          <w:sz w:val="20"/>
          <w:szCs w:val="20"/>
        </w:rPr>
        <w:t>c</w:t>
      </w:r>
      <w:r w:rsidRPr="00DE475B">
        <w:rPr>
          <w:rFonts w:ascii="Arial" w:hAnsi="Arial" w:cs="Arial"/>
          <w:i/>
          <w:sz w:val="20"/>
          <w:szCs w:val="20"/>
        </w:rPr>
        <w:t xml:space="preserve">harges </w:t>
      </w:r>
    </w:p>
    <w:p w:rsidR="00704C2E" w:rsidRDefault="00704C2E" w:rsidP="007646BC">
      <w:pPr>
        <w:tabs>
          <w:tab w:val="left" w:pos="284"/>
          <w:tab w:val="left" w:pos="709"/>
          <w:tab w:val="left" w:pos="1134"/>
        </w:tabs>
        <w:spacing w:after="40"/>
        <w:rPr>
          <w:rFonts w:ascii="Arial" w:hAnsi="Arial" w:cs="Arial"/>
          <w:i/>
          <w:sz w:val="20"/>
          <w:szCs w:val="20"/>
        </w:rPr>
      </w:pPr>
      <w:r w:rsidRPr="00DE475B">
        <w:rPr>
          <w:rFonts w:ascii="Arial" w:hAnsi="Arial" w:cs="Arial"/>
          <w:i/>
          <w:sz w:val="20"/>
          <w:szCs w:val="20"/>
        </w:rPr>
        <w:tab/>
      </w:r>
      <w:r w:rsidRPr="00DE475B">
        <w:rPr>
          <w:rFonts w:ascii="Arial" w:hAnsi="Arial" w:cs="Arial"/>
          <w:i/>
          <w:sz w:val="20"/>
          <w:szCs w:val="20"/>
        </w:rPr>
        <w:tab/>
        <w:t xml:space="preserve">B1-2 Grants and </w:t>
      </w:r>
      <w:r w:rsidR="00DB3649" w:rsidRPr="00DE475B">
        <w:rPr>
          <w:rFonts w:ascii="Arial" w:hAnsi="Arial" w:cs="Arial"/>
          <w:i/>
          <w:sz w:val="20"/>
          <w:szCs w:val="20"/>
        </w:rPr>
        <w:t>c</w:t>
      </w:r>
      <w:r w:rsidRPr="00DE475B">
        <w:rPr>
          <w:rFonts w:ascii="Arial" w:hAnsi="Arial" w:cs="Arial"/>
          <w:i/>
          <w:sz w:val="20"/>
          <w:szCs w:val="20"/>
        </w:rPr>
        <w:t>ontributions</w:t>
      </w:r>
    </w:p>
    <w:p w:rsidR="00ED78A1" w:rsidRPr="00DE475B" w:rsidRDefault="00ED78A1" w:rsidP="00ED78A1">
      <w:pPr>
        <w:tabs>
          <w:tab w:val="left" w:pos="284"/>
          <w:tab w:val="left" w:pos="709"/>
          <w:tab w:val="left" w:pos="1134"/>
        </w:tabs>
        <w:spacing w:after="40"/>
        <w:ind w:left="709"/>
        <w:rPr>
          <w:rFonts w:ascii="Arial" w:hAnsi="Arial" w:cs="Arial"/>
          <w:i/>
          <w:sz w:val="20"/>
          <w:szCs w:val="20"/>
        </w:rPr>
      </w:pPr>
      <w:r w:rsidRPr="00ED78A1">
        <w:rPr>
          <w:rFonts w:ascii="Arial" w:hAnsi="Arial" w:cs="Arial"/>
          <w:i/>
          <w:sz w:val="20"/>
          <w:szCs w:val="20"/>
        </w:rPr>
        <w:t>B1-3 Other Revenue</w:t>
      </w:r>
    </w:p>
    <w:p w:rsidR="00704C2E" w:rsidRPr="00DE475B" w:rsidRDefault="00704C2E" w:rsidP="007646BC">
      <w:pPr>
        <w:tabs>
          <w:tab w:val="left" w:pos="284"/>
          <w:tab w:val="left" w:pos="709"/>
          <w:tab w:val="left" w:pos="1134"/>
        </w:tabs>
        <w:spacing w:after="40"/>
        <w:rPr>
          <w:rFonts w:ascii="Arial" w:hAnsi="Arial" w:cs="Arial"/>
          <w:sz w:val="20"/>
          <w:szCs w:val="20"/>
        </w:rPr>
      </w:pPr>
      <w:r w:rsidRPr="00DE475B">
        <w:rPr>
          <w:rFonts w:ascii="Arial" w:hAnsi="Arial" w:cs="Arial"/>
          <w:sz w:val="20"/>
          <w:szCs w:val="20"/>
        </w:rPr>
        <w:tab/>
        <w:t>B2 Expenses</w:t>
      </w:r>
    </w:p>
    <w:p w:rsidR="00704C2E" w:rsidRPr="00DE475B" w:rsidRDefault="00DB3649" w:rsidP="007646BC">
      <w:pPr>
        <w:tabs>
          <w:tab w:val="left" w:pos="284"/>
          <w:tab w:val="left" w:pos="709"/>
          <w:tab w:val="left" w:pos="1134"/>
        </w:tabs>
        <w:spacing w:after="40"/>
        <w:rPr>
          <w:rFonts w:ascii="Arial" w:hAnsi="Arial" w:cs="Arial"/>
          <w:i/>
          <w:sz w:val="20"/>
          <w:szCs w:val="20"/>
        </w:rPr>
      </w:pPr>
      <w:r w:rsidRPr="00DE475B">
        <w:rPr>
          <w:rFonts w:ascii="Arial" w:hAnsi="Arial" w:cs="Arial"/>
          <w:sz w:val="20"/>
          <w:szCs w:val="20"/>
        </w:rPr>
        <w:tab/>
      </w:r>
      <w:r w:rsidRPr="00DE475B">
        <w:rPr>
          <w:rFonts w:ascii="Arial" w:hAnsi="Arial" w:cs="Arial"/>
          <w:sz w:val="20"/>
          <w:szCs w:val="20"/>
        </w:rPr>
        <w:tab/>
      </w:r>
      <w:r w:rsidRPr="00DE475B">
        <w:rPr>
          <w:rFonts w:ascii="Arial" w:hAnsi="Arial" w:cs="Arial"/>
          <w:i/>
          <w:sz w:val="20"/>
          <w:szCs w:val="20"/>
        </w:rPr>
        <w:t>B2-1 Employee b</w:t>
      </w:r>
      <w:r w:rsidR="00704C2E" w:rsidRPr="00DE475B">
        <w:rPr>
          <w:rFonts w:ascii="Arial" w:hAnsi="Arial" w:cs="Arial"/>
          <w:i/>
          <w:sz w:val="20"/>
          <w:szCs w:val="20"/>
        </w:rPr>
        <w:t xml:space="preserve">enefits </w:t>
      </w:r>
      <w:r w:rsidRPr="00DE475B">
        <w:rPr>
          <w:rFonts w:ascii="Arial" w:hAnsi="Arial" w:cs="Arial"/>
          <w:i/>
          <w:sz w:val="20"/>
          <w:szCs w:val="20"/>
        </w:rPr>
        <w:t>e</w:t>
      </w:r>
      <w:r w:rsidR="00704C2E" w:rsidRPr="00DE475B">
        <w:rPr>
          <w:rFonts w:ascii="Arial" w:hAnsi="Arial" w:cs="Arial"/>
          <w:i/>
          <w:sz w:val="20"/>
          <w:szCs w:val="20"/>
        </w:rPr>
        <w:t>xpense</w:t>
      </w:r>
    </w:p>
    <w:p w:rsidR="00704C2E" w:rsidRPr="00DE475B" w:rsidRDefault="00704C2E" w:rsidP="007646BC">
      <w:pPr>
        <w:tabs>
          <w:tab w:val="left" w:pos="284"/>
          <w:tab w:val="left" w:pos="709"/>
          <w:tab w:val="left" w:pos="1134"/>
        </w:tabs>
        <w:spacing w:after="40"/>
        <w:rPr>
          <w:rFonts w:ascii="Arial" w:hAnsi="Arial" w:cs="Arial"/>
          <w:i/>
          <w:sz w:val="20"/>
          <w:szCs w:val="20"/>
        </w:rPr>
      </w:pPr>
      <w:r w:rsidRPr="00DE475B">
        <w:rPr>
          <w:rFonts w:ascii="Arial" w:hAnsi="Arial" w:cs="Arial"/>
          <w:i/>
          <w:sz w:val="20"/>
          <w:szCs w:val="20"/>
        </w:rPr>
        <w:tab/>
      </w:r>
      <w:r w:rsidRPr="00DE475B">
        <w:rPr>
          <w:rFonts w:ascii="Arial" w:hAnsi="Arial" w:cs="Arial"/>
          <w:i/>
          <w:sz w:val="20"/>
          <w:szCs w:val="20"/>
        </w:rPr>
        <w:tab/>
        <w:t xml:space="preserve">B2-2 Supplies and </w:t>
      </w:r>
      <w:r w:rsidR="00DB3649" w:rsidRPr="00DE475B">
        <w:rPr>
          <w:rFonts w:ascii="Arial" w:hAnsi="Arial" w:cs="Arial"/>
          <w:i/>
          <w:sz w:val="20"/>
          <w:szCs w:val="20"/>
        </w:rPr>
        <w:t>s</w:t>
      </w:r>
      <w:r w:rsidRPr="00DE475B">
        <w:rPr>
          <w:rFonts w:ascii="Arial" w:hAnsi="Arial" w:cs="Arial"/>
          <w:i/>
          <w:sz w:val="20"/>
          <w:szCs w:val="20"/>
        </w:rPr>
        <w:t>ervices</w:t>
      </w:r>
    </w:p>
    <w:p w:rsidR="00704C2E" w:rsidRPr="00DE475B" w:rsidRDefault="00704C2E" w:rsidP="007646BC">
      <w:pPr>
        <w:tabs>
          <w:tab w:val="left" w:pos="284"/>
          <w:tab w:val="left" w:pos="709"/>
          <w:tab w:val="left" w:pos="1134"/>
        </w:tabs>
        <w:spacing w:after="40"/>
        <w:rPr>
          <w:rFonts w:ascii="Arial" w:hAnsi="Arial" w:cs="Arial"/>
          <w:i/>
          <w:sz w:val="20"/>
          <w:szCs w:val="20"/>
        </w:rPr>
      </w:pPr>
      <w:r w:rsidRPr="00DE475B">
        <w:rPr>
          <w:rFonts w:ascii="Arial" w:hAnsi="Arial" w:cs="Arial"/>
          <w:i/>
          <w:sz w:val="20"/>
          <w:szCs w:val="20"/>
        </w:rPr>
        <w:tab/>
      </w:r>
      <w:r w:rsidRPr="00DE475B">
        <w:rPr>
          <w:rFonts w:ascii="Arial" w:hAnsi="Arial" w:cs="Arial"/>
          <w:i/>
          <w:sz w:val="20"/>
          <w:szCs w:val="20"/>
        </w:rPr>
        <w:tab/>
        <w:t xml:space="preserve">B2-3 Grants and </w:t>
      </w:r>
      <w:r w:rsidR="00DB3649" w:rsidRPr="00DE475B">
        <w:rPr>
          <w:rFonts w:ascii="Arial" w:hAnsi="Arial" w:cs="Arial"/>
          <w:i/>
          <w:sz w:val="20"/>
          <w:szCs w:val="20"/>
        </w:rPr>
        <w:t>s</w:t>
      </w:r>
      <w:r w:rsidRPr="00DE475B">
        <w:rPr>
          <w:rFonts w:ascii="Arial" w:hAnsi="Arial" w:cs="Arial"/>
          <w:i/>
          <w:sz w:val="20"/>
          <w:szCs w:val="20"/>
        </w:rPr>
        <w:t>ubsidies</w:t>
      </w:r>
    </w:p>
    <w:p w:rsidR="00704C2E" w:rsidRPr="00DE475B" w:rsidRDefault="00704C2E" w:rsidP="007646BC">
      <w:pPr>
        <w:tabs>
          <w:tab w:val="left" w:pos="284"/>
          <w:tab w:val="left" w:pos="709"/>
          <w:tab w:val="left" w:pos="1134"/>
        </w:tabs>
        <w:spacing w:after="40"/>
        <w:rPr>
          <w:rFonts w:ascii="Arial" w:hAnsi="Arial" w:cs="Arial"/>
          <w:i/>
          <w:sz w:val="20"/>
          <w:szCs w:val="20"/>
        </w:rPr>
      </w:pPr>
      <w:r w:rsidRPr="00DE475B">
        <w:rPr>
          <w:rFonts w:ascii="Arial" w:hAnsi="Arial" w:cs="Arial"/>
          <w:i/>
          <w:sz w:val="20"/>
          <w:szCs w:val="20"/>
        </w:rPr>
        <w:tab/>
      </w:r>
      <w:r w:rsidRPr="00DE475B">
        <w:rPr>
          <w:rFonts w:ascii="Arial" w:hAnsi="Arial" w:cs="Arial"/>
          <w:i/>
          <w:sz w:val="20"/>
          <w:szCs w:val="20"/>
        </w:rPr>
        <w:tab/>
        <w:t xml:space="preserve">B2-4 </w:t>
      </w:r>
      <w:proofErr w:type="gramStart"/>
      <w:r w:rsidRPr="00DE475B">
        <w:rPr>
          <w:rFonts w:ascii="Arial" w:hAnsi="Arial" w:cs="Arial"/>
          <w:i/>
          <w:sz w:val="20"/>
          <w:szCs w:val="20"/>
        </w:rPr>
        <w:t>Other</w:t>
      </w:r>
      <w:proofErr w:type="gramEnd"/>
      <w:r w:rsidRPr="00DE475B">
        <w:rPr>
          <w:rFonts w:ascii="Arial" w:hAnsi="Arial" w:cs="Arial"/>
          <w:i/>
          <w:sz w:val="20"/>
          <w:szCs w:val="20"/>
        </w:rPr>
        <w:t xml:space="preserve"> </w:t>
      </w:r>
      <w:r w:rsidR="00DB3649" w:rsidRPr="00DE475B">
        <w:rPr>
          <w:rFonts w:ascii="Arial" w:hAnsi="Arial" w:cs="Arial"/>
          <w:i/>
          <w:sz w:val="20"/>
          <w:szCs w:val="20"/>
        </w:rPr>
        <w:t>e</w:t>
      </w:r>
      <w:r w:rsidRPr="00DE475B">
        <w:rPr>
          <w:rFonts w:ascii="Arial" w:hAnsi="Arial" w:cs="Arial"/>
          <w:i/>
          <w:sz w:val="20"/>
          <w:szCs w:val="20"/>
        </w:rPr>
        <w:t>xpenses</w:t>
      </w:r>
      <w:r w:rsidRPr="00DE475B">
        <w:rPr>
          <w:rFonts w:ascii="Arial" w:hAnsi="Arial" w:cs="Arial"/>
          <w:sz w:val="20"/>
          <w:szCs w:val="20"/>
        </w:rPr>
        <w:tab/>
      </w:r>
    </w:p>
    <w:p w:rsidR="00704C2E" w:rsidRPr="00DE475B" w:rsidRDefault="00704C2E" w:rsidP="00704C2E">
      <w:pPr>
        <w:tabs>
          <w:tab w:val="left" w:pos="1091"/>
          <w:tab w:val="left" w:pos="1636"/>
        </w:tabs>
        <w:spacing w:after="40"/>
        <w:rPr>
          <w:rFonts w:ascii="Arial" w:hAnsi="Arial" w:cs="Arial"/>
          <w:b/>
          <w:bCs/>
          <w:sz w:val="20"/>
          <w:szCs w:val="20"/>
        </w:rPr>
      </w:pPr>
      <w:r w:rsidRPr="00DE475B">
        <w:rPr>
          <w:rFonts w:ascii="Arial" w:hAnsi="Arial" w:cs="Arial"/>
          <w:b/>
          <w:bCs/>
          <w:sz w:val="20"/>
          <w:szCs w:val="20"/>
        </w:rPr>
        <w:t>Se</w:t>
      </w:r>
      <w:r w:rsidR="00DB3649" w:rsidRPr="00DE475B">
        <w:rPr>
          <w:rFonts w:ascii="Arial" w:hAnsi="Arial" w:cs="Arial"/>
          <w:b/>
          <w:bCs/>
          <w:sz w:val="20"/>
          <w:szCs w:val="20"/>
        </w:rPr>
        <w:t>ction 3:</w:t>
      </w:r>
      <w:r w:rsidR="00DB3649" w:rsidRPr="00DE475B">
        <w:rPr>
          <w:rFonts w:ascii="Arial" w:hAnsi="Arial" w:cs="Arial"/>
          <w:b/>
          <w:bCs/>
          <w:sz w:val="20"/>
          <w:szCs w:val="20"/>
        </w:rPr>
        <w:tab/>
        <w:t>Notes about our financial p</w:t>
      </w:r>
      <w:r w:rsidRPr="00DE475B">
        <w:rPr>
          <w:rFonts w:ascii="Arial" w:hAnsi="Arial" w:cs="Arial"/>
          <w:b/>
          <w:bCs/>
          <w:sz w:val="20"/>
          <w:szCs w:val="20"/>
        </w:rPr>
        <w:t>osition</w:t>
      </w:r>
      <w:r w:rsidRPr="00DE475B">
        <w:rPr>
          <w:rFonts w:ascii="Arial" w:hAnsi="Arial" w:cs="Arial"/>
          <w:sz w:val="20"/>
          <w:szCs w:val="20"/>
        </w:rPr>
        <w:tab/>
      </w:r>
    </w:p>
    <w:p w:rsidR="00704C2E" w:rsidRPr="00DE475B" w:rsidRDefault="007646BC" w:rsidP="007646BC">
      <w:pPr>
        <w:tabs>
          <w:tab w:val="left" w:pos="284"/>
          <w:tab w:val="left" w:pos="709"/>
          <w:tab w:val="left" w:pos="1134"/>
        </w:tabs>
        <w:spacing w:after="40"/>
        <w:rPr>
          <w:rFonts w:ascii="Arial" w:hAnsi="Arial" w:cs="Arial"/>
          <w:sz w:val="20"/>
          <w:szCs w:val="20"/>
        </w:rPr>
      </w:pPr>
      <w:r w:rsidRPr="00DE475B">
        <w:rPr>
          <w:rFonts w:ascii="Arial" w:hAnsi="Arial" w:cs="Arial"/>
          <w:sz w:val="20"/>
          <w:szCs w:val="20"/>
        </w:rPr>
        <w:tab/>
        <w:t xml:space="preserve">C1 </w:t>
      </w:r>
      <w:r w:rsidR="00704C2E" w:rsidRPr="00DE475B">
        <w:rPr>
          <w:rFonts w:ascii="Arial" w:hAnsi="Arial" w:cs="Arial"/>
          <w:sz w:val="20"/>
          <w:szCs w:val="20"/>
        </w:rPr>
        <w:t>Cash a</w:t>
      </w:r>
      <w:r w:rsidR="00DB3649" w:rsidRPr="00DE475B">
        <w:rPr>
          <w:rFonts w:ascii="Arial" w:hAnsi="Arial" w:cs="Arial"/>
          <w:sz w:val="20"/>
          <w:szCs w:val="20"/>
        </w:rPr>
        <w:t>nd cash e</w:t>
      </w:r>
      <w:r w:rsidR="00704C2E" w:rsidRPr="00DE475B">
        <w:rPr>
          <w:rFonts w:ascii="Arial" w:hAnsi="Arial" w:cs="Arial"/>
          <w:sz w:val="20"/>
          <w:szCs w:val="20"/>
        </w:rPr>
        <w:t>quivalents</w:t>
      </w:r>
    </w:p>
    <w:p w:rsidR="00704C2E" w:rsidRPr="00DE475B" w:rsidRDefault="00704C2E" w:rsidP="007646BC">
      <w:pPr>
        <w:tabs>
          <w:tab w:val="left" w:pos="284"/>
          <w:tab w:val="left" w:pos="709"/>
          <w:tab w:val="left" w:pos="1134"/>
        </w:tabs>
        <w:spacing w:after="40"/>
        <w:rPr>
          <w:rFonts w:ascii="Arial" w:hAnsi="Arial" w:cs="Arial"/>
          <w:sz w:val="20"/>
          <w:szCs w:val="20"/>
        </w:rPr>
      </w:pPr>
      <w:r w:rsidRPr="00DE475B">
        <w:rPr>
          <w:rFonts w:ascii="Arial" w:hAnsi="Arial" w:cs="Arial"/>
          <w:sz w:val="20"/>
          <w:szCs w:val="20"/>
        </w:rPr>
        <w:tab/>
        <w:t>C2 Receivables</w:t>
      </w:r>
    </w:p>
    <w:p w:rsidR="00704C2E" w:rsidRPr="00DE475B" w:rsidRDefault="00704C2E" w:rsidP="007646BC">
      <w:pPr>
        <w:tabs>
          <w:tab w:val="left" w:pos="284"/>
          <w:tab w:val="left" w:pos="709"/>
          <w:tab w:val="left" w:pos="1134"/>
        </w:tabs>
        <w:spacing w:after="40"/>
        <w:rPr>
          <w:rFonts w:ascii="Arial" w:hAnsi="Arial" w:cs="Arial"/>
          <w:sz w:val="20"/>
          <w:szCs w:val="20"/>
        </w:rPr>
      </w:pPr>
      <w:r w:rsidRPr="00DE475B">
        <w:rPr>
          <w:rFonts w:ascii="Arial" w:hAnsi="Arial" w:cs="Arial"/>
          <w:sz w:val="20"/>
          <w:szCs w:val="20"/>
        </w:rPr>
        <w:tab/>
        <w:t>C3 Intangibles</w:t>
      </w:r>
    </w:p>
    <w:p w:rsidR="00704C2E" w:rsidRPr="00DE475B" w:rsidRDefault="00704C2E" w:rsidP="007646BC">
      <w:pPr>
        <w:tabs>
          <w:tab w:val="left" w:pos="284"/>
          <w:tab w:val="left" w:pos="709"/>
          <w:tab w:val="left" w:pos="1134"/>
        </w:tabs>
        <w:spacing w:after="40"/>
        <w:rPr>
          <w:rFonts w:ascii="Arial" w:hAnsi="Arial" w:cs="Arial"/>
          <w:i/>
          <w:sz w:val="20"/>
          <w:szCs w:val="20"/>
        </w:rPr>
      </w:pPr>
      <w:r w:rsidRPr="00DE475B">
        <w:rPr>
          <w:rFonts w:ascii="Arial" w:hAnsi="Arial" w:cs="Arial"/>
          <w:sz w:val="20"/>
          <w:szCs w:val="20"/>
        </w:rPr>
        <w:tab/>
      </w:r>
      <w:r w:rsidRPr="00DE475B">
        <w:rPr>
          <w:rFonts w:ascii="Arial" w:hAnsi="Arial" w:cs="Arial"/>
          <w:sz w:val="20"/>
          <w:szCs w:val="20"/>
        </w:rPr>
        <w:tab/>
      </w:r>
      <w:r w:rsidR="00DB3649" w:rsidRPr="00DE475B">
        <w:rPr>
          <w:rFonts w:ascii="Arial" w:hAnsi="Arial" w:cs="Arial"/>
          <w:i/>
          <w:sz w:val="20"/>
          <w:szCs w:val="20"/>
        </w:rPr>
        <w:t>C3-1 Accounting p</w:t>
      </w:r>
      <w:r w:rsidRPr="00DE475B">
        <w:rPr>
          <w:rFonts w:ascii="Arial" w:hAnsi="Arial" w:cs="Arial"/>
          <w:i/>
          <w:sz w:val="20"/>
          <w:szCs w:val="20"/>
        </w:rPr>
        <w:t>olicies</w:t>
      </w:r>
    </w:p>
    <w:p w:rsidR="00704C2E" w:rsidRPr="00DE475B" w:rsidRDefault="00704C2E" w:rsidP="007646BC">
      <w:pPr>
        <w:tabs>
          <w:tab w:val="left" w:pos="284"/>
          <w:tab w:val="left" w:pos="709"/>
          <w:tab w:val="left" w:pos="1134"/>
        </w:tabs>
        <w:spacing w:after="40"/>
        <w:rPr>
          <w:rFonts w:ascii="Arial" w:hAnsi="Arial" w:cs="Arial"/>
          <w:i/>
          <w:sz w:val="20"/>
          <w:szCs w:val="20"/>
        </w:rPr>
      </w:pPr>
      <w:r w:rsidRPr="00DE475B">
        <w:rPr>
          <w:rFonts w:ascii="Arial" w:hAnsi="Arial" w:cs="Arial"/>
          <w:i/>
          <w:sz w:val="20"/>
          <w:szCs w:val="20"/>
        </w:rPr>
        <w:tab/>
      </w:r>
      <w:r w:rsidRPr="00DE475B">
        <w:rPr>
          <w:rFonts w:ascii="Arial" w:hAnsi="Arial" w:cs="Arial"/>
          <w:i/>
          <w:sz w:val="20"/>
          <w:szCs w:val="20"/>
        </w:rPr>
        <w:tab/>
        <w:t>C</w:t>
      </w:r>
      <w:r w:rsidR="000B3724" w:rsidRPr="00DE475B">
        <w:rPr>
          <w:rFonts w:ascii="Arial" w:hAnsi="Arial" w:cs="Arial"/>
          <w:i/>
          <w:sz w:val="20"/>
          <w:szCs w:val="20"/>
        </w:rPr>
        <w:t>3</w:t>
      </w:r>
      <w:r w:rsidR="00DB3649" w:rsidRPr="00DE475B">
        <w:rPr>
          <w:rFonts w:ascii="Arial" w:hAnsi="Arial" w:cs="Arial"/>
          <w:i/>
          <w:sz w:val="20"/>
          <w:szCs w:val="20"/>
        </w:rPr>
        <w:t>-2 Intangible a</w:t>
      </w:r>
      <w:r w:rsidRPr="00DE475B">
        <w:rPr>
          <w:rFonts w:ascii="Arial" w:hAnsi="Arial" w:cs="Arial"/>
          <w:i/>
          <w:sz w:val="20"/>
          <w:szCs w:val="20"/>
        </w:rPr>
        <w:t xml:space="preserve">ssets </w:t>
      </w:r>
      <w:r w:rsidR="00094AA9" w:rsidRPr="00DE475B">
        <w:rPr>
          <w:rFonts w:ascii="Arial" w:hAnsi="Arial" w:cs="Arial"/>
          <w:i/>
          <w:sz w:val="20"/>
          <w:szCs w:val="20"/>
        </w:rPr>
        <w:t>—</w:t>
      </w:r>
      <w:r w:rsidR="00DB3649" w:rsidRPr="00DE475B">
        <w:rPr>
          <w:rFonts w:ascii="Arial" w:hAnsi="Arial" w:cs="Arial"/>
          <w:i/>
          <w:sz w:val="20"/>
          <w:szCs w:val="20"/>
        </w:rPr>
        <w:t xml:space="preserve"> </w:t>
      </w:r>
      <w:proofErr w:type="gramStart"/>
      <w:r w:rsidR="00DB3649" w:rsidRPr="00DE475B">
        <w:rPr>
          <w:rFonts w:ascii="Arial" w:hAnsi="Arial" w:cs="Arial"/>
          <w:i/>
          <w:sz w:val="20"/>
          <w:szCs w:val="20"/>
        </w:rPr>
        <w:t>Balances</w:t>
      </w:r>
      <w:proofErr w:type="gramEnd"/>
      <w:r w:rsidR="00DB3649" w:rsidRPr="00DE475B">
        <w:rPr>
          <w:rFonts w:ascii="Arial" w:hAnsi="Arial" w:cs="Arial"/>
          <w:i/>
          <w:sz w:val="20"/>
          <w:szCs w:val="20"/>
        </w:rPr>
        <w:t xml:space="preserve"> and reconciliations of carrying a</w:t>
      </w:r>
      <w:r w:rsidRPr="00DE475B">
        <w:rPr>
          <w:rFonts w:ascii="Arial" w:hAnsi="Arial" w:cs="Arial"/>
          <w:i/>
          <w:sz w:val="20"/>
          <w:szCs w:val="20"/>
        </w:rPr>
        <w:t>mount</w:t>
      </w:r>
    </w:p>
    <w:p w:rsidR="00704C2E" w:rsidRPr="00DE475B" w:rsidRDefault="00704C2E" w:rsidP="007646BC">
      <w:pPr>
        <w:tabs>
          <w:tab w:val="left" w:pos="284"/>
          <w:tab w:val="left" w:pos="709"/>
          <w:tab w:val="left" w:pos="1134"/>
        </w:tabs>
        <w:spacing w:after="40"/>
        <w:rPr>
          <w:rFonts w:ascii="Arial" w:hAnsi="Arial" w:cs="Arial"/>
          <w:sz w:val="20"/>
          <w:szCs w:val="20"/>
        </w:rPr>
      </w:pPr>
      <w:r w:rsidRPr="00DE475B">
        <w:rPr>
          <w:rFonts w:ascii="Arial" w:hAnsi="Arial" w:cs="Arial"/>
          <w:sz w:val="20"/>
          <w:szCs w:val="20"/>
        </w:rPr>
        <w:tab/>
        <w:t xml:space="preserve">C4 </w:t>
      </w:r>
      <w:r w:rsidR="00DB3649" w:rsidRPr="00DE475B">
        <w:rPr>
          <w:rFonts w:ascii="Arial" w:hAnsi="Arial" w:cs="Arial"/>
          <w:sz w:val="20"/>
          <w:szCs w:val="20"/>
        </w:rPr>
        <w:t>Property, p</w:t>
      </w:r>
      <w:r w:rsidR="00094AA9" w:rsidRPr="00DE475B">
        <w:rPr>
          <w:rFonts w:ascii="Arial" w:hAnsi="Arial" w:cs="Arial"/>
          <w:sz w:val="20"/>
          <w:szCs w:val="20"/>
        </w:rPr>
        <w:t xml:space="preserve">lant and </w:t>
      </w:r>
      <w:r w:rsidR="00DB3649" w:rsidRPr="00DE475B">
        <w:rPr>
          <w:rFonts w:ascii="Arial" w:hAnsi="Arial" w:cs="Arial"/>
          <w:sz w:val="20"/>
          <w:szCs w:val="20"/>
        </w:rPr>
        <w:t>e</w:t>
      </w:r>
      <w:r w:rsidR="00094AA9" w:rsidRPr="00DE475B">
        <w:rPr>
          <w:rFonts w:ascii="Arial" w:hAnsi="Arial" w:cs="Arial"/>
          <w:sz w:val="20"/>
          <w:szCs w:val="20"/>
        </w:rPr>
        <w:t>quipment</w:t>
      </w:r>
    </w:p>
    <w:p w:rsidR="00704C2E" w:rsidRPr="00DE475B" w:rsidRDefault="00704C2E" w:rsidP="007646BC">
      <w:pPr>
        <w:tabs>
          <w:tab w:val="left" w:pos="284"/>
          <w:tab w:val="left" w:pos="709"/>
          <w:tab w:val="left" w:pos="1134"/>
        </w:tabs>
        <w:spacing w:after="40"/>
        <w:rPr>
          <w:rFonts w:ascii="Arial" w:hAnsi="Arial" w:cs="Arial"/>
          <w:i/>
          <w:sz w:val="20"/>
          <w:szCs w:val="20"/>
        </w:rPr>
      </w:pPr>
      <w:r w:rsidRPr="00DE475B">
        <w:rPr>
          <w:rFonts w:ascii="Arial" w:hAnsi="Arial" w:cs="Arial"/>
          <w:i/>
          <w:sz w:val="20"/>
          <w:szCs w:val="20"/>
        </w:rPr>
        <w:tab/>
      </w:r>
      <w:r w:rsidRPr="00DE475B">
        <w:rPr>
          <w:rFonts w:ascii="Arial" w:hAnsi="Arial" w:cs="Arial"/>
          <w:i/>
          <w:sz w:val="20"/>
          <w:szCs w:val="20"/>
        </w:rPr>
        <w:tab/>
        <w:t xml:space="preserve">C4-1 </w:t>
      </w:r>
      <w:r w:rsidR="00DB3649" w:rsidRPr="00DE475B">
        <w:rPr>
          <w:rFonts w:ascii="Arial" w:hAnsi="Arial" w:cs="Arial"/>
          <w:i/>
          <w:sz w:val="20"/>
          <w:szCs w:val="20"/>
        </w:rPr>
        <w:t>Accounting p</w:t>
      </w:r>
      <w:r w:rsidRPr="00DE475B">
        <w:rPr>
          <w:rFonts w:ascii="Arial" w:hAnsi="Arial" w:cs="Arial"/>
          <w:i/>
          <w:sz w:val="20"/>
          <w:szCs w:val="20"/>
        </w:rPr>
        <w:t>olicies</w:t>
      </w:r>
    </w:p>
    <w:p w:rsidR="00704C2E" w:rsidRPr="00DE475B" w:rsidRDefault="00DB3649" w:rsidP="007646BC">
      <w:pPr>
        <w:tabs>
          <w:tab w:val="left" w:pos="284"/>
          <w:tab w:val="left" w:pos="709"/>
          <w:tab w:val="left" w:pos="1134"/>
        </w:tabs>
        <w:spacing w:after="40"/>
        <w:rPr>
          <w:rFonts w:ascii="Arial" w:hAnsi="Arial" w:cs="Arial"/>
          <w:i/>
          <w:sz w:val="20"/>
          <w:szCs w:val="20"/>
        </w:rPr>
      </w:pPr>
      <w:r w:rsidRPr="00DE475B">
        <w:rPr>
          <w:rFonts w:ascii="Arial" w:hAnsi="Arial" w:cs="Arial"/>
          <w:i/>
          <w:sz w:val="20"/>
          <w:szCs w:val="20"/>
        </w:rPr>
        <w:tab/>
      </w:r>
      <w:r w:rsidRPr="00DE475B">
        <w:rPr>
          <w:rFonts w:ascii="Arial" w:hAnsi="Arial" w:cs="Arial"/>
          <w:i/>
          <w:sz w:val="20"/>
          <w:szCs w:val="20"/>
        </w:rPr>
        <w:tab/>
        <w:t>C4-2 Property, plant and e</w:t>
      </w:r>
      <w:r w:rsidR="00704C2E" w:rsidRPr="00DE475B">
        <w:rPr>
          <w:rFonts w:ascii="Arial" w:hAnsi="Arial" w:cs="Arial"/>
          <w:i/>
          <w:sz w:val="20"/>
          <w:szCs w:val="20"/>
        </w:rPr>
        <w:t xml:space="preserve">quipment </w:t>
      </w:r>
      <w:r w:rsidR="00094AA9" w:rsidRPr="00DE475B">
        <w:rPr>
          <w:rFonts w:ascii="Arial" w:hAnsi="Arial" w:cs="Arial"/>
          <w:i/>
          <w:sz w:val="20"/>
          <w:szCs w:val="20"/>
        </w:rPr>
        <w:t>—</w:t>
      </w:r>
      <w:r w:rsidR="00704C2E" w:rsidRPr="00DE475B">
        <w:rPr>
          <w:rFonts w:ascii="Arial" w:hAnsi="Arial" w:cs="Arial"/>
          <w:i/>
          <w:sz w:val="20"/>
          <w:szCs w:val="20"/>
        </w:rPr>
        <w:t xml:space="preserve"> Cost</w:t>
      </w:r>
    </w:p>
    <w:p w:rsidR="00704C2E" w:rsidRPr="00DE475B" w:rsidRDefault="007646BC" w:rsidP="007646BC">
      <w:pPr>
        <w:tabs>
          <w:tab w:val="left" w:pos="284"/>
          <w:tab w:val="left" w:pos="709"/>
          <w:tab w:val="left" w:pos="1134"/>
        </w:tabs>
        <w:spacing w:after="40"/>
        <w:rPr>
          <w:rFonts w:ascii="Arial" w:hAnsi="Arial" w:cs="Arial"/>
          <w:i/>
          <w:sz w:val="20"/>
          <w:szCs w:val="20"/>
        </w:rPr>
      </w:pPr>
      <w:r w:rsidRPr="00DE475B">
        <w:rPr>
          <w:rFonts w:ascii="Arial" w:hAnsi="Arial" w:cs="Arial"/>
          <w:i/>
          <w:sz w:val="20"/>
          <w:szCs w:val="20"/>
        </w:rPr>
        <w:tab/>
      </w:r>
      <w:r w:rsidRPr="00DE475B">
        <w:rPr>
          <w:rFonts w:ascii="Arial" w:hAnsi="Arial" w:cs="Arial"/>
          <w:i/>
          <w:sz w:val="20"/>
          <w:szCs w:val="20"/>
        </w:rPr>
        <w:tab/>
      </w:r>
      <w:r w:rsidR="00704C2E" w:rsidRPr="00DE475B">
        <w:rPr>
          <w:rFonts w:ascii="Arial" w:hAnsi="Arial" w:cs="Arial"/>
          <w:i/>
          <w:sz w:val="20"/>
          <w:szCs w:val="20"/>
        </w:rPr>
        <w:t>C</w:t>
      </w:r>
      <w:r w:rsidR="000B3724" w:rsidRPr="00DE475B">
        <w:rPr>
          <w:rFonts w:ascii="Arial" w:hAnsi="Arial" w:cs="Arial"/>
          <w:i/>
          <w:sz w:val="20"/>
          <w:szCs w:val="20"/>
        </w:rPr>
        <w:t>4</w:t>
      </w:r>
      <w:r w:rsidR="00DB3649" w:rsidRPr="00DE475B">
        <w:rPr>
          <w:rFonts w:ascii="Arial" w:hAnsi="Arial" w:cs="Arial"/>
          <w:i/>
          <w:sz w:val="20"/>
          <w:szCs w:val="20"/>
        </w:rPr>
        <w:t>-3 Property plant and e</w:t>
      </w:r>
      <w:r w:rsidR="00704C2E" w:rsidRPr="00DE475B">
        <w:rPr>
          <w:rFonts w:ascii="Arial" w:hAnsi="Arial" w:cs="Arial"/>
          <w:i/>
          <w:sz w:val="20"/>
          <w:szCs w:val="20"/>
        </w:rPr>
        <w:t xml:space="preserve">quipment </w:t>
      </w:r>
      <w:r w:rsidR="00094AA9" w:rsidRPr="00DE475B">
        <w:rPr>
          <w:rFonts w:ascii="Arial" w:hAnsi="Arial" w:cs="Arial"/>
          <w:i/>
          <w:sz w:val="20"/>
          <w:szCs w:val="20"/>
        </w:rPr>
        <w:t>—</w:t>
      </w:r>
      <w:r w:rsidR="00704C2E" w:rsidRPr="00DE475B">
        <w:rPr>
          <w:rFonts w:ascii="Arial" w:hAnsi="Arial" w:cs="Arial"/>
          <w:i/>
          <w:sz w:val="20"/>
          <w:szCs w:val="20"/>
        </w:rPr>
        <w:t xml:space="preserve"> </w:t>
      </w:r>
      <w:proofErr w:type="gramStart"/>
      <w:r w:rsidR="00704C2E" w:rsidRPr="00DE475B">
        <w:rPr>
          <w:rFonts w:ascii="Arial" w:hAnsi="Arial" w:cs="Arial"/>
          <w:i/>
          <w:sz w:val="20"/>
          <w:szCs w:val="20"/>
        </w:rPr>
        <w:t>Balances</w:t>
      </w:r>
      <w:proofErr w:type="gramEnd"/>
      <w:r w:rsidR="00704C2E" w:rsidRPr="00DE475B">
        <w:rPr>
          <w:rFonts w:ascii="Arial" w:hAnsi="Arial" w:cs="Arial"/>
          <w:i/>
          <w:sz w:val="20"/>
          <w:szCs w:val="20"/>
        </w:rPr>
        <w:t xml:space="preserve"> and </w:t>
      </w:r>
      <w:r w:rsidR="00DB3649" w:rsidRPr="00DE475B">
        <w:rPr>
          <w:rFonts w:ascii="Arial" w:hAnsi="Arial" w:cs="Arial"/>
          <w:i/>
          <w:sz w:val="20"/>
          <w:szCs w:val="20"/>
        </w:rPr>
        <w:t>r</w:t>
      </w:r>
      <w:r w:rsidR="00704C2E" w:rsidRPr="00DE475B">
        <w:rPr>
          <w:rFonts w:ascii="Arial" w:hAnsi="Arial" w:cs="Arial"/>
          <w:i/>
          <w:sz w:val="20"/>
          <w:szCs w:val="20"/>
        </w:rPr>
        <w:t xml:space="preserve">econciliations of </w:t>
      </w:r>
      <w:r w:rsidR="00DB3649" w:rsidRPr="00DE475B">
        <w:rPr>
          <w:rFonts w:ascii="Arial" w:hAnsi="Arial" w:cs="Arial"/>
          <w:i/>
          <w:sz w:val="20"/>
          <w:szCs w:val="20"/>
        </w:rPr>
        <w:t>carrying a</w:t>
      </w:r>
      <w:r w:rsidR="00704C2E" w:rsidRPr="00DE475B">
        <w:rPr>
          <w:rFonts w:ascii="Arial" w:hAnsi="Arial" w:cs="Arial"/>
          <w:i/>
          <w:sz w:val="20"/>
          <w:szCs w:val="20"/>
        </w:rPr>
        <w:t>mount</w:t>
      </w:r>
    </w:p>
    <w:p w:rsidR="00704C2E" w:rsidRPr="00DE475B" w:rsidRDefault="007646BC" w:rsidP="007646BC">
      <w:pPr>
        <w:tabs>
          <w:tab w:val="left" w:pos="284"/>
          <w:tab w:val="left" w:pos="709"/>
          <w:tab w:val="left" w:pos="1134"/>
        </w:tabs>
        <w:spacing w:after="40"/>
        <w:rPr>
          <w:rFonts w:ascii="Arial" w:hAnsi="Arial" w:cs="Arial"/>
          <w:sz w:val="20"/>
          <w:szCs w:val="20"/>
        </w:rPr>
      </w:pPr>
      <w:r w:rsidRPr="00DE475B">
        <w:rPr>
          <w:rFonts w:ascii="Arial" w:hAnsi="Arial" w:cs="Arial"/>
          <w:sz w:val="20"/>
          <w:szCs w:val="20"/>
        </w:rPr>
        <w:tab/>
        <w:t xml:space="preserve">C5 </w:t>
      </w:r>
      <w:r w:rsidR="00094AA9" w:rsidRPr="00DE475B">
        <w:rPr>
          <w:rFonts w:ascii="Arial" w:hAnsi="Arial" w:cs="Arial"/>
          <w:sz w:val="20"/>
          <w:szCs w:val="20"/>
        </w:rPr>
        <w:t>Payables</w:t>
      </w:r>
    </w:p>
    <w:p w:rsidR="00704C2E" w:rsidRPr="00DE475B" w:rsidRDefault="00704C2E" w:rsidP="007646BC">
      <w:pPr>
        <w:tabs>
          <w:tab w:val="left" w:pos="284"/>
          <w:tab w:val="left" w:pos="709"/>
          <w:tab w:val="left" w:pos="1134"/>
        </w:tabs>
        <w:spacing w:after="40"/>
        <w:rPr>
          <w:rFonts w:ascii="Arial" w:hAnsi="Arial" w:cs="Arial"/>
          <w:sz w:val="20"/>
          <w:szCs w:val="20"/>
        </w:rPr>
      </w:pPr>
      <w:r w:rsidRPr="00DE475B">
        <w:rPr>
          <w:rFonts w:ascii="Arial" w:hAnsi="Arial" w:cs="Arial"/>
          <w:sz w:val="20"/>
          <w:szCs w:val="20"/>
        </w:rPr>
        <w:tab/>
        <w:t>C6</w:t>
      </w:r>
      <w:r w:rsidR="007646BC" w:rsidRPr="00DE475B">
        <w:rPr>
          <w:rFonts w:ascii="Arial" w:hAnsi="Arial" w:cs="Arial"/>
          <w:sz w:val="20"/>
          <w:szCs w:val="20"/>
        </w:rPr>
        <w:t xml:space="preserve"> A</w:t>
      </w:r>
      <w:r w:rsidR="00094AA9" w:rsidRPr="00DE475B">
        <w:rPr>
          <w:rFonts w:ascii="Arial" w:hAnsi="Arial" w:cs="Arial"/>
          <w:sz w:val="20"/>
          <w:szCs w:val="20"/>
        </w:rPr>
        <w:t>ccrued employee benefits</w:t>
      </w:r>
    </w:p>
    <w:p w:rsidR="00ED78A1" w:rsidRDefault="007646BC" w:rsidP="007646BC">
      <w:pPr>
        <w:tabs>
          <w:tab w:val="left" w:pos="284"/>
          <w:tab w:val="left" w:pos="709"/>
          <w:tab w:val="left" w:pos="1134"/>
        </w:tabs>
        <w:spacing w:after="40"/>
        <w:rPr>
          <w:rFonts w:ascii="Arial" w:hAnsi="Arial" w:cs="Arial"/>
          <w:sz w:val="20"/>
          <w:szCs w:val="20"/>
        </w:rPr>
      </w:pPr>
      <w:r w:rsidRPr="00DE475B">
        <w:rPr>
          <w:rFonts w:ascii="Arial" w:hAnsi="Arial" w:cs="Arial"/>
          <w:sz w:val="20"/>
          <w:szCs w:val="20"/>
        </w:rPr>
        <w:tab/>
        <w:t xml:space="preserve">C7 </w:t>
      </w:r>
      <w:r w:rsidR="00094AA9" w:rsidRPr="00DE475B">
        <w:rPr>
          <w:rFonts w:ascii="Arial" w:hAnsi="Arial" w:cs="Arial"/>
          <w:sz w:val="20"/>
          <w:szCs w:val="20"/>
        </w:rPr>
        <w:t>Equity</w:t>
      </w:r>
      <w:r w:rsidR="00D36DBA" w:rsidRPr="00DE475B">
        <w:rPr>
          <w:rFonts w:ascii="Arial" w:hAnsi="Arial" w:cs="Arial"/>
          <w:sz w:val="20"/>
          <w:szCs w:val="20"/>
        </w:rPr>
        <w:tab/>
      </w:r>
    </w:p>
    <w:p w:rsidR="00704C2E" w:rsidRPr="00ED78A1" w:rsidRDefault="00ED78A1" w:rsidP="00ED78A1">
      <w:pPr>
        <w:tabs>
          <w:tab w:val="left" w:pos="284"/>
          <w:tab w:val="left" w:pos="709"/>
          <w:tab w:val="left" w:pos="1134"/>
        </w:tabs>
        <w:spacing w:after="40"/>
        <w:ind w:left="709"/>
        <w:rPr>
          <w:rFonts w:ascii="Arial" w:hAnsi="Arial" w:cs="Arial"/>
          <w:i/>
          <w:sz w:val="20"/>
          <w:szCs w:val="20"/>
        </w:rPr>
      </w:pPr>
      <w:r w:rsidRPr="00ED78A1">
        <w:rPr>
          <w:rFonts w:ascii="Arial" w:hAnsi="Arial" w:cs="Arial"/>
          <w:i/>
          <w:sz w:val="20"/>
          <w:szCs w:val="20"/>
        </w:rPr>
        <w:t>C7-1 Contributed Equity</w:t>
      </w:r>
      <w:r w:rsidR="00704C2E" w:rsidRPr="00ED78A1">
        <w:rPr>
          <w:rFonts w:ascii="Arial" w:hAnsi="Arial" w:cs="Arial"/>
          <w:i/>
          <w:sz w:val="20"/>
          <w:szCs w:val="20"/>
        </w:rPr>
        <w:tab/>
      </w:r>
    </w:p>
    <w:p w:rsidR="007646BC" w:rsidRPr="00DE475B" w:rsidRDefault="007646BC" w:rsidP="007646BC">
      <w:pPr>
        <w:tabs>
          <w:tab w:val="left" w:pos="284"/>
          <w:tab w:val="left" w:pos="709"/>
          <w:tab w:val="left" w:pos="1134"/>
        </w:tabs>
        <w:spacing w:after="40"/>
        <w:rPr>
          <w:rFonts w:ascii="Arial" w:hAnsi="Arial" w:cs="Arial"/>
          <w:i/>
          <w:sz w:val="20"/>
          <w:szCs w:val="20"/>
        </w:rPr>
      </w:pPr>
      <w:r w:rsidRPr="00DE475B">
        <w:rPr>
          <w:rFonts w:ascii="Arial" w:hAnsi="Arial" w:cs="Arial"/>
          <w:i/>
          <w:sz w:val="20"/>
          <w:szCs w:val="20"/>
        </w:rPr>
        <w:tab/>
      </w:r>
      <w:r w:rsidRPr="00DE475B">
        <w:rPr>
          <w:rFonts w:ascii="Arial" w:hAnsi="Arial" w:cs="Arial"/>
          <w:i/>
          <w:sz w:val="20"/>
          <w:szCs w:val="20"/>
        </w:rPr>
        <w:tab/>
      </w:r>
      <w:r w:rsidR="00ED78A1">
        <w:rPr>
          <w:rFonts w:ascii="Arial" w:hAnsi="Arial" w:cs="Arial"/>
          <w:i/>
          <w:sz w:val="20"/>
          <w:szCs w:val="20"/>
        </w:rPr>
        <w:t>C7-2</w:t>
      </w:r>
      <w:r w:rsidRPr="00DE475B">
        <w:rPr>
          <w:rFonts w:ascii="Arial" w:hAnsi="Arial" w:cs="Arial"/>
          <w:i/>
          <w:sz w:val="20"/>
          <w:szCs w:val="20"/>
        </w:rPr>
        <w:t xml:space="preserve"> Asset revaluation surplus by class</w:t>
      </w:r>
    </w:p>
    <w:p w:rsidR="00704C2E" w:rsidRPr="00DE475B" w:rsidRDefault="00704C2E" w:rsidP="00094AA9">
      <w:pPr>
        <w:tabs>
          <w:tab w:val="left" w:pos="1091"/>
          <w:tab w:val="left" w:pos="1636"/>
        </w:tabs>
        <w:spacing w:after="40"/>
        <w:rPr>
          <w:rFonts w:ascii="Arial" w:hAnsi="Arial" w:cs="Arial"/>
          <w:b/>
          <w:bCs/>
          <w:sz w:val="20"/>
          <w:szCs w:val="20"/>
        </w:rPr>
      </w:pPr>
      <w:r w:rsidRPr="00DE475B">
        <w:rPr>
          <w:rFonts w:ascii="Arial" w:hAnsi="Arial" w:cs="Arial"/>
          <w:b/>
          <w:bCs/>
          <w:sz w:val="20"/>
          <w:szCs w:val="20"/>
        </w:rPr>
        <w:t>Section 4:</w:t>
      </w:r>
      <w:r w:rsidRPr="00DE475B">
        <w:rPr>
          <w:rFonts w:ascii="Arial" w:hAnsi="Arial" w:cs="Arial"/>
          <w:b/>
          <w:bCs/>
          <w:sz w:val="20"/>
          <w:szCs w:val="20"/>
        </w:rPr>
        <w:tab/>
        <w:t>Notes about Risk and</w:t>
      </w:r>
      <w:r w:rsidR="00094AA9" w:rsidRPr="00DE475B">
        <w:rPr>
          <w:rFonts w:ascii="Arial" w:hAnsi="Arial" w:cs="Arial"/>
          <w:b/>
          <w:bCs/>
          <w:sz w:val="20"/>
          <w:szCs w:val="20"/>
        </w:rPr>
        <w:t xml:space="preserve"> Other Accounting Uncertainties</w:t>
      </w:r>
    </w:p>
    <w:p w:rsidR="004C4523" w:rsidRPr="004C4523" w:rsidRDefault="004C4523" w:rsidP="004C4523">
      <w:pPr>
        <w:tabs>
          <w:tab w:val="left" w:pos="284"/>
          <w:tab w:val="left" w:pos="709"/>
          <w:tab w:val="left" w:pos="1134"/>
        </w:tabs>
        <w:spacing w:after="40"/>
        <w:ind w:left="284"/>
        <w:rPr>
          <w:rFonts w:ascii="Arial" w:hAnsi="Arial" w:cs="Arial"/>
          <w:sz w:val="20"/>
          <w:szCs w:val="20"/>
        </w:rPr>
      </w:pPr>
      <w:r w:rsidRPr="004C4523">
        <w:rPr>
          <w:rFonts w:ascii="Arial" w:hAnsi="Arial" w:cs="Arial"/>
          <w:sz w:val="20"/>
          <w:szCs w:val="20"/>
        </w:rPr>
        <w:t xml:space="preserve">D1 </w:t>
      </w:r>
      <w:r>
        <w:rPr>
          <w:rFonts w:ascii="Arial" w:hAnsi="Arial" w:cs="Arial"/>
          <w:sz w:val="20"/>
          <w:szCs w:val="20"/>
        </w:rPr>
        <w:t>Fair value m</w:t>
      </w:r>
      <w:r w:rsidRPr="004C4523">
        <w:rPr>
          <w:rFonts w:ascii="Arial" w:hAnsi="Arial" w:cs="Arial"/>
          <w:sz w:val="20"/>
          <w:szCs w:val="20"/>
        </w:rPr>
        <w:t>easurement</w:t>
      </w:r>
    </w:p>
    <w:p w:rsidR="004C4523" w:rsidRPr="004C4523" w:rsidRDefault="004C4523" w:rsidP="004C4523">
      <w:pPr>
        <w:tabs>
          <w:tab w:val="left" w:pos="284"/>
          <w:tab w:val="left" w:pos="709"/>
          <w:tab w:val="left" w:pos="1134"/>
        </w:tabs>
        <w:spacing w:after="40"/>
        <w:ind w:left="709"/>
        <w:rPr>
          <w:rFonts w:ascii="Arial" w:hAnsi="Arial" w:cs="Arial"/>
          <w:i/>
          <w:sz w:val="20"/>
          <w:szCs w:val="20"/>
        </w:rPr>
      </w:pPr>
      <w:r w:rsidRPr="004C4523">
        <w:rPr>
          <w:rFonts w:ascii="Arial" w:hAnsi="Arial" w:cs="Arial"/>
          <w:i/>
          <w:sz w:val="20"/>
          <w:szCs w:val="20"/>
        </w:rPr>
        <w:t>D1-1 Accounting Policies and Inputs for Fair Values</w:t>
      </w:r>
    </w:p>
    <w:p w:rsidR="004C4523" w:rsidRPr="004C4523" w:rsidRDefault="004C4523" w:rsidP="004C4523">
      <w:pPr>
        <w:tabs>
          <w:tab w:val="left" w:pos="284"/>
          <w:tab w:val="left" w:pos="709"/>
          <w:tab w:val="left" w:pos="1134"/>
        </w:tabs>
        <w:spacing w:after="40"/>
        <w:ind w:left="709"/>
        <w:rPr>
          <w:rFonts w:ascii="Arial" w:hAnsi="Arial" w:cs="Arial"/>
          <w:i/>
          <w:sz w:val="20"/>
          <w:szCs w:val="20"/>
        </w:rPr>
      </w:pPr>
      <w:r w:rsidRPr="004C4523">
        <w:rPr>
          <w:rFonts w:ascii="Arial" w:hAnsi="Arial" w:cs="Arial"/>
          <w:i/>
          <w:sz w:val="20"/>
          <w:szCs w:val="20"/>
        </w:rPr>
        <w:t>D1-2 Basis for Fair Values of assets and liabilities</w:t>
      </w:r>
    </w:p>
    <w:p w:rsidR="004C4523" w:rsidRPr="004C4523" w:rsidRDefault="004C4523" w:rsidP="004C4523">
      <w:pPr>
        <w:tabs>
          <w:tab w:val="left" w:pos="284"/>
          <w:tab w:val="left" w:pos="709"/>
          <w:tab w:val="left" w:pos="1134"/>
        </w:tabs>
        <w:spacing w:after="40"/>
        <w:ind w:left="284"/>
        <w:rPr>
          <w:rFonts w:ascii="Arial" w:hAnsi="Arial" w:cs="Arial"/>
          <w:sz w:val="20"/>
          <w:szCs w:val="20"/>
        </w:rPr>
      </w:pPr>
      <w:r w:rsidRPr="004C4523">
        <w:rPr>
          <w:rFonts w:ascii="Arial" w:hAnsi="Arial" w:cs="Arial"/>
          <w:sz w:val="20"/>
          <w:szCs w:val="20"/>
        </w:rPr>
        <w:t>D2 Financial risk disclosures</w:t>
      </w:r>
    </w:p>
    <w:p w:rsidR="004C4523" w:rsidRPr="004C4523" w:rsidRDefault="004C4523" w:rsidP="004C4523">
      <w:pPr>
        <w:tabs>
          <w:tab w:val="left" w:pos="284"/>
          <w:tab w:val="left" w:pos="709"/>
          <w:tab w:val="left" w:pos="1134"/>
        </w:tabs>
        <w:spacing w:after="40"/>
        <w:ind w:left="709"/>
        <w:rPr>
          <w:rFonts w:ascii="Arial" w:hAnsi="Arial" w:cs="Arial"/>
          <w:i/>
          <w:sz w:val="20"/>
          <w:szCs w:val="20"/>
        </w:rPr>
      </w:pPr>
      <w:r w:rsidRPr="004C4523">
        <w:rPr>
          <w:rFonts w:ascii="Arial" w:hAnsi="Arial" w:cs="Arial"/>
          <w:i/>
          <w:sz w:val="20"/>
          <w:szCs w:val="20"/>
        </w:rPr>
        <w:t>D2-1 Accounting Policy</w:t>
      </w:r>
    </w:p>
    <w:p w:rsidR="004C4523" w:rsidRPr="004C4523" w:rsidRDefault="004C4523" w:rsidP="004C4523">
      <w:pPr>
        <w:tabs>
          <w:tab w:val="left" w:pos="284"/>
          <w:tab w:val="left" w:pos="709"/>
          <w:tab w:val="left" w:pos="1134"/>
        </w:tabs>
        <w:spacing w:after="40"/>
        <w:ind w:left="709"/>
        <w:rPr>
          <w:rFonts w:ascii="Arial" w:hAnsi="Arial" w:cs="Arial"/>
          <w:i/>
          <w:sz w:val="20"/>
          <w:szCs w:val="20"/>
        </w:rPr>
      </w:pPr>
      <w:r w:rsidRPr="004C4523">
        <w:rPr>
          <w:rFonts w:ascii="Arial" w:hAnsi="Arial" w:cs="Arial"/>
          <w:i/>
          <w:sz w:val="20"/>
          <w:szCs w:val="20"/>
        </w:rPr>
        <w:t>D2-2 Financial Instrument Categories</w:t>
      </w:r>
    </w:p>
    <w:p w:rsidR="004C4523" w:rsidRPr="004C4523" w:rsidRDefault="004C4523" w:rsidP="004C4523">
      <w:pPr>
        <w:tabs>
          <w:tab w:val="left" w:pos="284"/>
          <w:tab w:val="left" w:pos="709"/>
          <w:tab w:val="left" w:pos="1134"/>
        </w:tabs>
        <w:spacing w:after="40"/>
        <w:ind w:left="709"/>
        <w:rPr>
          <w:rFonts w:ascii="Arial" w:hAnsi="Arial" w:cs="Arial"/>
          <w:i/>
          <w:sz w:val="20"/>
          <w:szCs w:val="20"/>
        </w:rPr>
      </w:pPr>
      <w:r w:rsidRPr="004C4523">
        <w:rPr>
          <w:rFonts w:ascii="Arial" w:hAnsi="Arial" w:cs="Arial"/>
          <w:i/>
          <w:sz w:val="20"/>
          <w:szCs w:val="20"/>
        </w:rPr>
        <w:t xml:space="preserve">D2-3 Financial Risk Management </w:t>
      </w:r>
    </w:p>
    <w:p w:rsidR="004C4523" w:rsidRPr="004C4523" w:rsidRDefault="004C4523" w:rsidP="004C4523">
      <w:pPr>
        <w:tabs>
          <w:tab w:val="left" w:pos="284"/>
          <w:tab w:val="left" w:pos="709"/>
          <w:tab w:val="left" w:pos="1134"/>
        </w:tabs>
        <w:spacing w:after="40"/>
        <w:ind w:left="284"/>
        <w:rPr>
          <w:rFonts w:ascii="Arial" w:hAnsi="Arial" w:cs="Arial"/>
          <w:sz w:val="20"/>
          <w:szCs w:val="20"/>
        </w:rPr>
      </w:pPr>
      <w:r w:rsidRPr="004C4523">
        <w:rPr>
          <w:rFonts w:ascii="Arial" w:hAnsi="Arial" w:cs="Arial"/>
          <w:sz w:val="20"/>
          <w:szCs w:val="20"/>
        </w:rPr>
        <w:t>D3 Contingencies</w:t>
      </w:r>
    </w:p>
    <w:p w:rsidR="004C4523" w:rsidRPr="004C4523" w:rsidRDefault="004C4523" w:rsidP="004C4523">
      <w:pPr>
        <w:tabs>
          <w:tab w:val="left" w:pos="284"/>
          <w:tab w:val="left" w:pos="709"/>
          <w:tab w:val="left" w:pos="1134"/>
        </w:tabs>
        <w:spacing w:after="40"/>
        <w:ind w:left="284"/>
        <w:rPr>
          <w:rFonts w:ascii="Arial" w:hAnsi="Arial" w:cs="Arial"/>
          <w:sz w:val="20"/>
          <w:szCs w:val="20"/>
        </w:rPr>
      </w:pPr>
      <w:r w:rsidRPr="004C4523">
        <w:rPr>
          <w:rFonts w:ascii="Arial" w:hAnsi="Arial" w:cs="Arial"/>
          <w:sz w:val="20"/>
          <w:szCs w:val="20"/>
        </w:rPr>
        <w:t>D4 Commitments</w:t>
      </w:r>
    </w:p>
    <w:p w:rsidR="004C4523" w:rsidRPr="004C4523" w:rsidRDefault="004C4523" w:rsidP="004C4523">
      <w:pPr>
        <w:tabs>
          <w:tab w:val="left" w:pos="284"/>
          <w:tab w:val="left" w:pos="709"/>
          <w:tab w:val="left" w:pos="1134"/>
        </w:tabs>
        <w:spacing w:after="40"/>
        <w:ind w:left="284"/>
        <w:rPr>
          <w:rFonts w:ascii="Arial" w:hAnsi="Arial" w:cs="Arial"/>
          <w:sz w:val="20"/>
          <w:szCs w:val="20"/>
        </w:rPr>
      </w:pPr>
      <w:r w:rsidRPr="004C4523">
        <w:rPr>
          <w:rFonts w:ascii="Arial" w:hAnsi="Arial" w:cs="Arial"/>
          <w:sz w:val="20"/>
          <w:szCs w:val="20"/>
        </w:rPr>
        <w:t>D5 Events after the balance date</w:t>
      </w:r>
    </w:p>
    <w:p w:rsidR="004C4523" w:rsidRPr="004C4523" w:rsidRDefault="004C4523" w:rsidP="004C4523">
      <w:pPr>
        <w:tabs>
          <w:tab w:val="left" w:pos="284"/>
          <w:tab w:val="left" w:pos="709"/>
          <w:tab w:val="left" w:pos="1134"/>
        </w:tabs>
        <w:spacing w:after="40"/>
        <w:ind w:left="284"/>
        <w:rPr>
          <w:rFonts w:ascii="Arial" w:hAnsi="Arial" w:cs="Arial"/>
          <w:sz w:val="20"/>
          <w:szCs w:val="20"/>
        </w:rPr>
      </w:pPr>
      <w:r w:rsidRPr="004C4523">
        <w:rPr>
          <w:rFonts w:ascii="Arial" w:hAnsi="Arial" w:cs="Arial"/>
          <w:sz w:val="20"/>
          <w:szCs w:val="20"/>
        </w:rPr>
        <w:t>D6 Future impact of accounting standards not yet effective</w:t>
      </w:r>
    </w:p>
    <w:p w:rsidR="00704C2E" w:rsidRPr="00DE475B" w:rsidRDefault="00704C2E" w:rsidP="004C4523">
      <w:pPr>
        <w:tabs>
          <w:tab w:val="left" w:pos="284"/>
          <w:tab w:val="left" w:pos="709"/>
          <w:tab w:val="left" w:pos="1134"/>
        </w:tabs>
        <w:spacing w:after="40"/>
        <w:rPr>
          <w:rFonts w:ascii="Arial" w:hAnsi="Arial" w:cs="Arial"/>
          <w:b/>
          <w:bCs/>
          <w:sz w:val="20"/>
          <w:szCs w:val="20"/>
        </w:rPr>
      </w:pPr>
      <w:r w:rsidRPr="00DE475B">
        <w:rPr>
          <w:rFonts w:ascii="Arial" w:hAnsi="Arial" w:cs="Arial"/>
          <w:b/>
          <w:bCs/>
          <w:sz w:val="20"/>
          <w:szCs w:val="20"/>
        </w:rPr>
        <w:lastRenderedPageBreak/>
        <w:t>Section 5:</w:t>
      </w:r>
      <w:r w:rsidRPr="00DE475B">
        <w:rPr>
          <w:rFonts w:ascii="Arial" w:hAnsi="Arial" w:cs="Arial"/>
          <w:b/>
          <w:bCs/>
          <w:sz w:val="20"/>
          <w:szCs w:val="20"/>
        </w:rPr>
        <w:tab/>
        <w:t>Notes about our</w:t>
      </w:r>
      <w:r w:rsidR="00DB3649" w:rsidRPr="00DE475B">
        <w:rPr>
          <w:rFonts w:ascii="Arial" w:hAnsi="Arial" w:cs="Arial"/>
          <w:b/>
          <w:bCs/>
          <w:sz w:val="20"/>
          <w:szCs w:val="20"/>
        </w:rPr>
        <w:t xml:space="preserve"> performance compared to b</w:t>
      </w:r>
      <w:r w:rsidR="00094AA9" w:rsidRPr="00DE475B">
        <w:rPr>
          <w:rFonts w:ascii="Arial" w:hAnsi="Arial" w:cs="Arial"/>
          <w:b/>
          <w:bCs/>
          <w:sz w:val="20"/>
          <w:szCs w:val="20"/>
        </w:rPr>
        <w:t>udget</w:t>
      </w:r>
      <w:r w:rsidRPr="00DE475B">
        <w:rPr>
          <w:rFonts w:ascii="Arial" w:hAnsi="Arial" w:cs="Arial"/>
          <w:sz w:val="20"/>
          <w:szCs w:val="20"/>
        </w:rPr>
        <w:tab/>
      </w:r>
      <w:r w:rsidRPr="00DE475B">
        <w:rPr>
          <w:rFonts w:ascii="Arial" w:hAnsi="Arial" w:cs="Arial"/>
          <w:sz w:val="20"/>
          <w:szCs w:val="20"/>
        </w:rPr>
        <w:tab/>
      </w:r>
    </w:p>
    <w:p w:rsidR="00704C2E" w:rsidRPr="00DE475B" w:rsidRDefault="00704C2E" w:rsidP="007646BC">
      <w:pPr>
        <w:tabs>
          <w:tab w:val="left" w:pos="284"/>
          <w:tab w:val="left" w:pos="709"/>
          <w:tab w:val="left" w:pos="1134"/>
        </w:tabs>
        <w:spacing w:after="40"/>
        <w:rPr>
          <w:rFonts w:ascii="Arial" w:hAnsi="Arial" w:cs="Arial"/>
          <w:sz w:val="20"/>
          <w:szCs w:val="20"/>
        </w:rPr>
      </w:pPr>
      <w:r w:rsidRPr="00DE475B">
        <w:rPr>
          <w:rFonts w:ascii="Arial" w:hAnsi="Arial" w:cs="Arial"/>
          <w:sz w:val="20"/>
          <w:szCs w:val="20"/>
        </w:rPr>
        <w:tab/>
        <w:t xml:space="preserve">E1 </w:t>
      </w:r>
      <w:r w:rsidR="00094AA9" w:rsidRPr="00DE475B">
        <w:rPr>
          <w:rFonts w:ascii="Arial" w:hAnsi="Arial" w:cs="Arial"/>
          <w:sz w:val="20"/>
          <w:szCs w:val="20"/>
        </w:rPr>
        <w:t>Budgetary reporting disclosures</w:t>
      </w:r>
    </w:p>
    <w:p w:rsidR="004D491D" w:rsidRPr="004D491D" w:rsidRDefault="00704C2E" w:rsidP="004D491D">
      <w:pPr>
        <w:tabs>
          <w:tab w:val="left" w:pos="284"/>
          <w:tab w:val="left" w:pos="709"/>
          <w:tab w:val="left" w:pos="1134"/>
        </w:tabs>
        <w:spacing w:after="40"/>
        <w:ind w:left="284"/>
        <w:rPr>
          <w:rFonts w:ascii="Arial" w:hAnsi="Arial" w:cs="Arial"/>
          <w:i/>
          <w:sz w:val="20"/>
          <w:szCs w:val="20"/>
        </w:rPr>
      </w:pPr>
      <w:r w:rsidRPr="00DE475B">
        <w:rPr>
          <w:rFonts w:ascii="Arial" w:hAnsi="Arial" w:cs="Arial"/>
          <w:sz w:val="20"/>
          <w:szCs w:val="20"/>
        </w:rPr>
        <w:tab/>
      </w:r>
      <w:r w:rsidR="004D491D" w:rsidRPr="004D491D">
        <w:rPr>
          <w:rFonts w:ascii="Arial" w:hAnsi="Arial" w:cs="Arial"/>
          <w:i/>
          <w:sz w:val="20"/>
          <w:szCs w:val="20"/>
        </w:rPr>
        <w:t xml:space="preserve">E1-1 </w:t>
      </w:r>
      <w:r w:rsidR="004D491D">
        <w:rPr>
          <w:rFonts w:ascii="Arial" w:hAnsi="Arial" w:cs="Arial"/>
          <w:i/>
          <w:sz w:val="20"/>
          <w:szCs w:val="20"/>
        </w:rPr>
        <w:t>Budget to actual comparison —</w:t>
      </w:r>
      <w:r w:rsidR="004D491D" w:rsidRPr="004D491D">
        <w:rPr>
          <w:rFonts w:ascii="Arial" w:hAnsi="Arial" w:cs="Arial"/>
          <w:i/>
          <w:sz w:val="20"/>
          <w:szCs w:val="20"/>
        </w:rPr>
        <w:t xml:space="preserve"> Statement of Comprehensive Income</w:t>
      </w:r>
    </w:p>
    <w:p w:rsidR="004D491D" w:rsidRPr="004D491D" w:rsidRDefault="004D491D" w:rsidP="004D491D">
      <w:pPr>
        <w:tabs>
          <w:tab w:val="left" w:pos="284"/>
          <w:tab w:val="left" w:pos="709"/>
          <w:tab w:val="left" w:pos="1134"/>
        </w:tabs>
        <w:spacing w:after="40"/>
        <w:ind w:left="709"/>
        <w:rPr>
          <w:rFonts w:ascii="Arial" w:hAnsi="Arial" w:cs="Arial"/>
          <w:i/>
          <w:sz w:val="20"/>
          <w:szCs w:val="20"/>
        </w:rPr>
      </w:pPr>
      <w:r w:rsidRPr="004D491D">
        <w:rPr>
          <w:rFonts w:ascii="Arial" w:hAnsi="Arial" w:cs="Arial"/>
          <w:i/>
          <w:sz w:val="20"/>
          <w:szCs w:val="20"/>
        </w:rPr>
        <w:t xml:space="preserve">E1-2 Explanation of Major Variances </w:t>
      </w:r>
      <w:r>
        <w:rPr>
          <w:rFonts w:ascii="Arial" w:hAnsi="Arial" w:cs="Arial"/>
          <w:i/>
          <w:sz w:val="20"/>
          <w:szCs w:val="20"/>
        </w:rPr>
        <w:t>—</w:t>
      </w:r>
      <w:r w:rsidRPr="004D491D">
        <w:rPr>
          <w:rFonts w:ascii="Arial" w:hAnsi="Arial" w:cs="Arial"/>
          <w:i/>
          <w:sz w:val="20"/>
          <w:szCs w:val="20"/>
        </w:rPr>
        <w:t xml:space="preserve"> Statement of Comprehensive Income</w:t>
      </w:r>
    </w:p>
    <w:p w:rsidR="004D491D" w:rsidRPr="004D491D" w:rsidRDefault="004D491D" w:rsidP="004D491D">
      <w:pPr>
        <w:tabs>
          <w:tab w:val="left" w:pos="284"/>
          <w:tab w:val="left" w:pos="709"/>
          <w:tab w:val="left" w:pos="1134"/>
        </w:tabs>
        <w:spacing w:after="40"/>
        <w:ind w:left="709"/>
        <w:rPr>
          <w:rFonts w:ascii="Arial" w:hAnsi="Arial" w:cs="Arial"/>
          <w:i/>
          <w:sz w:val="20"/>
          <w:szCs w:val="20"/>
        </w:rPr>
      </w:pPr>
      <w:r w:rsidRPr="004D491D">
        <w:rPr>
          <w:rFonts w:ascii="Arial" w:hAnsi="Arial" w:cs="Arial"/>
          <w:i/>
          <w:sz w:val="20"/>
          <w:szCs w:val="20"/>
        </w:rPr>
        <w:t xml:space="preserve">E1-3 Budget to actual comparison </w:t>
      </w:r>
      <w:r>
        <w:rPr>
          <w:rFonts w:ascii="Arial" w:hAnsi="Arial" w:cs="Arial"/>
          <w:i/>
          <w:sz w:val="20"/>
          <w:szCs w:val="20"/>
        </w:rPr>
        <w:t>—</w:t>
      </w:r>
      <w:r w:rsidRPr="004D491D">
        <w:rPr>
          <w:rFonts w:ascii="Arial" w:hAnsi="Arial" w:cs="Arial"/>
          <w:i/>
          <w:sz w:val="20"/>
          <w:szCs w:val="20"/>
        </w:rPr>
        <w:t xml:space="preserve"> Statement of Financial Position</w:t>
      </w:r>
    </w:p>
    <w:p w:rsidR="004D491D" w:rsidRPr="004D491D" w:rsidRDefault="004D491D" w:rsidP="004D491D">
      <w:pPr>
        <w:tabs>
          <w:tab w:val="left" w:pos="284"/>
          <w:tab w:val="left" w:pos="709"/>
          <w:tab w:val="left" w:pos="1134"/>
        </w:tabs>
        <w:spacing w:after="40"/>
        <w:ind w:left="709"/>
        <w:rPr>
          <w:rFonts w:ascii="Arial" w:hAnsi="Arial" w:cs="Arial"/>
          <w:i/>
          <w:sz w:val="20"/>
          <w:szCs w:val="20"/>
        </w:rPr>
      </w:pPr>
      <w:r w:rsidRPr="004D491D">
        <w:rPr>
          <w:rFonts w:ascii="Arial" w:hAnsi="Arial" w:cs="Arial"/>
          <w:i/>
          <w:sz w:val="20"/>
          <w:szCs w:val="20"/>
        </w:rPr>
        <w:t xml:space="preserve">E1-4 Explanation of Major Variances </w:t>
      </w:r>
      <w:r>
        <w:rPr>
          <w:rFonts w:ascii="Arial" w:hAnsi="Arial" w:cs="Arial"/>
          <w:i/>
          <w:sz w:val="20"/>
          <w:szCs w:val="20"/>
        </w:rPr>
        <w:t>—</w:t>
      </w:r>
      <w:r w:rsidRPr="004D491D">
        <w:rPr>
          <w:rFonts w:ascii="Arial" w:hAnsi="Arial" w:cs="Arial"/>
          <w:i/>
          <w:sz w:val="20"/>
          <w:szCs w:val="20"/>
        </w:rPr>
        <w:t xml:space="preserve"> Statement of Financial Position</w:t>
      </w:r>
    </w:p>
    <w:p w:rsidR="004D491D" w:rsidRPr="004D491D" w:rsidRDefault="004D491D" w:rsidP="004D491D">
      <w:pPr>
        <w:tabs>
          <w:tab w:val="left" w:pos="284"/>
          <w:tab w:val="left" w:pos="709"/>
          <w:tab w:val="left" w:pos="1134"/>
        </w:tabs>
        <w:spacing w:after="40"/>
        <w:ind w:left="709"/>
        <w:rPr>
          <w:rFonts w:ascii="Arial" w:hAnsi="Arial" w:cs="Arial"/>
          <w:i/>
          <w:sz w:val="20"/>
          <w:szCs w:val="20"/>
        </w:rPr>
      </w:pPr>
      <w:r w:rsidRPr="004D491D">
        <w:rPr>
          <w:rFonts w:ascii="Arial" w:hAnsi="Arial" w:cs="Arial"/>
          <w:i/>
          <w:sz w:val="20"/>
          <w:szCs w:val="20"/>
        </w:rPr>
        <w:t xml:space="preserve">E1-5 Budget to actual comparison </w:t>
      </w:r>
      <w:r>
        <w:rPr>
          <w:rFonts w:ascii="Arial" w:hAnsi="Arial" w:cs="Arial"/>
          <w:i/>
          <w:sz w:val="20"/>
          <w:szCs w:val="20"/>
        </w:rPr>
        <w:t>—</w:t>
      </w:r>
      <w:r w:rsidRPr="004D491D">
        <w:rPr>
          <w:rFonts w:ascii="Arial" w:hAnsi="Arial" w:cs="Arial"/>
          <w:i/>
          <w:sz w:val="20"/>
          <w:szCs w:val="20"/>
        </w:rPr>
        <w:t xml:space="preserve"> Statement of Cash Flows</w:t>
      </w:r>
    </w:p>
    <w:p w:rsidR="004D491D" w:rsidRPr="004D491D" w:rsidRDefault="004D491D" w:rsidP="004D491D">
      <w:pPr>
        <w:tabs>
          <w:tab w:val="left" w:pos="284"/>
          <w:tab w:val="left" w:pos="709"/>
          <w:tab w:val="left" w:pos="1134"/>
        </w:tabs>
        <w:spacing w:after="40"/>
        <w:ind w:left="709"/>
        <w:rPr>
          <w:rFonts w:ascii="Arial" w:hAnsi="Arial" w:cs="Arial"/>
          <w:i/>
          <w:sz w:val="20"/>
          <w:szCs w:val="20"/>
        </w:rPr>
      </w:pPr>
      <w:r w:rsidRPr="004D491D">
        <w:rPr>
          <w:rFonts w:ascii="Arial" w:hAnsi="Arial" w:cs="Arial"/>
          <w:i/>
          <w:sz w:val="20"/>
          <w:szCs w:val="20"/>
        </w:rPr>
        <w:t xml:space="preserve">E1-6 Explanation of Major Variances </w:t>
      </w:r>
      <w:r>
        <w:rPr>
          <w:rFonts w:ascii="Arial" w:hAnsi="Arial" w:cs="Arial"/>
          <w:i/>
          <w:sz w:val="20"/>
          <w:szCs w:val="20"/>
        </w:rPr>
        <w:t>—</w:t>
      </w:r>
      <w:r w:rsidRPr="004D491D">
        <w:rPr>
          <w:rFonts w:ascii="Arial" w:hAnsi="Arial" w:cs="Arial"/>
          <w:i/>
          <w:sz w:val="20"/>
          <w:szCs w:val="20"/>
        </w:rPr>
        <w:t xml:space="preserve"> Statement of Cash Flows</w:t>
      </w:r>
    </w:p>
    <w:p w:rsidR="00704C2E" w:rsidRPr="00DE475B" w:rsidRDefault="00DB3649" w:rsidP="004D491D">
      <w:pPr>
        <w:tabs>
          <w:tab w:val="left" w:pos="284"/>
          <w:tab w:val="left" w:pos="709"/>
          <w:tab w:val="left" w:pos="1134"/>
        </w:tabs>
        <w:spacing w:after="40"/>
        <w:rPr>
          <w:rFonts w:ascii="Arial" w:hAnsi="Arial" w:cs="Arial"/>
          <w:b/>
          <w:bCs/>
          <w:sz w:val="20"/>
          <w:szCs w:val="20"/>
        </w:rPr>
      </w:pPr>
      <w:r w:rsidRPr="00DE475B">
        <w:rPr>
          <w:rFonts w:ascii="Arial" w:hAnsi="Arial" w:cs="Arial"/>
          <w:b/>
          <w:bCs/>
          <w:sz w:val="20"/>
          <w:szCs w:val="20"/>
        </w:rPr>
        <w:t>Section 6:</w:t>
      </w:r>
      <w:r w:rsidRPr="00DE475B">
        <w:rPr>
          <w:rFonts w:ascii="Arial" w:hAnsi="Arial" w:cs="Arial"/>
          <w:b/>
          <w:bCs/>
          <w:sz w:val="20"/>
          <w:szCs w:val="20"/>
        </w:rPr>
        <w:tab/>
        <w:t>Other i</w:t>
      </w:r>
      <w:r w:rsidR="00094AA9" w:rsidRPr="00DE475B">
        <w:rPr>
          <w:rFonts w:ascii="Arial" w:hAnsi="Arial" w:cs="Arial"/>
          <w:b/>
          <w:bCs/>
          <w:sz w:val="20"/>
          <w:szCs w:val="20"/>
        </w:rPr>
        <w:t>nformation</w:t>
      </w:r>
      <w:r w:rsidR="00704C2E" w:rsidRPr="00DE475B">
        <w:rPr>
          <w:rFonts w:ascii="Arial" w:hAnsi="Arial" w:cs="Arial"/>
          <w:sz w:val="20"/>
          <w:szCs w:val="20"/>
        </w:rPr>
        <w:tab/>
      </w:r>
    </w:p>
    <w:p w:rsidR="00704C2E" w:rsidRPr="00DE475B" w:rsidRDefault="00094AA9" w:rsidP="007646BC">
      <w:pPr>
        <w:tabs>
          <w:tab w:val="left" w:pos="284"/>
          <w:tab w:val="left" w:pos="709"/>
          <w:tab w:val="left" w:pos="1134"/>
        </w:tabs>
        <w:spacing w:after="40"/>
        <w:rPr>
          <w:rFonts w:ascii="Arial" w:hAnsi="Arial" w:cs="Arial"/>
          <w:sz w:val="20"/>
          <w:szCs w:val="20"/>
        </w:rPr>
      </w:pPr>
      <w:r w:rsidRPr="00DE475B">
        <w:rPr>
          <w:rFonts w:ascii="Arial" w:hAnsi="Arial" w:cs="Arial"/>
          <w:sz w:val="20"/>
          <w:szCs w:val="20"/>
        </w:rPr>
        <w:tab/>
      </w:r>
      <w:r w:rsidR="00704C2E" w:rsidRPr="00DE475B">
        <w:rPr>
          <w:rFonts w:ascii="Arial" w:hAnsi="Arial" w:cs="Arial"/>
          <w:sz w:val="20"/>
          <w:szCs w:val="20"/>
        </w:rPr>
        <w:t xml:space="preserve">F1 </w:t>
      </w:r>
      <w:r w:rsidR="007646BC" w:rsidRPr="00DE475B">
        <w:rPr>
          <w:rFonts w:ascii="Arial" w:hAnsi="Arial" w:cs="Arial"/>
          <w:sz w:val="20"/>
          <w:szCs w:val="20"/>
        </w:rPr>
        <w:t>K</w:t>
      </w:r>
      <w:r w:rsidRPr="00DE475B">
        <w:rPr>
          <w:rFonts w:ascii="Arial" w:hAnsi="Arial" w:cs="Arial"/>
          <w:sz w:val="20"/>
          <w:szCs w:val="20"/>
        </w:rPr>
        <w:t xml:space="preserve">ey management personnel </w:t>
      </w:r>
      <w:r w:rsidR="00ED6DE7">
        <w:rPr>
          <w:rFonts w:ascii="Arial" w:hAnsi="Arial" w:cs="Arial"/>
          <w:sz w:val="20"/>
          <w:szCs w:val="20"/>
        </w:rPr>
        <w:t>(</w:t>
      </w:r>
      <w:proofErr w:type="spellStart"/>
      <w:r w:rsidR="00ED6DE7">
        <w:rPr>
          <w:rFonts w:ascii="Arial" w:hAnsi="Arial" w:cs="Arial"/>
          <w:sz w:val="20"/>
          <w:szCs w:val="20"/>
        </w:rPr>
        <w:t>KMP</w:t>
      </w:r>
      <w:proofErr w:type="spellEnd"/>
      <w:r w:rsidR="00ED6DE7">
        <w:rPr>
          <w:rFonts w:ascii="Arial" w:hAnsi="Arial" w:cs="Arial"/>
          <w:sz w:val="20"/>
          <w:szCs w:val="20"/>
        </w:rPr>
        <w:t xml:space="preserve">) </w:t>
      </w:r>
      <w:r w:rsidRPr="00DE475B">
        <w:rPr>
          <w:rFonts w:ascii="Arial" w:hAnsi="Arial" w:cs="Arial"/>
          <w:sz w:val="20"/>
          <w:szCs w:val="20"/>
        </w:rPr>
        <w:t>disclosures</w:t>
      </w:r>
    </w:p>
    <w:p w:rsidR="00704C2E" w:rsidRPr="00DE475B" w:rsidRDefault="00704C2E" w:rsidP="007646BC">
      <w:pPr>
        <w:tabs>
          <w:tab w:val="left" w:pos="284"/>
          <w:tab w:val="left" w:pos="709"/>
          <w:tab w:val="left" w:pos="1134"/>
        </w:tabs>
        <w:spacing w:after="40"/>
        <w:rPr>
          <w:rFonts w:ascii="Arial" w:hAnsi="Arial" w:cs="Arial"/>
          <w:i/>
          <w:sz w:val="20"/>
          <w:szCs w:val="20"/>
        </w:rPr>
      </w:pPr>
      <w:r w:rsidRPr="00DE475B">
        <w:rPr>
          <w:rFonts w:ascii="Arial" w:hAnsi="Arial" w:cs="Arial"/>
          <w:sz w:val="20"/>
          <w:szCs w:val="20"/>
        </w:rPr>
        <w:tab/>
      </w:r>
      <w:r w:rsidRPr="00DE475B">
        <w:rPr>
          <w:rFonts w:ascii="Arial" w:hAnsi="Arial" w:cs="Arial"/>
          <w:sz w:val="20"/>
          <w:szCs w:val="20"/>
        </w:rPr>
        <w:tab/>
      </w:r>
      <w:r w:rsidRPr="00DE475B">
        <w:rPr>
          <w:rFonts w:ascii="Arial" w:hAnsi="Arial" w:cs="Arial"/>
          <w:i/>
          <w:sz w:val="20"/>
          <w:szCs w:val="20"/>
        </w:rPr>
        <w:t>F1-1 Details of Key Management Personnel</w:t>
      </w:r>
    </w:p>
    <w:p w:rsidR="00174FA7" w:rsidRDefault="00174FA7" w:rsidP="00174FA7">
      <w:pPr>
        <w:tabs>
          <w:tab w:val="left" w:pos="284"/>
          <w:tab w:val="left" w:pos="709"/>
          <w:tab w:val="left" w:pos="1134"/>
        </w:tabs>
        <w:spacing w:after="40"/>
        <w:ind w:left="709"/>
        <w:rPr>
          <w:rFonts w:ascii="Arial" w:hAnsi="Arial" w:cs="Arial"/>
          <w:i/>
          <w:sz w:val="20"/>
          <w:szCs w:val="20"/>
        </w:rPr>
      </w:pPr>
      <w:r w:rsidRPr="00DE475B">
        <w:rPr>
          <w:rFonts w:ascii="Arial" w:hAnsi="Arial" w:cs="Arial"/>
          <w:i/>
          <w:sz w:val="20"/>
          <w:szCs w:val="20"/>
        </w:rPr>
        <w:t xml:space="preserve">F1-2 </w:t>
      </w:r>
      <w:r>
        <w:rPr>
          <w:rFonts w:ascii="Arial" w:hAnsi="Arial" w:cs="Arial"/>
          <w:i/>
          <w:sz w:val="20"/>
          <w:szCs w:val="20"/>
        </w:rPr>
        <w:t>R</w:t>
      </w:r>
      <w:r w:rsidRPr="00DE475B">
        <w:rPr>
          <w:rFonts w:ascii="Arial" w:hAnsi="Arial" w:cs="Arial"/>
          <w:i/>
          <w:sz w:val="20"/>
          <w:szCs w:val="20"/>
        </w:rPr>
        <w:t xml:space="preserve">emuneration </w:t>
      </w:r>
      <w:r>
        <w:rPr>
          <w:rFonts w:ascii="Arial" w:hAnsi="Arial" w:cs="Arial"/>
          <w:i/>
          <w:sz w:val="20"/>
          <w:szCs w:val="20"/>
        </w:rPr>
        <w:t>policies</w:t>
      </w:r>
      <w:r w:rsidR="00094AA9" w:rsidRPr="00DE475B">
        <w:rPr>
          <w:rFonts w:ascii="Arial" w:hAnsi="Arial" w:cs="Arial"/>
          <w:i/>
          <w:sz w:val="20"/>
          <w:szCs w:val="20"/>
        </w:rPr>
        <w:tab/>
      </w:r>
      <w:r w:rsidR="00094AA9" w:rsidRPr="00DE475B">
        <w:rPr>
          <w:rFonts w:ascii="Arial" w:hAnsi="Arial" w:cs="Arial"/>
          <w:i/>
          <w:sz w:val="20"/>
          <w:szCs w:val="20"/>
        </w:rPr>
        <w:tab/>
      </w:r>
    </w:p>
    <w:p w:rsidR="00704C2E" w:rsidRPr="00DE475B" w:rsidRDefault="00094AA9" w:rsidP="00174FA7">
      <w:pPr>
        <w:tabs>
          <w:tab w:val="left" w:pos="284"/>
          <w:tab w:val="left" w:pos="709"/>
          <w:tab w:val="left" w:pos="1134"/>
        </w:tabs>
        <w:spacing w:after="40"/>
        <w:ind w:left="709"/>
        <w:rPr>
          <w:rFonts w:ascii="Arial" w:hAnsi="Arial" w:cs="Arial"/>
          <w:i/>
          <w:sz w:val="20"/>
          <w:szCs w:val="20"/>
        </w:rPr>
      </w:pPr>
      <w:r w:rsidRPr="00DE475B">
        <w:rPr>
          <w:rFonts w:ascii="Arial" w:hAnsi="Arial" w:cs="Arial"/>
          <w:i/>
          <w:sz w:val="20"/>
          <w:szCs w:val="20"/>
        </w:rPr>
        <w:t>F1-</w:t>
      </w:r>
      <w:r w:rsidR="00174FA7">
        <w:rPr>
          <w:rFonts w:ascii="Arial" w:hAnsi="Arial" w:cs="Arial"/>
          <w:i/>
          <w:sz w:val="20"/>
          <w:szCs w:val="20"/>
        </w:rPr>
        <w:t>3</w:t>
      </w:r>
      <w:r w:rsidRPr="00DE475B">
        <w:rPr>
          <w:rFonts w:ascii="Arial" w:hAnsi="Arial" w:cs="Arial"/>
          <w:i/>
          <w:sz w:val="20"/>
          <w:szCs w:val="20"/>
        </w:rPr>
        <w:t xml:space="preserve"> </w:t>
      </w:r>
      <w:proofErr w:type="spellStart"/>
      <w:r w:rsidR="00DB3649" w:rsidRPr="00DE475B">
        <w:rPr>
          <w:rFonts w:ascii="Arial" w:hAnsi="Arial" w:cs="Arial"/>
          <w:i/>
          <w:sz w:val="20"/>
          <w:szCs w:val="20"/>
        </w:rPr>
        <w:t>KMP</w:t>
      </w:r>
      <w:proofErr w:type="spellEnd"/>
      <w:r w:rsidR="00DB3649" w:rsidRPr="00DE475B">
        <w:rPr>
          <w:rFonts w:ascii="Arial" w:hAnsi="Arial" w:cs="Arial"/>
          <w:i/>
          <w:sz w:val="20"/>
          <w:szCs w:val="20"/>
        </w:rPr>
        <w:t xml:space="preserve"> remuneration e</w:t>
      </w:r>
      <w:r w:rsidR="000B3724" w:rsidRPr="00DE475B">
        <w:rPr>
          <w:rFonts w:ascii="Arial" w:hAnsi="Arial" w:cs="Arial"/>
          <w:i/>
          <w:sz w:val="20"/>
          <w:szCs w:val="20"/>
        </w:rPr>
        <w:t>xpense</w:t>
      </w:r>
    </w:p>
    <w:p w:rsidR="00704C2E" w:rsidRPr="00DE475B" w:rsidRDefault="00704C2E" w:rsidP="007646BC">
      <w:pPr>
        <w:tabs>
          <w:tab w:val="left" w:pos="284"/>
          <w:tab w:val="left" w:pos="709"/>
          <w:tab w:val="left" w:pos="1134"/>
        </w:tabs>
        <w:spacing w:after="40"/>
        <w:rPr>
          <w:rFonts w:ascii="Arial" w:hAnsi="Arial" w:cs="Arial"/>
          <w:i/>
          <w:sz w:val="20"/>
          <w:szCs w:val="20"/>
        </w:rPr>
      </w:pPr>
      <w:r w:rsidRPr="00DE475B">
        <w:rPr>
          <w:rFonts w:ascii="Arial" w:hAnsi="Arial" w:cs="Arial"/>
          <w:i/>
          <w:sz w:val="20"/>
          <w:szCs w:val="20"/>
        </w:rPr>
        <w:tab/>
      </w:r>
      <w:r w:rsidRPr="00DE475B">
        <w:rPr>
          <w:rFonts w:ascii="Arial" w:hAnsi="Arial" w:cs="Arial"/>
          <w:i/>
          <w:sz w:val="20"/>
          <w:szCs w:val="20"/>
        </w:rPr>
        <w:tab/>
      </w:r>
      <w:r w:rsidR="00174FA7">
        <w:rPr>
          <w:rFonts w:ascii="Arial" w:hAnsi="Arial" w:cs="Arial"/>
          <w:i/>
          <w:sz w:val="20"/>
          <w:szCs w:val="20"/>
        </w:rPr>
        <w:t>F1-4</w:t>
      </w:r>
      <w:r w:rsidRPr="00DE475B">
        <w:rPr>
          <w:rFonts w:ascii="Arial" w:hAnsi="Arial" w:cs="Arial"/>
          <w:i/>
          <w:sz w:val="20"/>
          <w:szCs w:val="20"/>
        </w:rPr>
        <w:t xml:space="preserve"> </w:t>
      </w:r>
      <w:r w:rsidR="000B3724" w:rsidRPr="00DE475B">
        <w:rPr>
          <w:rFonts w:ascii="Arial" w:hAnsi="Arial" w:cs="Arial"/>
          <w:i/>
          <w:sz w:val="20"/>
          <w:szCs w:val="20"/>
        </w:rPr>
        <w:t xml:space="preserve">Library Board </w:t>
      </w:r>
      <w:r w:rsidR="00DB3649" w:rsidRPr="00DE475B">
        <w:rPr>
          <w:rFonts w:ascii="Arial" w:hAnsi="Arial" w:cs="Arial"/>
          <w:i/>
          <w:sz w:val="20"/>
          <w:szCs w:val="20"/>
        </w:rPr>
        <w:t>r</w:t>
      </w:r>
      <w:r w:rsidR="000B3724" w:rsidRPr="00DE475B">
        <w:rPr>
          <w:rFonts w:ascii="Arial" w:hAnsi="Arial" w:cs="Arial"/>
          <w:i/>
          <w:sz w:val="20"/>
          <w:szCs w:val="20"/>
        </w:rPr>
        <w:t xml:space="preserve">emuneration </w:t>
      </w:r>
    </w:p>
    <w:p w:rsidR="00174FA7" w:rsidRDefault="00174FA7" w:rsidP="00174FA7">
      <w:pPr>
        <w:tabs>
          <w:tab w:val="left" w:pos="284"/>
          <w:tab w:val="left" w:pos="709"/>
          <w:tab w:val="left" w:pos="1134"/>
        </w:tabs>
        <w:spacing w:after="40"/>
        <w:ind w:left="284"/>
        <w:rPr>
          <w:rFonts w:ascii="Arial" w:hAnsi="Arial" w:cs="Arial"/>
          <w:sz w:val="20"/>
          <w:szCs w:val="20"/>
        </w:rPr>
      </w:pPr>
      <w:r w:rsidRPr="00DE475B">
        <w:rPr>
          <w:rFonts w:ascii="Arial" w:hAnsi="Arial" w:cs="Arial"/>
          <w:sz w:val="20"/>
          <w:szCs w:val="20"/>
        </w:rPr>
        <w:t>F2</w:t>
      </w:r>
      <w:r>
        <w:rPr>
          <w:rFonts w:ascii="Arial" w:hAnsi="Arial" w:cs="Arial"/>
          <w:sz w:val="20"/>
          <w:szCs w:val="20"/>
        </w:rPr>
        <w:t xml:space="preserve"> Related party transactions</w:t>
      </w:r>
      <w:r w:rsidR="00094AA9" w:rsidRPr="00DE475B">
        <w:rPr>
          <w:rFonts w:ascii="Arial" w:hAnsi="Arial" w:cs="Arial"/>
          <w:sz w:val="20"/>
          <w:szCs w:val="20"/>
        </w:rPr>
        <w:tab/>
      </w:r>
    </w:p>
    <w:p w:rsidR="00704C2E" w:rsidRPr="00DE475B" w:rsidRDefault="00174FA7" w:rsidP="00174FA7">
      <w:pPr>
        <w:tabs>
          <w:tab w:val="left" w:pos="284"/>
          <w:tab w:val="left" w:pos="709"/>
          <w:tab w:val="left" w:pos="1134"/>
        </w:tabs>
        <w:spacing w:after="40"/>
        <w:ind w:left="284"/>
        <w:rPr>
          <w:rFonts w:ascii="Arial" w:hAnsi="Arial" w:cs="Arial"/>
          <w:sz w:val="20"/>
          <w:szCs w:val="20"/>
        </w:rPr>
      </w:pPr>
      <w:r>
        <w:rPr>
          <w:rFonts w:ascii="Arial" w:hAnsi="Arial" w:cs="Arial"/>
          <w:sz w:val="20"/>
          <w:szCs w:val="20"/>
        </w:rPr>
        <w:t>F3</w:t>
      </w:r>
      <w:r w:rsidR="00704C2E" w:rsidRPr="00DE475B">
        <w:rPr>
          <w:rFonts w:ascii="Arial" w:hAnsi="Arial" w:cs="Arial"/>
          <w:sz w:val="20"/>
          <w:szCs w:val="20"/>
        </w:rPr>
        <w:t xml:space="preserve"> </w:t>
      </w:r>
      <w:r w:rsidR="00094AA9" w:rsidRPr="00DE475B">
        <w:rPr>
          <w:rFonts w:ascii="Arial" w:hAnsi="Arial" w:cs="Arial"/>
          <w:sz w:val="20"/>
          <w:szCs w:val="20"/>
        </w:rPr>
        <w:t>First year application of new accounting standards or change in policy</w:t>
      </w:r>
    </w:p>
    <w:p w:rsidR="00704C2E" w:rsidRPr="00DE475B" w:rsidRDefault="00174FA7" w:rsidP="007646BC">
      <w:pPr>
        <w:tabs>
          <w:tab w:val="left" w:pos="284"/>
          <w:tab w:val="left" w:pos="709"/>
          <w:tab w:val="left" w:pos="1134"/>
        </w:tabs>
        <w:spacing w:after="40"/>
        <w:rPr>
          <w:rFonts w:ascii="Arial" w:hAnsi="Arial" w:cs="Arial"/>
          <w:sz w:val="20"/>
          <w:szCs w:val="20"/>
        </w:rPr>
      </w:pPr>
      <w:r>
        <w:rPr>
          <w:rFonts w:ascii="Arial" w:hAnsi="Arial" w:cs="Arial"/>
          <w:sz w:val="20"/>
          <w:szCs w:val="20"/>
        </w:rPr>
        <w:tab/>
        <w:t>F4</w:t>
      </w:r>
      <w:r w:rsidR="00704C2E" w:rsidRPr="00DE475B">
        <w:rPr>
          <w:rFonts w:ascii="Arial" w:hAnsi="Arial" w:cs="Arial"/>
          <w:sz w:val="20"/>
          <w:szCs w:val="20"/>
        </w:rPr>
        <w:t xml:space="preserve"> </w:t>
      </w:r>
      <w:r w:rsidR="00094AA9" w:rsidRPr="00DE475B">
        <w:rPr>
          <w:rFonts w:ascii="Arial" w:hAnsi="Arial" w:cs="Arial"/>
          <w:sz w:val="20"/>
          <w:szCs w:val="20"/>
        </w:rPr>
        <w:t>Taxation</w:t>
      </w:r>
    </w:p>
    <w:p w:rsidR="001F40DC" w:rsidRPr="00DE475B" w:rsidRDefault="001F40DC" w:rsidP="00704C2E">
      <w:pPr>
        <w:tabs>
          <w:tab w:val="left" w:pos="546"/>
          <w:tab w:val="left" w:pos="1091"/>
          <w:tab w:val="left" w:pos="1636"/>
        </w:tabs>
        <w:spacing w:after="40"/>
        <w:rPr>
          <w:rFonts w:ascii="Arial" w:hAnsi="Arial" w:cs="Arial"/>
          <w:sz w:val="20"/>
          <w:szCs w:val="20"/>
        </w:rPr>
      </w:pPr>
    </w:p>
    <w:p w:rsidR="001F40DC" w:rsidRPr="00DE475B" w:rsidRDefault="001F40DC" w:rsidP="001F40DC">
      <w:pPr>
        <w:pStyle w:val="ARbodytext"/>
        <w:rPr>
          <w:b/>
          <w:bCs/>
        </w:rPr>
      </w:pPr>
      <w:r w:rsidRPr="00DE475B">
        <w:rPr>
          <w:b/>
          <w:bCs/>
          <w:i/>
          <w:iCs/>
        </w:rPr>
        <w:t>Library Board of Queensland and controlled entities</w:t>
      </w:r>
    </w:p>
    <w:p w:rsidR="001F40DC" w:rsidRPr="00DE475B" w:rsidRDefault="00373FFE" w:rsidP="001F40DC">
      <w:pPr>
        <w:rPr>
          <w:rFonts w:ascii="Arial" w:hAnsi="Arial" w:cs="Arial"/>
          <w:b/>
          <w:bCs/>
          <w:sz w:val="20"/>
          <w:szCs w:val="20"/>
        </w:rPr>
      </w:pPr>
      <w:r w:rsidRPr="00DE475B">
        <w:rPr>
          <w:noProof/>
          <w:lang w:eastAsia="en-AU"/>
        </w:rPr>
        <mc:AlternateContent>
          <mc:Choice Requires="wps">
            <w:drawing>
              <wp:anchor distT="0" distB="0" distL="114300" distR="114300" simplePos="0" relativeHeight="251677696" behindDoc="0" locked="0" layoutInCell="1" allowOverlap="1" wp14:anchorId="23E838AA" wp14:editId="1ED292B9">
                <wp:simplePos x="0" y="0"/>
                <wp:positionH relativeFrom="column">
                  <wp:posOffset>-66040</wp:posOffset>
                </wp:positionH>
                <wp:positionV relativeFrom="paragraph">
                  <wp:posOffset>-222250</wp:posOffset>
                </wp:positionV>
                <wp:extent cx="5573395" cy="0"/>
                <wp:effectExtent l="13970" t="9525" r="13335" b="9525"/>
                <wp:wrapNone/>
                <wp:docPr id="260"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XkmwIAAHsFAAAOAAAAZHJzL2Uyb0RvYy54bWysVN9v2yAQfp+0/wHx7tqOnV9Wnal1nL10&#10;W6V22jMBHKNh8IDGqab97ztI4jXdyzTVlhAHx/Hdd99x/eHQSbTnxgqtSpxeJRhxRTUTalfir4+b&#10;aIGRdUQxIrXiJX7mFn9YvX93PfQFn+hWS8YNgiDKFkNf4ta5vohjS1veEXule65gs9GmIw5Ms4uZ&#10;IQNE72Q8SZJZPGjDeqMptxZW18dNvArxm4ZT96VpLHdIlhiwuTCaMG79GK+uSbEzpG8FPcEg/4Gi&#10;I0LBpWOoNXEEPRnxV6hOUKOtbtwV1V2sm0ZQHnKAbNLkVTYPLel5yAXIsf1Ik327sPTz/t4gwUo8&#10;mQE/inRQpDuhOJrMAztDbwtwqtS98fnRg3ro7zT9bpHSVUvUjgeUj889HEw9n/HFEW/YHu7YDp80&#10;Ax/y5HSg6tCYzocEEtAhVOR5rAg/OERhcTqdZ9lyihE978WkOB/sjXUfue6Qn5RYAuoQmOzvrPNA&#10;SHF28fcovRFShoJLhYYSLzOfMiUgO/sjnLRaCua9vL81u20lDdoTr53whfRg56VbJxwoWIquxIvR&#10;iRQtJ6xWLFzniJDHOUCSygfnQZtHnGAdHEzDOiQedPNzmSzrRb3Io3wyq6M8Wa+jm02VR7NNOp+u&#10;s3VVrdNfHnWaF61gjCsP/KzhNP83jZy66ai+UcUjVfFl9MApgL1EerOZJvM8W0Tz+TSL8qxOotvF&#10;popuqnQ2m9e31W39CmkdsrdvA3ak0qPST1CNh5YNiAkvimy6nKQYDOh5ULT/MCJyB48VdQYjo903&#10;4dqgYa8+H+Oi8IvE/6fCj9GPRJxr6K2xCqfc/lAFNT/XN7SG7wb/Ptliq9nzvTm3DHR4OHR6jfwT&#10;8tKG+cs3c/UbAAD//wMAUEsDBBQABgAIAAAAIQDe2Ktn4AAAAAsBAAAPAAAAZHJzL2Rvd25yZXYu&#10;eG1sTI9BS8NAEIXvgv9hGcGLtJuaWEvMpoggHgRpqyjettkxG8zOht1tE/+9Iwh6m5n3ePO9aj25&#10;XhwxxM6TgsU8A4HUeNNRq+Dl+X62AhGTJqN7T6jgCyOs69OTSpfGj7TF4y61gkMollqBTWkopYyN&#10;Rafj3A9IrH344HTiNbTSBD1yuOvlZZYtpdMd8QerB7yz2HzuDk7BUxi7mPKi2GB6f314fLObC7dV&#10;6vxsur0BkXBKf2b4wWd0qJlp7w9kougVzBZZwVYe8isuxY7V8joHsf+9yLqS/zvU3wAAAP//AwBQ&#10;SwECLQAUAAYACAAAACEAtoM4kv4AAADhAQAAEwAAAAAAAAAAAAAAAAAAAAAAW0NvbnRlbnRfVHlw&#10;ZXNdLnhtbFBLAQItABQABgAIAAAAIQA4/SH/1gAAAJQBAAALAAAAAAAAAAAAAAAAAC8BAABfcmVs&#10;cy8ucmVsc1BLAQItABQABgAIAAAAIQAOsLXkmwIAAHsFAAAOAAAAAAAAAAAAAAAAAC4CAABkcnMv&#10;ZTJvRG9jLnhtbFBLAQItABQABgAIAAAAIQDe2Ktn4AAAAAsBAAAPAAAAAAAAAAAAAAAAAPUEAABk&#10;cnMvZG93bnJldi54bWxQSwUGAAAAAAQABADzAAAAAgYAAAAA&#10;" strokeweight=".26mm">
                <v:stroke joinstyle="miter" endcap="square"/>
              </v:line>
            </w:pict>
          </mc:Fallback>
        </mc:AlternateContent>
      </w:r>
      <w:r w:rsidR="001F40DC" w:rsidRPr="00DE475B">
        <w:rPr>
          <w:rFonts w:ascii="Arial" w:hAnsi="Arial" w:cs="Arial"/>
          <w:b/>
          <w:bCs/>
          <w:sz w:val="20"/>
          <w:szCs w:val="20"/>
        </w:rPr>
        <w:t>NOTES TO THE FINANCIAL STATEMENTS</w:t>
      </w:r>
    </w:p>
    <w:p w:rsidR="001F40DC" w:rsidRPr="00DE475B" w:rsidRDefault="00F54A3F" w:rsidP="001F40DC">
      <w:r>
        <w:rPr>
          <w:rFonts w:ascii="Arial" w:hAnsi="Arial" w:cs="Arial"/>
          <w:b/>
          <w:bCs/>
          <w:sz w:val="20"/>
          <w:szCs w:val="20"/>
        </w:rPr>
        <w:t>For the year ended 30 June 2017</w:t>
      </w:r>
    </w:p>
    <w:p w:rsidR="001F40DC" w:rsidRPr="00DE475B" w:rsidRDefault="00373FFE" w:rsidP="001F40DC">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676672" behindDoc="0" locked="0" layoutInCell="1" allowOverlap="1" wp14:anchorId="0F538931" wp14:editId="12C2E94E">
                <wp:simplePos x="0" y="0"/>
                <wp:positionH relativeFrom="column">
                  <wp:posOffset>-66040</wp:posOffset>
                </wp:positionH>
                <wp:positionV relativeFrom="paragraph">
                  <wp:posOffset>70485</wp:posOffset>
                </wp:positionV>
                <wp:extent cx="5573395" cy="0"/>
                <wp:effectExtent l="13970" t="13335" r="13335" b="5715"/>
                <wp:wrapNone/>
                <wp:docPr id="259"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pzynQIAAHsFAAAOAAAAZHJzL2Uyb0RvYy54bWysVE1v2zAMvQ/YfxB0d23Hdj6MOkXrOLt0&#10;W4F22FmR5FiYLXmSGicY+t9HKYnXdJdhaAIYokRSj3yPur7Zdy3acW2EkgWOryKMuKSKCbkt8Len&#10;dTDHyFgiGWmV5AU+cINvlh8/XA99zieqUS3jGkESafKhL3BjbZ+HoaEN74i5Uj2XcFgr3RELpt6G&#10;TJMBsndtOImiaTgozXqtKDcGdlfHQ7z0+euaU/u1rg23qC0wYLP+q/13477h8prkW036RtATDPIf&#10;KDoiJFw6ploRS9CzFn+l6gTVyqjaXlHVhaquBeW+Bqgmjt5U89iQnvtaoDmmH9tk3i8t/bJ70Eiw&#10;Ak+yBUaSdEDSvZAcTaYL152hNzk4lfJBu/roXj7294r+MEiqsiFyyz3Kp0MPgbGLCC9CnGF6uGMz&#10;fFYMfMizVb5V+1p3LiU0Ae09I4eREb63iMJmls2SZJFhRM9nIcnPgb029hNXHXKLAreA2icmu3tj&#10;HRCSn13cPVKtRdt6wluJhgIvkilIghKQnfnpI41qBXNezt/o7aZsNdoRpx3/8+XByWu3TlhQcCu6&#10;As9HJ5I3nLBKMn+dJaI9rgFSK11y7rV5xAnW3sLS70PhXje/FtGimlfzNEgn0ypIo9UquF2XaTBd&#10;x7NslazKchW/ONRxmjeCMS4d8LOG4/TfNHKapqP6RhWPrQovs/ueAthLpLfrLJqlyTyYzbIkSJMq&#10;Cu7m6zK4LePpdFbdlXfVG6SVr968D9ixlQ6VegY2Hhs2ICacKJJsMYkxGDDzk9mRH0TaLTxW1GqM&#10;tLLfhW28hp36XI4L4ueR+5+IH7MfG3Hm0FkjC6fa/rQKOD/z60fDTcNxrjaKHR70eWRgwn3Q6TVy&#10;T8hrG9av38zlbwAAAP//AwBQSwMEFAAGAAgAAAAhAPBAaXHeAAAACQEAAA8AAABkcnMvZG93bnJl&#10;di54bWxMj8FKw0AQhu+C77CM4EXaTWyoJWZTRBAPgrRVFG/b7JgNZmfD7raJb+9ID3qc+T/++aZa&#10;T64XRwyx86Qgn2cgkBpvOmoVvL48zFYgYtJkdO8JFXxjhHV9flbp0viRtnjcpVZwCcVSK7ApDaWU&#10;sbHodJz7AYmzTx+cTjyGVpqgRy53vbzOsqV0uiO+YPWA9xabr93BKXgOYxfToig2mD7eHp/e7ebK&#10;bZW6vJjubkEknNIfDL/6rA41O+39gUwUvYJZnhWMcpDnIBhYLW8WIPanhawr+f+D+gcAAP//AwBQ&#10;SwECLQAUAAYACAAAACEAtoM4kv4AAADhAQAAEwAAAAAAAAAAAAAAAAAAAAAAW0NvbnRlbnRfVHlw&#10;ZXNdLnhtbFBLAQItABQABgAIAAAAIQA4/SH/1gAAAJQBAAALAAAAAAAAAAAAAAAAAC8BAABfcmVs&#10;cy8ucmVsc1BLAQItABQABgAIAAAAIQA61pzynQIAAHsFAAAOAAAAAAAAAAAAAAAAAC4CAABkcnMv&#10;ZTJvRG9jLnhtbFBLAQItABQABgAIAAAAIQDwQGlx3gAAAAkBAAAPAAAAAAAAAAAAAAAAAPcEAABk&#10;cnMvZG93bnJldi54bWxQSwUGAAAAAAQABADzAAAAAgYAAAAA&#10;" strokeweight=".26mm">
                <v:stroke joinstyle="miter" endcap="square"/>
              </v:line>
            </w:pict>
          </mc:Fallback>
        </mc:AlternateContent>
      </w:r>
    </w:p>
    <w:p w:rsidR="00795F93" w:rsidRPr="00DE475B" w:rsidRDefault="001F40DC" w:rsidP="00F53D2D">
      <w:pPr>
        <w:pStyle w:val="ARheading3"/>
        <w:tabs>
          <w:tab w:val="left" w:pos="851"/>
        </w:tabs>
        <w:spacing w:after="120"/>
        <w:rPr>
          <w:i/>
        </w:rPr>
      </w:pPr>
      <w:r w:rsidRPr="00DE475B">
        <w:rPr>
          <w:color w:val="808080"/>
        </w:rPr>
        <w:t>A</w:t>
      </w:r>
      <w:r w:rsidR="00A22F64" w:rsidRPr="00DE475B">
        <w:rPr>
          <w:color w:val="808080"/>
        </w:rPr>
        <w:t xml:space="preserve">1 </w:t>
      </w:r>
      <w:r w:rsidR="00795F93" w:rsidRPr="00DE475B">
        <w:rPr>
          <w:color w:val="808080"/>
        </w:rPr>
        <w:t>Objectives and Principal Activities of the Library Board of Queensland</w:t>
      </w:r>
    </w:p>
    <w:p w:rsidR="00BB4542" w:rsidRPr="00DE475B" w:rsidRDefault="00BB4542">
      <w:pPr>
        <w:spacing w:after="120"/>
        <w:rPr>
          <w:rFonts w:ascii="Arial" w:hAnsi="Arial" w:cs="Arial"/>
          <w:sz w:val="20"/>
          <w:szCs w:val="20"/>
        </w:rPr>
        <w:sectPr w:rsidR="00BB4542" w:rsidRPr="00DE475B" w:rsidSect="00B53922">
          <w:headerReference w:type="even" r:id="rId39"/>
          <w:headerReference w:type="default" r:id="rId40"/>
          <w:footerReference w:type="even" r:id="rId41"/>
          <w:footerReference w:type="default" r:id="rId42"/>
          <w:headerReference w:type="first" r:id="rId43"/>
          <w:footerReference w:type="first" r:id="rId44"/>
          <w:type w:val="continuous"/>
          <w:pgSz w:w="11906" w:h="16838"/>
          <w:pgMar w:top="1440" w:right="1701" w:bottom="1440" w:left="1701" w:header="680" w:footer="680" w:gutter="0"/>
          <w:cols w:space="566"/>
          <w:docGrid w:linePitch="360"/>
        </w:sectPr>
      </w:pPr>
    </w:p>
    <w:p w:rsidR="00885061" w:rsidRPr="00DE475B" w:rsidRDefault="00883DC9">
      <w:pPr>
        <w:spacing w:after="120"/>
        <w:rPr>
          <w:rFonts w:ascii="Arial" w:hAnsi="Arial" w:cs="Arial"/>
          <w:sz w:val="20"/>
          <w:szCs w:val="20"/>
        </w:rPr>
      </w:pPr>
      <w:r w:rsidRPr="00DE475B">
        <w:rPr>
          <w:rFonts w:ascii="Arial" w:hAnsi="Arial" w:cs="Arial"/>
          <w:sz w:val="20"/>
          <w:szCs w:val="20"/>
        </w:rPr>
        <w:lastRenderedPageBreak/>
        <w:t>The Library Board of Queensland's (the Library Board) legislated role is to collect and preserve Queensland's cultural heritage and ensure the intellectual and historical record is preserved for the future. The Library Board oversees the activities of State Library of Queensland (State Library).</w:t>
      </w:r>
      <w:r w:rsidR="000E5586" w:rsidRPr="00DE475B">
        <w:rPr>
          <w:rFonts w:ascii="Arial" w:hAnsi="Arial" w:cs="Arial"/>
          <w:sz w:val="20"/>
          <w:szCs w:val="20"/>
        </w:rPr>
        <w:t xml:space="preserve"> </w:t>
      </w:r>
    </w:p>
    <w:p w:rsidR="00883DC9" w:rsidRPr="00DE475B" w:rsidRDefault="00883DC9" w:rsidP="00883DC9">
      <w:pPr>
        <w:spacing w:after="120"/>
        <w:rPr>
          <w:rFonts w:ascii="Arial" w:hAnsi="Arial" w:cs="Arial"/>
          <w:sz w:val="20"/>
          <w:szCs w:val="20"/>
        </w:rPr>
      </w:pPr>
      <w:r w:rsidRPr="00DE475B">
        <w:rPr>
          <w:rFonts w:ascii="Arial" w:hAnsi="Arial" w:cs="Arial"/>
          <w:sz w:val="20"/>
          <w:szCs w:val="20"/>
        </w:rPr>
        <w:t xml:space="preserve">State Library contributes to the cultural, social and intellectual development of Queenslanders. With a multidisciplinary remit, we support a broad government agenda across education, science, innovation, IT and enterprise. Our objectives are to enable access, engage community and build capability.  </w:t>
      </w:r>
    </w:p>
    <w:p w:rsidR="00C169D4" w:rsidRPr="00DE475B" w:rsidRDefault="00D346B4" w:rsidP="00C169D4">
      <w:pPr>
        <w:spacing w:after="120"/>
        <w:rPr>
          <w:rFonts w:ascii="Arial" w:hAnsi="Arial" w:cs="Arial"/>
          <w:sz w:val="20"/>
          <w:szCs w:val="20"/>
        </w:rPr>
      </w:pPr>
      <w:r w:rsidRPr="00DE475B">
        <w:rPr>
          <w:rFonts w:ascii="Arial" w:hAnsi="Arial" w:cs="Arial"/>
          <w:sz w:val="20"/>
          <w:szCs w:val="20"/>
        </w:rPr>
        <w:lastRenderedPageBreak/>
        <w:t xml:space="preserve">The Library Board is predominantly funded for the outputs it delivers by Parliamentary appropriation. </w:t>
      </w:r>
    </w:p>
    <w:p w:rsidR="00D346B4" w:rsidRPr="00DE475B" w:rsidRDefault="00D346B4">
      <w:pPr>
        <w:spacing w:after="40"/>
        <w:rPr>
          <w:rFonts w:ascii="Arial" w:hAnsi="Arial" w:cs="Arial"/>
          <w:sz w:val="20"/>
          <w:szCs w:val="20"/>
        </w:rPr>
      </w:pPr>
      <w:r w:rsidRPr="00DE475B">
        <w:rPr>
          <w:rFonts w:ascii="Arial" w:hAnsi="Arial" w:cs="Arial"/>
          <w:sz w:val="20"/>
          <w:szCs w:val="20"/>
        </w:rPr>
        <w:t>In 201</w:t>
      </w:r>
      <w:r w:rsidR="00F54A3F">
        <w:rPr>
          <w:rFonts w:ascii="Arial" w:hAnsi="Arial" w:cs="Arial"/>
          <w:sz w:val="20"/>
          <w:szCs w:val="20"/>
        </w:rPr>
        <w:t>6</w:t>
      </w:r>
      <w:r w:rsidRPr="00DE475B">
        <w:rPr>
          <w:rFonts w:ascii="Arial" w:hAnsi="Arial" w:cs="Arial"/>
          <w:sz w:val="20"/>
          <w:szCs w:val="20"/>
        </w:rPr>
        <w:t>–1</w:t>
      </w:r>
      <w:r w:rsidR="00F54A3F">
        <w:rPr>
          <w:rFonts w:ascii="Arial" w:hAnsi="Arial" w:cs="Arial"/>
          <w:sz w:val="20"/>
          <w:szCs w:val="20"/>
        </w:rPr>
        <w:t>7</w:t>
      </w:r>
      <w:r w:rsidRPr="00DE475B">
        <w:rPr>
          <w:rFonts w:ascii="Arial" w:hAnsi="Arial" w:cs="Arial"/>
          <w:sz w:val="20"/>
          <w:szCs w:val="20"/>
        </w:rPr>
        <w:t xml:space="preserve"> it also received revenue from sources including:</w:t>
      </w:r>
    </w:p>
    <w:p w:rsidR="000E5586" w:rsidRPr="00DE475B" w:rsidRDefault="000E5586" w:rsidP="00337D67">
      <w:pPr>
        <w:numPr>
          <w:ilvl w:val="0"/>
          <w:numId w:val="5"/>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building rentals</w:t>
      </w:r>
    </w:p>
    <w:p w:rsidR="000E5586" w:rsidRPr="00DE475B" w:rsidRDefault="000E5586" w:rsidP="00337D67">
      <w:pPr>
        <w:numPr>
          <w:ilvl w:val="0"/>
          <w:numId w:val="5"/>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consultancy and training services</w:t>
      </w:r>
    </w:p>
    <w:p w:rsidR="000E5586" w:rsidRPr="00DE475B" w:rsidRDefault="000E5586" w:rsidP="00337D67">
      <w:pPr>
        <w:numPr>
          <w:ilvl w:val="0"/>
          <w:numId w:val="5"/>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donations</w:t>
      </w:r>
    </w:p>
    <w:p w:rsidR="000E5586" w:rsidRPr="00DE475B" w:rsidRDefault="00883DC9" w:rsidP="00337D67">
      <w:pPr>
        <w:numPr>
          <w:ilvl w:val="0"/>
          <w:numId w:val="5"/>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r</w:t>
      </w:r>
      <w:r w:rsidR="000E5586" w:rsidRPr="00DE475B">
        <w:rPr>
          <w:rFonts w:ascii="Arial" w:hAnsi="Arial" w:cs="Arial"/>
          <w:sz w:val="20"/>
          <w:szCs w:val="20"/>
        </w:rPr>
        <w:t>esearch services</w:t>
      </w:r>
    </w:p>
    <w:p w:rsidR="000E5586" w:rsidRPr="00DE475B" w:rsidRDefault="000E5586" w:rsidP="00337D67">
      <w:pPr>
        <w:numPr>
          <w:ilvl w:val="0"/>
          <w:numId w:val="5"/>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interest on invested funds</w:t>
      </w:r>
    </w:p>
    <w:p w:rsidR="000E5586" w:rsidRPr="00DE475B" w:rsidRDefault="000E5586" w:rsidP="00337D67">
      <w:pPr>
        <w:numPr>
          <w:ilvl w:val="0"/>
          <w:numId w:val="5"/>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network and internet services</w:t>
      </w:r>
    </w:p>
    <w:p w:rsidR="000E5586" w:rsidRPr="00DE475B" w:rsidRDefault="000E5586" w:rsidP="00337D67">
      <w:pPr>
        <w:numPr>
          <w:ilvl w:val="0"/>
          <w:numId w:val="5"/>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preservation and reproduction services</w:t>
      </w:r>
    </w:p>
    <w:p w:rsidR="00D346B4" w:rsidRPr="00DE475B" w:rsidRDefault="000E5586" w:rsidP="00337D67">
      <w:pPr>
        <w:numPr>
          <w:ilvl w:val="0"/>
          <w:numId w:val="5"/>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t</w:t>
      </w:r>
      <w:r w:rsidR="00D346B4" w:rsidRPr="00DE475B">
        <w:rPr>
          <w:rFonts w:ascii="Arial" w:hAnsi="Arial" w:cs="Arial"/>
          <w:sz w:val="20"/>
          <w:szCs w:val="20"/>
        </w:rPr>
        <w:t>he Library Shop</w:t>
      </w:r>
    </w:p>
    <w:p w:rsidR="000E5586" w:rsidRPr="00DE475B" w:rsidRDefault="000E5586" w:rsidP="00337D67">
      <w:pPr>
        <w:numPr>
          <w:ilvl w:val="0"/>
          <w:numId w:val="5"/>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ticket sales</w:t>
      </w:r>
    </w:p>
    <w:p w:rsidR="00D346B4" w:rsidRPr="00DE475B" w:rsidRDefault="00D346B4" w:rsidP="00337D67">
      <w:pPr>
        <w:numPr>
          <w:ilvl w:val="0"/>
          <w:numId w:val="5"/>
        </w:numPr>
        <w:tabs>
          <w:tab w:val="left" w:pos="284"/>
          <w:tab w:val="left" w:pos="360"/>
        </w:tabs>
        <w:spacing w:after="40"/>
        <w:ind w:left="284" w:hanging="284"/>
        <w:rPr>
          <w:rFonts w:ascii="Arial" w:hAnsi="Arial" w:cs="Arial"/>
          <w:sz w:val="20"/>
          <w:szCs w:val="20"/>
        </w:rPr>
        <w:sectPr w:rsidR="00D346B4" w:rsidRPr="00DE475B" w:rsidSect="00B53922">
          <w:type w:val="continuous"/>
          <w:pgSz w:w="11906" w:h="16838"/>
          <w:pgMar w:top="1440" w:right="1701" w:bottom="1440" w:left="1701" w:header="680" w:footer="680" w:gutter="0"/>
          <w:cols w:num="2" w:space="566"/>
          <w:docGrid w:linePitch="360"/>
        </w:sectPr>
      </w:pPr>
      <w:proofErr w:type="gramStart"/>
      <w:r w:rsidRPr="00DE475B">
        <w:rPr>
          <w:rFonts w:ascii="Arial" w:hAnsi="Arial" w:cs="Arial"/>
          <w:sz w:val="20"/>
          <w:szCs w:val="20"/>
        </w:rPr>
        <w:t>venue</w:t>
      </w:r>
      <w:proofErr w:type="gramEnd"/>
      <w:r w:rsidRPr="00DE475B">
        <w:rPr>
          <w:rFonts w:ascii="Arial" w:hAnsi="Arial" w:cs="Arial"/>
          <w:sz w:val="20"/>
          <w:szCs w:val="20"/>
        </w:rPr>
        <w:t xml:space="preserve"> hire</w:t>
      </w:r>
      <w:r w:rsidR="000E5586" w:rsidRPr="00DE475B">
        <w:rPr>
          <w:rFonts w:ascii="Arial" w:hAnsi="Arial" w:cs="Arial"/>
          <w:sz w:val="20"/>
          <w:szCs w:val="20"/>
        </w:rPr>
        <w:t>.</w:t>
      </w:r>
    </w:p>
    <w:p w:rsidR="00A22F64" w:rsidRPr="00DE475B" w:rsidRDefault="00A22F64" w:rsidP="00BB4542">
      <w:pPr>
        <w:rPr>
          <w:rFonts w:ascii="Arial" w:hAnsi="Arial" w:cs="Arial"/>
          <w:b/>
          <w:bCs/>
          <w:sz w:val="20"/>
          <w:szCs w:val="20"/>
        </w:rPr>
      </w:pPr>
    </w:p>
    <w:p w:rsidR="00A22F64" w:rsidRPr="00DE475B" w:rsidRDefault="00A22F64" w:rsidP="00A22F64">
      <w:pPr>
        <w:pStyle w:val="ARheading3"/>
        <w:tabs>
          <w:tab w:val="left" w:pos="851"/>
        </w:tabs>
        <w:spacing w:after="120"/>
        <w:rPr>
          <w:color w:val="808080"/>
        </w:rPr>
      </w:pPr>
      <w:r w:rsidRPr="00DE475B">
        <w:rPr>
          <w:color w:val="808080"/>
        </w:rPr>
        <w:t xml:space="preserve">A2 Basis of Financial </w:t>
      </w:r>
      <w:r w:rsidR="00F54A3F">
        <w:rPr>
          <w:color w:val="808080"/>
        </w:rPr>
        <w:t>Statement p</w:t>
      </w:r>
      <w:r w:rsidRPr="00DE475B">
        <w:rPr>
          <w:color w:val="808080"/>
        </w:rPr>
        <w:t>reparation</w:t>
      </w:r>
    </w:p>
    <w:p w:rsidR="001F40DC" w:rsidRPr="00DE475B" w:rsidRDefault="001F40DC" w:rsidP="00BB4542">
      <w:pPr>
        <w:rPr>
          <w:rFonts w:ascii="Arial" w:hAnsi="Arial" w:cs="Arial"/>
          <w:b/>
          <w:bCs/>
          <w:sz w:val="20"/>
          <w:szCs w:val="20"/>
        </w:rPr>
        <w:sectPr w:rsidR="001F40DC" w:rsidRPr="00DE475B" w:rsidSect="00B53922">
          <w:type w:val="continuous"/>
          <w:pgSz w:w="11906" w:h="16838"/>
          <w:pgMar w:top="1440" w:right="1701" w:bottom="1440" w:left="1701" w:header="680" w:footer="680" w:gutter="0"/>
          <w:cols w:space="720"/>
          <w:docGrid w:linePitch="360"/>
        </w:sectPr>
      </w:pPr>
    </w:p>
    <w:p w:rsidR="00BB4542" w:rsidRPr="00DE475B" w:rsidRDefault="00F54A3F" w:rsidP="00BB4542">
      <w:r>
        <w:rPr>
          <w:rFonts w:ascii="Arial" w:hAnsi="Arial" w:cs="Arial"/>
          <w:b/>
          <w:bCs/>
          <w:sz w:val="20"/>
          <w:szCs w:val="20"/>
        </w:rPr>
        <w:lastRenderedPageBreak/>
        <w:t xml:space="preserve">A2-1 </w:t>
      </w:r>
      <w:r w:rsidR="00BB4542" w:rsidRPr="00DE475B">
        <w:rPr>
          <w:rFonts w:ascii="Arial" w:hAnsi="Arial" w:cs="Arial"/>
          <w:b/>
          <w:bCs/>
          <w:sz w:val="20"/>
          <w:szCs w:val="20"/>
        </w:rPr>
        <w:t>General Information</w:t>
      </w:r>
    </w:p>
    <w:p w:rsidR="00BB4542" w:rsidRPr="00DE475B" w:rsidRDefault="00BB4542" w:rsidP="00A22F64">
      <w:pPr>
        <w:pStyle w:val="ARbodytext"/>
        <w:spacing w:after="120"/>
      </w:pPr>
      <w:r w:rsidRPr="00DE475B">
        <w:t>This report covers the Library Board of Queensland and its controlled entity, the Queensland Library Foundation.</w:t>
      </w:r>
    </w:p>
    <w:p w:rsidR="00BB4542" w:rsidRPr="00354964" w:rsidRDefault="00BB4542" w:rsidP="00A22F64">
      <w:pPr>
        <w:pStyle w:val="ARbodytext"/>
        <w:spacing w:after="120"/>
      </w:pPr>
      <w:r w:rsidRPr="00354964">
        <w:t>The Library Board of Queensland is a Queensland Government Statutory Body established under the</w:t>
      </w:r>
      <w:r w:rsidRPr="00354964">
        <w:rPr>
          <w:i/>
        </w:rPr>
        <w:t xml:space="preserve"> Libraries Act 1988 (Qld)</w:t>
      </w:r>
      <w:r w:rsidRPr="00354964">
        <w:t>.</w:t>
      </w:r>
    </w:p>
    <w:p w:rsidR="00BB4542" w:rsidRPr="00DE475B" w:rsidRDefault="00F54A3F" w:rsidP="00A22F64">
      <w:pPr>
        <w:pStyle w:val="ARbodytext"/>
        <w:spacing w:after="120"/>
      </w:pPr>
      <w:r>
        <w:t>State Library</w:t>
      </w:r>
      <w:r w:rsidR="00BB4542" w:rsidRPr="00DE475B">
        <w:t xml:space="preserve"> is controlled by the State of Queensland</w:t>
      </w:r>
      <w:r w:rsidR="001F40DC" w:rsidRPr="00DE475B">
        <w:t xml:space="preserve"> which is the ultimate parent.</w:t>
      </w:r>
    </w:p>
    <w:p w:rsidR="00BB4542" w:rsidRPr="00DE475B" w:rsidRDefault="00BB4542" w:rsidP="00633EB5">
      <w:pPr>
        <w:pStyle w:val="ARbodytext"/>
        <w:spacing w:after="40"/>
      </w:pPr>
      <w:r w:rsidRPr="00DE475B">
        <w:t>The head office and principal place of business of the agency is:</w:t>
      </w:r>
    </w:p>
    <w:p w:rsidR="00BB4542" w:rsidRPr="00DE475B" w:rsidRDefault="00BB4542" w:rsidP="00633EB5">
      <w:pPr>
        <w:pStyle w:val="ARbodytext"/>
      </w:pPr>
      <w:r w:rsidRPr="00DE475B">
        <w:lastRenderedPageBreak/>
        <w:t>Stanley Place</w:t>
      </w:r>
    </w:p>
    <w:p w:rsidR="00BB4542" w:rsidRPr="00DE475B" w:rsidRDefault="00BB4542" w:rsidP="00A22F64">
      <w:pPr>
        <w:pStyle w:val="ARbodytext"/>
        <w:spacing w:after="120"/>
      </w:pPr>
      <w:r w:rsidRPr="00DE475B">
        <w:t>South Brisbane Qld 4101</w:t>
      </w:r>
    </w:p>
    <w:p w:rsidR="00BB4542" w:rsidRPr="00DE475B" w:rsidRDefault="00BB4542" w:rsidP="00A22F64">
      <w:pPr>
        <w:pStyle w:val="ARbodytext"/>
        <w:spacing w:after="120"/>
      </w:pPr>
      <w:r w:rsidRPr="00DE475B">
        <w:t>A description of the nature of the agency's operations and its principal activities is included in note A1.</w:t>
      </w:r>
    </w:p>
    <w:p w:rsidR="001F40DC" w:rsidRPr="00DE475B" w:rsidRDefault="00BB4542" w:rsidP="001F40DC">
      <w:pPr>
        <w:pStyle w:val="ARbodytext"/>
        <w:spacing w:after="120"/>
      </w:pPr>
      <w:r w:rsidRPr="00DE475B">
        <w:t>For information in relation to the agency's financial report please call the Finance</w:t>
      </w:r>
      <w:r w:rsidR="00113DA3" w:rsidRPr="00DE475B">
        <w:t xml:space="preserve"> team</w:t>
      </w:r>
      <w:r w:rsidRPr="00DE475B">
        <w:t xml:space="preserve"> on (07) 384</w:t>
      </w:r>
      <w:r w:rsidR="00113DA3" w:rsidRPr="00DE475B">
        <w:t>2</w:t>
      </w:r>
      <w:r w:rsidRPr="00DE475B">
        <w:t xml:space="preserve"> </w:t>
      </w:r>
      <w:r w:rsidR="00113DA3" w:rsidRPr="00DE475B">
        <w:t>905</w:t>
      </w:r>
      <w:r w:rsidRPr="00DE475B">
        <w:t>2, email finance@slq.qld.gov.au or visit</w:t>
      </w:r>
      <w:r w:rsidR="00AE20C8" w:rsidRPr="00DE475B">
        <w:t xml:space="preserve"> State Library of Queensland's i</w:t>
      </w:r>
      <w:r w:rsidRPr="00DE475B">
        <w:t xml:space="preserve">nternet site: </w:t>
      </w:r>
      <w:r w:rsidR="001F40DC" w:rsidRPr="00DE475B">
        <w:t>www.slq.qld.gov.au.</w:t>
      </w:r>
    </w:p>
    <w:p w:rsidR="00F54A3F" w:rsidRDefault="00F54A3F" w:rsidP="001F40DC">
      <w:pPr>
        <w:tabs>
          <w:tab w:val="left" w:pos="284"/>
          <w:tab w:val="left" w:pos="5878"/>
          <w:tab w:val="left" w:pos="8548"/>
          <w:tab w:val="left" w:pos="8770"/>
          <w:tab w:val="left" w:pos="10266"/>
          <w:tab w:val="left" w:pos="11702"/>
        </w:tabs>
        <w:rPr>
          <w:rFonts w:ascii="Arial" w:hAnsi="Arial" w:cs="Arial"/>
          <w:b/>
          <w:bCs/>
          <w:sz w:val="20"/>
          <w:szCs w:val="20"/>
        </w:rPr>
      </w:pPr>
    </w:p>
    <w:p w:rsidR="00F54A3F" w:rsidRDefault="00F54A3F" w:rsidP="00F54A3F">
      <w:pPr>
        <w:pStyle w:val="ARbodytext"/>
        <w:rPr>
          <w:b/>
          <w:bCs/>
          <w:i/>
          <w:iCs/>
        </w:rPr>
        <w:sectPr w:rsidR="00F54A3F" w:rsidSect="00B53922">
          <w:type w:val="continuous"/>
          <w:pgSz w:w="11906" w:h="16838"/>
          <w:pgMar w:top="1440" w:right="1701" w:bottom="1440" w:left="1701" w:header="680" w:footer="680" w:gutter="0"/>
          <w:cols w:num="2" w:space="720"/>
          <w:docGrid w:linePitch="360"/>
        </w:sectPr>
      </w:pPr>
    </w:p>
    <w:p w:rsidR="00F54A3F" w:rsidRPr="00DE475B" w:rsidRDefault="00F54A3F" w:rsidP="00F54A3F">
      <w:pPr>
        <w:pStyle w:val="ARbodytext"/>
        <w:rPr>
          <w:b/>
          <w:bCs/>
        </w:rPr>
      </w:pPr>
      <w:r w:rsidRPr="00DE475B">
        <w:rPr>
          <w:noProof/>
          <w:lang w:eastAsia="en-AU"/>
        </w:rPr>
        <w:lastRenderedPageBreak/>
        <mc:AlternateContent>
          <mc:Choice Requires="wps">
            <w:drawing>
              <wp:anchor distT="0" distB="0" distL="114300" distR="114300" simplePos="0" relativeHeight="251719680" behindDoc="0" locked="0" layoutInCell="1" allowOverlap="1" wp14:anchorId="0568EB95" wp14:editId="25227704">
                <wp:simplePos x="0" y="0"/>
                <wp:positionH relativeFrom="column">
                  <wp:posOffset>-66040</wp:posOffset>
                </wp:positionH>
                <wp:positionV relativeFrom="paragraph">
                  <wp:posOffset>-83820</wp:posOffset>
                </wp:positionV>
                <wp:extent cx="5573395" cy="0"/>
                <wp:effectExtent l="19050" t="19050" r="27305" b="38100"/>
                <wp:wrapNone/>
                <wp:docPr id="28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6pt" to="433.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9NnAIAAHsFAAAOAAAAZHJzL2Uyb0RvYy54bWysVFFvmzAQfp+0/2D5nQIBEoJKppaQvXRb&#10;pXbas2ObYA1sZrsh1bT/vrOTsKZ7maYmEvLZd+fv7vvO1x8OfYf2XBuhZInjqwgjLqliQu5K/PVx&#10;E+QYGUskI52SvMTP3OAPq/fvrseh4DPVqo5xjSCJNMU4lLi1dijC0NCW98RcqYFLOGyU7okFU+9C&#10;pskI2fsunEXRPByVZoNWlBsDu+vjIV75/E3Dqf3SNIZb1JUYsFn/1f67dd9wdU2KnSZDK+gJBvkP&#10;FD0REi6dUq2JJehJi79S9YJqZVRjr6jqQ9U0gnJfA1QTR6+qeWjJwH0t0BwzTG0yb5eWft7fayRY&#10;iWf5HCNJeiDpTkiO4mzpujMOpgCnSt5rVx89yIfhTtHvBklVtUTuuEf5+DxAYOwiwosQZ5gB7tiO&#10;nxQDH/JklW/VodG9SwlNQAfPyPPECD9YRGEzyxZJsswwouezkBTnwEEb+5GrHrlFiTtA7ROT/Z2x&#10;Dggpzi7uHqk2ous84Z1EY4mXyRwkQQnIzvzwkUZ1gjkv52/0blt1Gu2J047/+fLg5KVbLywouBN9&#10;ifPJiRQtJ6yWzF9nieiOa4DUSZece20ecYJ1sLD0+1C4183PZbSs8zpPg3Q2r4M0Wq+Dm02VBvNN&#10;vMjWybqq1vEvhzpOi1YwxqUDftZwnP6bRk7TdFTfpOKpVeFldt9TAHuJ9GaTRYs0yYPFIkuCNKmj&#10;4DbfVMFNFc/ni/q2uq1fIa199eZtwE6tdKjUE7Dx0LIRMeFEkWTLWYzBgJmfLY78INLt4LGiVmOk&#10;lf0mbOs17NTnclwQn0fufyJ+yn5sxJlDZ00snGr70yrg/MyvHw03Dce52ir2fK/PIwMT7oNOr5F7&#10;Ql7asH75Zq5+AwAA//8DAFBLAwQUAAYACAAAACEAZH2rr+AAAAALAQAADwAAAGRycy9kb3ducmV2&#10;LnhtbEyPXWvCMBSG7wf+h3CE3QxNtUWlNpUxGLsYDHXDsbvYHJuy5qQk0Xb/fhGE7e58PLznOcVm&#10;MC27oPONJQGzaQIMqbKqoVrAx/vzZAXMB0lKtpZQwA962JSju0Lmyva0w8s+1CyGkM+lAB1Cl3Pu&#10;K41G+qntkOLuZJ2RIbau5srJPoabls+TZMGNbChe0LLDJ43V9/5sBLy5vvEhzbIthq/Dy+un3j6Y&#10;nRD34+FxDSzgEP5guOpHdSij09GeSXnWCpjMkiyi1yKdA4vEarFMgR1vE14W/P8P5S8AAAD//wMA&#10;UEsBAi0AFAAGAAgAAAAhALaDOJL+AAAA4QEAABMAAAAAAAAAAAAAAAAAAAAAAFtDb250ZW50X1R5&#10;cGVzXS54bWxQSwECLQAUAAYACAAAACEAOP0h/9YAAACUAQAACwAAAAAAAAAAAAAAAAAvAQAAX3Jl&#10;bHMvLnJlbHNQSwECLQAUAAYACAAAACEAtIl/TZwCAAB7BQAADgAAAAAAAAAAAAAAAAAuAgAAZHJz&#10;L2Uyb0RvYy54bWxQSwECLQAUAAYACAAAACEAZH2rr+AAAAALAQAADwAAAAAAAAAAAAAAAAD2BAAA&#10;ZHJzL2Rvd25yZXYueG1sUEsFBgAAAAAEAAQA8wAAAAMGAAAAAA==&#10;" strokeweight=".26mm">
                <v:stroke joinstyle="miter" endcap="square"/>
              </v:line>
            </w:pict>
          </mc:Fallback>
        </mc:AlternateContent>
      </w:r>
      <w:r w:rsidRPr="00DE475B">
        <w:rPr>
          <w:b/>
          <w:bCs/>
          <w:i/>
          <w:iCs/>
        </w:rPr>
        <w:t>Library Board of Queensland and controlled entities</w:t>
      </w:r>
    </w:p>
    <w:p w:rsidR="00F54A3F" w:rsidRPr="00DE475B" w:rsidRDefault="00F54A3F" w:rsidP="00F54A3F">
      <w:pPr>
        <w:rPr>
          <w:rFonts w:ascii="Arial" w:hAnsi="Arial" w:cs="Arial"/>
          <w:b/>
          <w:bCs/>
          <w:sz w:val="20"/>
          <w:szCs w:val="20"/>
        </w:rPr>
      </w:pPr>
      <w:r w:rsidRPr="00DE475B">
        <w:rPr>
          <w:rFonts w:ascii="Arial" w:hAnsi="Arial" w:cs="Arial"/>
          <w:b/>
          <w:bCs/>
          <w:sz w:val="20"/>
          <w:szCs w:val="20"/>
        </w:rPr>
        <w:t>NOTES TO THE FINANCIAL STATEMENTS</w:t>
      </w:r>
    </w:p>
    <w:p w:rsidR="00F54A3F" w:rsidRPr="00DE475B" w:rsidRDefault="00F54A3F" w:rsidP="00F54A3F">
      <w:r>
        <w:rPr>
          <w:rFonts w:ascii="Arial" w:hAnsi="Arial" w:cs="Arial"/>
          <w:b/>
          <w:bCs/>
          <w:sz w:val="20"/>
          <w:szCs w:val="20"/>
        </w:rPr>
        <w:t>For the year ended 30 June 2017</w:t>
      </w:r>
    </w:p>
    <w:p w:rsidR="002D72C7" w:rsidRDefault="002D72C7" w:rsidP="002D72C7">
      <w:pPr>
        <w:pStyle w:val="ARheading3"/>
        <w:tabs>
          <w:tab w:val="left" w:pos="851"/>
        </w:tabs>
        <w:rPr>
          <w:color w:val="808080"/>
        </w:rPr>
      </w:pPr>
      <w:r w:rsidRPr="00DE475B">
        <w:rPr>
          <w:b w:val="0"/>
          <w:bCs w:val="0"/>
          <w:noProof/>
          <w:lang w:eastAsia="en-AU"/>
        </w:rPr>
        <mc:AlternateContent>
          <mc:Choice Requires="wps">
            <w:drawing>
              <wp:anchor distT="0" distB="0" distL="114300" distR="114300" simplePos="0" relativeHeight="251720704" behindDoc="0" locked="0" layoutInCell="1" allowOverlap="1" wp14:anchorId="363C9DA9" wp14:editId="4E7921A1">
                <wp:simplePos x="0" y="0"/>
                <wp:positionH relativeFrom="column">
                  <wp:posOffset>-73660</wp:posOffset>
                </wp:positionH>
                <wp:positionV relativeFrom="paragraph">
                  <wp:posOffset>38999</wp:posOffset>
                </wp:positionV>
                <wp:extent cx="5573395" cy="0"/>
                <wp:effectExtent l="19050" t="19050" r="27305" b="38100"/>
                <wp:wrapNone/>
                <wp:docPr id="28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3.05pt" to="43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ZZnAIAAHsFAAAOAAAAZHJzL2Uyb0RvYy54bWysVF1vmzAUfZ+0/2D5nQKBBIJKppaQvXRb&#10;pXbas2ObYA1sZrsh1bT/vmsnYU33Mk1NJOSP6+Nz7znX1x8OfYf2XBuhZInjqwgjLqliQu5K/PVx&#10;E+QYGUskI52SvMTP3OAPq/fvrseh4DPVqo5xjQBEmmIcStxaOxRhaGjLe2Ku1MAlbDZK98TCVO9C&#10;pskI6H0XzqJoEY5Ks0Eryo2B1fVxE688ftNwar80jeEWdSUGbtZ/tf9u3TdcXZNip8nQCnqiQf6D&#10;RU+EhEsnqDWxBD1p8RdUL6hWRjX2iqo+VE0jKPc5QDZx9Cqbh5YM3OcCxTHDVCbzdrD08/5eI8FK&#10;PMszjCTpQaQ7ITmKF74642AKCKrkvXb50YN8GO4U/W6QVFVL5I57lo/PAxyMXT3DiyNuYga4Yzt+&#10;UgxiyJNVvlSHRvcOEoqADl6R50kRfrCIwuJ8niXJco4RPe+FpDgfHLSxH7nqkRuUuAPWHpjs74x1&#10;REhxDnH3SLURXecF7yQaS7xMIEVECdjO/PAnjeoEc1Eu3ujdtuo02hPnHf/z6cHOy7BeWHBwJ/oS&#10;51MQKVpOWC2Zv84S0R3HQKmTDpx7bx55wuxgYejXIXHvm5/LaFnndZ4G6WxRB2m0Xgc3myoNFps4&#10;m6+TdVWt41+OdZwWrWCMS0f87OE4/TePnLrp6L7JxVOpwkt0X1Mge8n0ZjOPsjTJgyybJ0Ga1FFw&#10;m2+q4KaKF4usvq1u61dMa5+9eRuyUykdK/UEajy0bERMOFMk8+UsxjCBnp9lR30Q6XbwWFGrMdLK&#10;fhO29R527nMYF8LnkfufhJ/Qj4U4a+hmkwqn3P6UCjQ/6+tbw3WDe59MsVXs+V6fWwY63B86vUbu&#10;CXk5h/HLN3P1GwAA//8DAFBLAwQUAAYACAAAACEAoohDHNwAAAAHAQAADwAAAGRycy9kb3ducmV2&#10;LnhtbEyOQUvDQBSE74L/YXmCF2k30RJKzKaIIB4Eaau0eNtmn9lg9m3YfW3iv3frRW8zzDDzVavJ&#10;9eKEIXaeFOTzDARS401HrYL3t6fZEkRkTUb3nlDBN0ZY1ZcXlS6NH2mDpy23Io1QLLUCyzyUUsbG&#10;otNx7geklH364DQnG1ppgh7TuOvlbZYV0umO0oPVAz5abL62R6fgNYxd5LvFYo38sXt+2dv1jdso&#10;dX01PdyDYJz4rwxn/IQOdWI6+COZKHoFszwvUlVBkYNI+bI4i8Ovl3Ul//PXPwAAAP//AwBQSwEC&#10;LQAUAAYACAAAACEAtoM4kv4AAADhAQAAEwAAAAAAAAAAAAAAAAAAAAAAW0NvbnRlbnRfVHlwZXNd&#10;LnhtbFBLAQItABQABgAIAAAAIQA4/SH/1gAAAJQBAAALAAAAAAAAAAAAAAAAAC8BAABfcmVscy8u&#10;cmVsc1BLAQItABQABgAIAAAAIQDoMLZZnAIAAHsFAAAOAAAAAAAAAAAAAAAAAC4CAABkcnMvZTJv&#10;RG9jLnhtbFBLAQItABQABgAIAAAAIQCiiEMc3AAAAAcBAAAPAAAAAAAAAAAAAAAAAPYEAABkcnMv&#10;ZG93bnJldi54bWxQSwUGAAAAAAQABADzAAAA/wUAAAAA&#10;" strokeweight=".26mm">
                <v:stroke joinstyle="miter" endcap="square"/>
              </v:line>
            </w:pict>
          </mc:Fallback>
        </mc:AlternateContent>
      </w:r>
    </w:p>
    <w:p w:rsidR="00F54A3F" w:rsidRPr="002D72C7" w:rsidRDefault="002D72C7" w:rsidP="002D72C7">
      <w:pPr>
        <w:pStyle w:val="ARheading3"/>
        <w:tabs>
          <w:tab w:val="left" w:pos="851"/>
        </w:tabs>
        <w:spacing w:after="120"/>
        <w:rPr>
          <w:color w:val="808080"/>
        </w:rPr>
        <w:sectPr w:rsidR="00F54A3F" w:rsidRPr="002D72C7" w:rsidSect="00B53922">
          <w:type w:val="continuous"/>
          <w:pgSz w:w="11906" w:h="16838"/>
          <w:pgMar w:top="1440" w:right="1701" w:bottom="1440" w:left="1701" w:header="680" w:footer="680" w:gutter="0"/>
          <w:cols w:space="720"/>
          <w:docGrid w:linePitch="360"/>
        </w:sectPr>
      </w:pPr>
      <w:r w:rsidRPr="00DE475B">
        <w:rPr>
          <w:color w:val="808080"/>
        </w:rPr>
        <w:t xml:space="preserve">A2 Basis of Financial </w:t>
      </w:r>
      <w:r>
        <w:rPr>
          <w:color w:val="808080"/>
        </w:rPr>
        <w:t>Statement p</w:t>
      </w:r>
      <w:r w:rsidRPr="00DE475B">
        <w:rPr>
          <w:color w:val="808080"/>
        </w:rPr>
        <w:t>reparation</w:t>
      </w:r>
      <w:r>
        <w:rPr>
          <w:color w:val="808080"/>
        </w:rPr>
        <w:t xml:space="preserve"> (continued)</w:t>
      </w:r>
    </w:p>
    <w:p w:rsidR="001F40DC" w:rsidRPr="00DE475B" w:rsidRDefault="00F54A3F" w:rsidP="001F40DC">
      <w:pPr>
        <w:tabs>
          <w:tab w:val="left" w:pos="284"/>
          <w:tab w:val="left" w:pos="5878"/>
          <w:tab w:val="left" w:pos="8548"/>
          <w:tab w:val="left" w:pos="8770"/>
          <w:tab w:val="left" w:pos="10266"/>
          <w:tab w:val="left" w:pos="11702"/>
        </w:tabs>
        <w:rPr>
          <w:rFonts w:ascii="Arial" w:hAnsi="Arial" w:cs="Arial"/>
          <w:sz w:val="20"/>
          <w:szCs w:val="20"/>
        </w:rPr>
      </w:pPr>
      <w:r>
        <w:rPr>
          <w:rFonts w:ascii="Arial" w:hAnsi="Arial" w:cs="Arial"/>
          <w:b/>
          <w:bCs/>
          <w:sz w:val="20"/>
          <w:szCs w:val="20"/>
        </w:rPr>
        <w:lastRenderedPageBreak/>
        <w:t xml:space="preserve">A2-2 </w:t>
      </w:r>
      <w:r w:rsidR="001F40DC" w:rsidRPr="00DE475B">
        <w:rPr>
          <w:rFonts w:ascii="Arial" w:hAnsi="Arial" w:cs="Arial"/>
          <w:b/>
          <w:bCs/>
          <w:sz w:val="20"/>
          <w:szCs w:val="20"/>
        </w:rPr>
        <w:t>Compliance</w:t>
      </w:r>
      <w:r>
        <w:rPr>
          <w:rFonts w:ascii="Arial" w:hAnsi="Arial" w:cs="Arial"/>
          <w:b/>
          <w:bCs/>
          <w:sz w:val="20"/>
          <w:szCs w:val="20"/>
        </w:rPr>
        <w:t xml:space="preserve"> with prescribed requirements</w:t>
      </w:r>
    </w:p>
    <w:p w:rsidR="001F40DC" w:rsidRPr="00DE475B" w:rsidRDefault="001F40DC" w:rsidP="00CB2051">
      <w:pPr>
        <w:tabs>
          <w:tab w:val="left" w:pos="504"/>
          <w:tab w:val="left" w:pos="5878"/>
        </w:tabs>
        <w:spacing w:after="80"/>
        <w:rPr>
          <w:rFonts w:ascii="Arial" w:hAnsi="Arial" w:cs="Arial"/>
          <w:sz w:val="20"/>
          <w:szCs w:val="20"/>
        </w:rPr>
      </w:pPr>
      <w:r w:rsidRPr="00DE475B">
        <w:rPr>
          <w:rFonts w:ascii="Arial" w:hAnsi="Arial" w:cs="Arial"/>
          <w:sz w:val="20"/>
          <w:szCs w:val="20"/>
        </w:rPr>
        <w:t xml:space="preserve">The Library Board has prepared these financial statements in compliance with section 43 of the </w:t>
      </w:r>
      <w:r w:rsidRPr="00DE475B">
        <w:rPr>
          <w:rFonts w:ascii="Arial" w:hAnsi="Arial" w:cs="Arial"/>
          <w:i/>
          <w:iCs/>
          <w:sz w:val="20"/>
          <w:szCs w:val="20"/>
        </w:rPr>
        <w:t>Financial and Performance Management Standard 2009.</w:t>
      </w:r>
      <w:r w:rsidR="00F54A3F">
        <w:rPr>
          <w:rFonts w:ascii="Arial" w:hAnsi="Arial" w:cs="Arial"/>
          <w:i/>
          <w:iCs/>
          <w:sz w:val="20"/>
          <w:szCs w:val="20"/>
        </w:rPr>
        <w:t xml:space="preserve"> </w:t>
      </w:r>
      <w:r w:rsidR="00F54A3F" w:rsidRPr="00F54A3F">
        <w:rPr>
          <w:rFonts w:ascii="Arial" w:hAnsi="Arial" w:cs="Arial"/>
          <w:sz w:val="20"/>
          <w:szCs w:val="20"/>
        </w:rPr>
        <w:t>The financial statements comply with Queensland Treasury's Minimum Reporting Requirements for reporting periods beginning on and after 1 July 2016.</w:t>
      </w:r>
    </w:p>
    <w:p w:rsidR="00F54A3F" w:rsidRPr="00F54A3F" w:rsidRDefault="00F54A3F" w:rsidP="00CB2051">
      <w:pPr>
        <w:tabs>
          <w:tab w:val="left" w:pos="504"/>
          <w:tab w:val="left" w:pos="5878"/>
        </w:tabs>
        <w:spacing w:after="80"/>
        <w:rPr>
          <w:rFonts w:ascii="Arial" w:hAnsi="Arial" w:cs="Arial"/>
          <w:sz w:val="20"/>
          <w:szCs w:val="20"/>
        </w:rPr>
      </w:pPr>
      <w:r w:rsidRPr="00F54A3F">
        <w:rPr>
          <w:rFonts w:ascii="Arial" w:hAnsi="Arial" w:cs="Arial"/>
          <w:sz w:val="20"/>
          <w:szCs w:val="20"/>
        </w:rPr>
        <w:t>The Library Board is a not-for-profit entity and these general purpose financial statements are prepared on an accruals basis (except for the Statement</w:t>
      </w:r>
      <w:r w:rsidR="00851742">
        <w:rPr>
          <w:rFonts w:ascii="Arial" w:hAnsi="Arial" w:cs="Arial"/>
          <w:sz w:val="20"/>
          <w:szCs w:val="20"/>
        </w:rPr>
        <w:t>s</w:t>
      </w:r>
      <w:r w:rsidRPr="00F54A3F">
        <w:rPr>
          <w:rFonts w:ascii="Arial" w:hAnsi="Arial" w:cs="Arial"/>
          <w:sz w:val="20"/>
          <w:szCs w:val="20"/>
        </w:rPr>
        <w:t xml:space="preserve"> of Cash Flows which is prepared on a cash basis) in accordance with Australian Accounting Standards and interpretations applicable for not-for-profit entities.</w:t>
      </w:r>
    </w:p>
    <w:p w:rsidR="00F54A3F" w:rsidRPr="009B096A" w:rsidRDefault="00F54A3F" w:rsidP="00CB2051">
      <w:pPr>
        <w:tabs>
          <w:tab w:val="left" w:pos="504"/>
          <w:tab w:val="left" w:pos="5878"/>
        </w:tabs>
        <w:spacing w:after="100"/>
        <w:rPr>
          <w:rFonts w:ascii="Arial" w:hAnsi="Arial" w:cs="Arial"/>
          <w:spacing w:val="-2"/>
          <w:sz w:val="20"/>
          <w:szCs w:val="20"/>
        </w:rPr>
      </w:pPr>
      <w:r w:rsidRPr="009B096A">
        <w:rPr>
          <w:rFonts w:ascii="Arial" w:hAnsi="Arial" w:cs="Arial"/>
          <w:spacing w:val="-2"/>
          <w:sz w:val="20"/>
          <w:szCs w:val="20"/>
        </w:rPr>
        <w:t>New accounting standards early adopted and/or applied for the first time in these financial statements are outlined in Note F3.</w:t>
      </w:r>
    </w:p>
    <w:p w:rsidR="00F54A3F" w:rsidRPr="00DE475B" w:rsidRDefault="00F54A3F" w:rsidP="00F54A3F">
      <w:pPr>
        <w:tabs>
          <w:tab w:val="left" w:pos="284"/>
          <w:tab w:val="left" w:pos="5878"/>
          <w:tab w:val="left" w:pos="8548"/>
          <w:tab w:val="left" w:pos="8770"/>
          <w:tab w:val="left" w:pos="10266"/>
          <w:tab w:val="left" w:pos="11702"/>
        </w:tabs>
      </w:pPr>
      <w:r>
        <w:rPr>
          <w:rFonts w:ascii="Arial" w:hAnsi="Arial" w:cs="Arial"/>
          <w:b/>
          <w:bCs/>
          <w:sz w:val="20"/>
          <w:szCs w:val="20"/>
        </w:rPr>
        <w:t xml:space="preserve">A2-3 </w:t>
      </w:r>
      <w:r w:rsidRPr="00DE475B">
        <w:rPr>
          <w:rFonts w:ascii="Arial" w:hAnsi="Arial" w:cs="Arial"/>
          <w:b/>
          <w:bCs/>
          <w:sz w:val="20"/>
          <w:szCs w:val="20"/>
        </w:rPr>
        <w:t>Presentation</w:t>
      </w:r>
      <w:r w:rsidRPr="00DE475B">
        <w:tab/>
      </w:r>
      <w:r w:rsidRPr="00DE475B">
        <w:tab/>
      </w:r>
      <w:r w:rsidRPr="00DE475B">
        <w:tab/>
      </w:r>
    </w:p>
    <w:p w:rsidR="00F54A3F" w:rsidRPr="00DE475B" w:rsidRDefault="00F54A3F" w:rsidP="00F54A3F">
      <w:r w:rsidRPr="00DE475B">
        <w:rPr>
          <w:rFonts w:ascii="Arial" w:hAnsi="Arial" w:cs="Arial"/>
          <w:i/>
          <w:iCs/>
          <w:sz w:val="20"/>
          <w:szCs w:val="20"/>
        </w:rPr>
        <w:t>Currency and Rounding</w:t>
      </w:r>
    </w:p>
    <w:p w:rsidR="00F54A3F" w:rsidRPr="00DE475B" w:rsidRDefault="00F54A3F" w:rsidP="00CB2051">
      <w:pPr>
        <w:tabs>
          <w:tab w:val="left" w:pos="504"/>
          <w:tab w:val="left" w:pos="5878"/>
        </w:tabs>
        <w:spacing w:after="100"/>
        <w:rPr>
          <w:rFonts w:ascii="Arial" w:hAnsi="Arial" w:cs="Arial"/>
          <w:sz w:val="20"/>
          <w:szCs w:val="20"/>
        </w:rPr>
      </w:pPr>
      <w:r w:rsidRPr="00DE475B">
        <w:rPr>
          <w:rFonts w:ascii="Arial" w:hAnsi="Arial" w:cs="Arial"/>
          <w:sz w:val="20"/>
          <w:szCs w:val="20"/>
        </w:rPr>
        <w:t>Amounts included in the financial statements are in Australian dollars and have been rounded to the nearest $1,000 or, where that amount is $500 or less, to zero, unless disclosure of the full amount is specifically required.</w:t>
      </w:r>
    </w:p>
    <w:p w:rsidR="00F54A3F" w:rsidRPr="00DE475B" w:rsidRDefault="00F54A3F" w:rsidP="00F54A3F">
      <w:pPr>
        <w:rPr>
          <w:rFonts w:ascii="Arial" w:hAnsi="Arial" w:cs="Arial"/>
          <w:i/>
          <w:iCs/>
          <w:sz w:val="20"/>
          <w:szCs w:val="20"/>
        </w:rPr>
      </w:pPr>
      <w:r w:rsidRPr="00DE475B">
        <w:rPr>
          <w:rFonts w:ascii="Arial" w:hAnsi="Arial" w:cs="Arial"/>
          <w:i/>
          <w:iCs/>
          <w:sz w:val="20"/>
          <w:szCs w:val="20"/>
        </w:rPr>
        <w:t>Comparatives</w:t>
      </w:r>
    </w:p>
    <w:p w:rsidR="00F54A3F" w:rsidRPr="00DE475B" w:rsidRDefault="00F54A3F" w:rsidP="00CB2051">
      <w:pPr>
        <w:tabs>
          <w:tab w:val="left" w:pos="504"/>
          <w:tab w:val="left" w:pos="5878"/>
        </w:tabs>
        <w:spacing w:after="100"/>
        <w:rPr>
          <w:rFonts w:ascii="Arial" w:hAnsi="Arial" w:cs="Arial"/>
          <w:sz w:val="20"/>
          <w:szCs w:val="20"/>
        </w:rPr>
      </w:pPr>
      <w:r>
        <w:rPr>
          <w:rFonts w:ascii="Arial" w:hAnsi="Arial" w:cs="Arial"/>
          <w:sz w:val="20"/>
          <w:szCs w:val="20"/>
        </w:rPr>
        <w:t>T</w:t>
      </w:r>
      <w:r w:rsidRPr="00DE475B">
        <w:rPr>
          <w:rFonts w:ascii="Arial" w:hAnsi="Arial" w:cs="Arial"/>
          <w:sz w:val="20"/>
          <w:szCs w:val="20"/>
        </w:rPr>
        <w:t>here have been no changes to</w:t>
      </w:r>
      <w:r>
        <w:rPr>
          <w:rFonts w:ascii="Arial" w:hAnsi="Arial" w:cs="Arial"/>
          <w:sz w:val="20"/>
          <w:szCs w:val="20"/>
        </w:rPr>
        <w:t xml:space="preserve"> comparative information in 2016–17</w:t>
      </w:r>
      <w:r w:rsidRPr="00DE475B">
        <w:rPr>
          <w:rFonts w:ascii="Arial" w:hAnsi="Arial" w:cs="Arial"/>
          <w:sz w:val="20"/>
          <w:szCs w:val="20"/>
        </w:rPr>
        <w:t>.</w:t>
      </w:r>
    </w:p>
    <w:p w:rsidR="00F54A3F" w:rsidRPr="00DE475B" w:rsidRDefault="00F54A3F" w:rsidP="00F54A3F">
      <w:pPr>
        <w:rPr>
          <w:rFonts w:ascii="Arial" w:hAnsi="Arial" w:cs="Arial"/>
          <w:i/>
          <w:iCs/>
          <w:sz w:val="20"/>
          <w:szCs w:val="20"/>
        </w:rPr>
      </w:pPr>
      <w:r w:rsidRPr="00DE475B">
        <w:rPr>
          <w:rFonts w:ascii="Arial" w:hAnsi="Arial" w:cs="Arial"/>
          <w:i/>
          <w:iCs/>
          <w:sz w:val="20"/>
          <w:szCs w:val="20"/>
        </w:rPr>
        <w:t>Current/Non-Current Classification</w:t>
      </w:r>
    </w:p>
    <w:p w:rsidR="00F54A3F" w:rsidRPr="00DE475B" w:rsidRDefault="00F54A3F" w:rsidP="00CB2051">
      <w:pPr>
        <w:tabs>
          <w:tab w:val="left" w:pos="504"/>
          <w:tab w:val="left" w:pos="5878"/>
        </w:tabs>
        <w:spacing w:after="80"/>
        <w:rPr>
          <w:rFonts w:ascii="Arial" w:hAnsi="Arial" w:cs="Arial"/>
          <w:sz w:val="20"/>
          <w:szCs w:val="20"/>
        </w:rPr>
      </w:pPr>
      <w:r w:rsidRPr="00DE475B">
        <w:rPr>
          <w:rFonts w:ascii="Arial" w:hAnsi="Arial" w:cs="Arial"/>
          <w:sz w:val="20"/>
          <w:szCs w:val="20"/>
        </w:rPr>
        <w:t xml:space="preserve">Assets and liabilities are classified as either 'current' or 'non-current' in the Statement of Financial Position and associated notes. </w:t>
      </w:r>
    </w:p>
    <w:p w:rsidR="00F54A3F" w:rsidRPr="00DE475B" w:rsidRDefault="00F54A3F" w:rsidP="00CB2051">
      <w:pPr>
        <w:tabs>
          <w:tab w:val="left" w:pos="504"/>
          <w:tab w:val="left" w:pos="5878"/>
        </w:tabs>
        <w:spacing w:after="80"/>
        <w:rPr>
          <w:rFonts w:ascii="Arial" w:hAnsi="Arial" w:cs="Arial"/>
          <w:sz w:val="20"/>
          <w:szCs w:val="20"/>
        </w:rPr>
      </w:pPr>
      <w:r w:rsidRPr="00DE475B">
        <w:rPr>
          <w:rFonts w:ascii="Arial" w:hAnsi="Arial" w:cs="Arial"/>
          <w:sz w:val="20"/>
          <w:szCs w:val="20"/>
        </w:rPr>
        <w:t>Assets are classified as 'current' where their carrying amount is expected to be realised within 12 months after the reporting date. Liabilities are classified as 'current' when they are due to be settled within 12 months after the reporting date, or State Library does not have an unconditional right to defer settlement to beyond 12 months after the reporting date.</w:t>
      </w:r>
    </w:p>
    <w:p w:rsidR="00F54A3F" w:rsidRDefault="00F54A3F" w:rsidP="00CB2051">
      <w:pPr>
        <w:tabs>
          <w:tab w:val="left" w:pos="504"/>
          <w:tab w:val="left" w:pos="5878"/>
        </w:tabs>
        <w:spacing w:after="100"/>
        <w:rPr>
          <w:rFonts w:ascii="Arial" w:hAnsi="Arial" w:cs="Arial"/>
          <w:sz w:val="20"/>
          <w:szCs w:val="20"/>
        </w:rPr>
      </w:pPr>
      <w:r w:rsidRPr="00DE475B">
        <w:rPr>
          <w:rFonts w:ascii="Arial" w:hAnsi="Arial" w:cs="Arial"/>
          <w:sz w:val="20"/>
          <w:szCs w:val="20"/>
        </w:rPr>
        <w:t>All other assets and liabilities are classified as non-current.</w:t>
      </w:r>
    </w:p>
    <w:p w:rsidR="00F54A3F" w:rsidRPr="00DE475B" w:rsidRDefault="00F54A3F" w:rsidP="00F54A3F">
      <w:pPr>
        <w:tabs>
          <w:tab w:val="left" w:pos="284"/>
          <w:tab w:val="left" w:pos="5878"/>
          <w:tab w:val="left" w:pos="8548"/>
          <w:tab w:val="left" w:pos="8770"/>
          <w:tab w:val="left" w:pos="10266"/>
          <w:tab w:val="left" w:pos="11702"/>
        </w:tabs>
        <w:rPr>
          <w:rFonts w:ascii="Arial" w:hAnsi="Arial" w:cs="Arial"/>
          <w:b/>
          <w:bCs/>
          <w:sz w:val="20"/>
          <w:szCs w:val="20"/>
        </w:rPr>
      </w:pPr>
      <w:r>
        <w:rPr>
          <w:rFonts w:ascii="Arial" w:hAnsi="Arial" w:cs="Arial"/>
          <w:b/>
          <w:bCs/>
          <w:sz w:val="20"/>
          <w:szCs w:val="20"/>
        </w:rPr>
        <w:t xml:space="preserve">A2-4 </w:t>
      </w:r>
      <w:r w:rsidRPr="00DE475B">
        <w:rPr>
          <w:rFonts w:ascii="Arial" w:hAnsi="Arial" w:cs="Arial"/>
          <w:b/>
          <w:bCs/>
          <w:sz w:val="20"/>
          <w:szCs w:val="20"/>
        </w:rPr>
        <w:t>Authorisation of financial statements for issue</w:t>
      </w:r>
    </w:p>
    <w:p w:rsidR="00F54A3F" w:rsidRPr="00DE475B" w:rsidRDefault="00F54A3F" w:rsidP="00652F6C">
      <w:pPr>
        <w:tabs>
          <w:tab w:val="left" w:pos="504"/>
          <w:tab w:val="left" w:pos="5878"/>
        </w:tabs>
        <w:spacing w:after="100"/>
        <w:rPr>
          <w:rFonts w:ascii="Arial" w:hAnsi="Arial" w:cs="Arial"/>
          <w:sz w:val="20"/>
          <w:szCs w:val="20"/>
        </w:rPr>
      </w:pPr>
      <w:r w:rsidRPr="00DE475B">
        <w:rPr>
          <w:rFonts w:ascii="Arial" w:hAnsi="Arial" w:cs="Arial"/>
          <w:sz w:val="20"/>
          <w:szCs w:val="20"/>
        </w:rPr>
        <w:t xml:space="preserve">The financial statements are authorised for issue by the Chairperson of the Library Board, the State Librarian and CEO and the </w:t>
      </w:r>
      <w:r>
        <w:rPr>
          <w:rFonts w:ascii="Arial" w:hAnsi="Arial" w:cs="Arial"/>
          <w:sz w:val="20"/>
          <w:szCs w:val="20"/>
        </w:rPr>
        <w:lastRenderedPageBreak/>
        <w:t xml:space="preserve">Executive </w:t>
      </w:r>
      <w:r w:rsidRPr="00DE475B">
        <w:rPr>
          <w:rFonts w:ascii="Arial" w:hAnsi="Arial" w:cs="Arial"/>
          <w:sz w:val="20"/>
          <w:szCs w:val="20"/>
        </w:rPr>
        <w:t xml:space="preserve">Director Corporate </w:t>
      </w:r>
      <w:r w:rsidR="006C6403">
        <w:rPr>
          <w:rFonts w:ascii="Arial" w:hAnsi="Arial" w:cs="Arial"/>
          <w:sz w:val="20"/>
          <w:szCs w:val="20"/>
        </w:rPr>
        <w:t>Governance and Operations</w:t>
      </w:r>
      <w:r w:rsidRPr="00DE475B">
        <w:rPr>
          <w:rFonts w:ascii="Arial" w:hAnsi="Arial" w:cs="Arial"/>
          <w:sz w:val="20"/>
          <w:szCs w:val="20"/>
        </w:rPr>
        <w:t xml:space="preserve"> at the date of signing the Management Certificate.</w:t>
      </w:r>
    </w:p>
    <w:p w:rsidR="00F54A3F" w:rsidRPr="009B096A" w:rsidRDefault="009B096A" w:rsidP="009B096A">
      <w:pPr>
        <w:tabs>
          <w:tab w:val="left" w:pos="284"/>
          <w:tab w:val="left" w:pos="5878"/>
          <w:tab w:val="left" w:pos="8548"/>
          <w:tab w:val="left" w:pos="8770"/>
          <w:tab w:val="left" w:pos="10266"/>
          <w:tab w:val="left" w:pos="11702"/>
        </w:tabs>
        <w:rPr>
          <w:rFonts w:ascii="Arial" w:hAnsi="Arial" w:cs="Arial"/>
          <w:b/>
          <w:bCs/>
          <w:sz w:val="20"/>
          <w:szCs w:val="20"/>
        </w:rPr>
      </w:pPr>
      <w:r>
        <w:rPr>
          <w:rFonts w:ascii="Arial" w:hAnsi="Arial" w:cs="Arial"/>
          <w:b/>
          <w:bCs/>
          <w:sz w:val="20"/>
          <w:szCs w:val="20"/>
        </w:rPr>
        <w:t>A2-5 Basis of measurement</w:t>
      </w:r>
    </w:p>
    <w:p w:rsidR="009B096A" w:rsidRPr="009B096A" w:rsidRDefault="009B096A" w:rsidP="00CB2051">
      <w:pPr>
        <w:tabs>
          <w:tab w:val="left" w:pos="504"/>
          <w:tab w:val="left" w:pos="5878"/>
        </w:tabs>
        <w:spacing w:after="20"/>
        <w:rPr>
          <w:rFonts w:ascii="Arial" w:hAnsi="Arial" w:cs="Arial"/>
          <w:sz w:val="20"/>
          <w:szCs w:val="20"/>
        </w:rPr>
      </w:pPr>
      <w:r w:rsidRPr="009B096A">
        <w:rPr>
          <w:rFonts w:ascii="Arial" w:hAnsi="Arial" w:cs="Arial"/>
          <w:sz w:val="20"/>
          <w:szCs w:val="20"/>
        </w:rPr>
        <w:t>Historical cost is used as the measurement basis in this financial report except for the following:</w:t>
      </w:r>
    </w:p>
    <w:p w:rsidR="009B096A" w:rsidRPr="009B096A" w:rsidRDefault="009B096A" w:rsidP="00FA49A6">
      <w:pPr>
        <w:numPr>
          <w:ilvl w:val="0"/>
          <w:numId w:val="5"/>
        </w:numPr>
        <w:tabs>
          <w:tab w:val="left" w:pos="284"/>
          <w:tab w:val="left" w:pos="360"/>
        </w:tabs>
        <w:suppressAutoHyphens w:val="0"/>
        <w:spacing w:after="40"/>
        <w:ind w:left="284" w:hanging="284"/>
        <w:rPr>
          <w:rFonts w:ascii="Arial" w:hAnsi="Arial" w:cs="Arial"/>
          <w:sz w:val="20"/>
          <w:szCs w:val="20"/>
        </w:rPr>
      </w:pPr>
      <w:r w:rsidRPr="00FA49A6">
        <w:rPr>
          <w:rFonts w:ascii="Arial" w:hAnsi="Arial" w:cs="Arial"/>
          <w:spacing w:val="-2"/>
          <w:sz w:val="20"/>
          <w:szCs w:val="20"/>
        </w:rPr>
        <w:t>Library</w:t>
      </w:r>
      <w:r w:rsidRPr="009B096A">
        <w:rPr>
          <w:rFonts w:ascii="Arial" w:hAnsi="Arial" w:cs="Arial"/>
          <w:sz w:val="20"/>
          <w:szCs w:val="20"/>
        </w:rPr>
        <w:t xml:space="preserve"> collections which are measured at fair value; and</w:t>
      </w:r>
    </w:p>
    <w:p w:rsidR="009B096A" w:rsidRPr="009B096A" w:rsidRDefault="009B096A" w:rsidP="00652F6C">
      <w:pPr>
        <w:numPr>
          <w:ilvl w:val="0"/>
          <w:numId w:val="5"/>
        </w:numPr>
        <w:tabs>
          <w:tab w:val="left" w:pos="284"/>
          <w:tab w:val="left" w:pos="360"/>
        </w:tabs>
        <w:spacing w:after="100"/>
        <w:ind w:left="284" w:hanging="284"/>
        <w:rPr>
          <w:rFonts w:ascii="Arial" w:hAnsi="Arial" w:cs="Arial"/>
          <w:sz w:val="20"/>
          <w:szCs w:val="20"/>
        </w:rPr>
      </w:pPr>
      <w:r w:rsidRPr="009B096A">
        <w:rPr>
          <w:rFonts w:ascii="Arial" w:hAnsi="Arial" w:cs="Arial"/>
          <w:sz w:val="20"/>
          <w:szCs w:val="20"/>
        </w:rPr>
        <w:t>Provisions expected to be settled 12 or more months after reporting date which are measured at their present value.</w:t>
      </w:r>
    </w:p>
    <w:p w:rsidR="009B096A" w:rsidRPr="009B096A" w:rsidRDefault="009B096A" w:rsidP="009B096A">
      <w:pPr>
        <w:rPr>
          <w:rFonts w:ascii="Arial" w:hAnsi="Arial" w:cs="Arial"/>
          <w:i/>
          <w:iCs/>
          <w:sz w:val="20"/>
          <w:szCs w:val="20"/>
        </w:rPr>
      </w:pPr>
      <w:r w:rsidRPr="009B096A">
        <w:rPr>
          <w:rFonts w:ascii="Arial" w:hAnsi="Arial" w:cs="Arial"/>
          <w:i/>
          <w:iCs/>
          <w:sz w:val="20"/>
          <w:szCs w:val="20"/>
        </w:rPr>
        <w:t>Historical Cost</w:t>
      </w:r>
    </w:p>
    <w:p w:rsidR="009B096A" w:rsidRPr="009B096A" w:rsidRDefault="009B096A" w:rsidP="00652F6C">
      <w:pPr>
        <w:tabs>
          <w:tab w:val="left" w:pos="504"/>
          <w:tab w:val="left" w:pos="5878"/>
        </w:tabs>
        <w:spacing w:after="100"/>
        <w:rPr>
          <w:rFonts w:ascii="Arial" w:hAnsi="Arial" w:cs="Arial"/>
          <w:sz w:val="20"/>
          <w:szCs w:val="20"/>
        </w:rPr>
      </w:pPr>
      <w:r w:rsidRPr="009B096A">
        <w:rPr>
          <w:rFonts w:ascii="Arial" w:hAnsi="Arial" w:cs="Arial"/>
          <w:sz w:val="20"/>
          <w:szCs w:val="20"/>
        </w:rPr>
        <w:t>Under the historical cost, assets are recorded at the amount of cash or cash equivalents paid or the fair value of the consideration given to acquire assets at the time of their acquisition. Liabilities are recorded at the amount of proceeds received in exchange for the obligation or at the amounts of cash or equivalents expected to be paid to satisfy the liability in the normal course of business.</w:t>
      </w:r>
    </w:p>
    <w:p w:rsidR="009B096A" w:rsidRPr="009B096A" w:rsidRDefault="009B096A" w:rsidP="009B096A">
      <w:pPr>
        <w:rPr>
          <w:rFonts w:ascii="Arial" w:hAnsi="Arial" w:cs="Arial"/>
          <w:i/>
          <w:iCs/>
          <w:sz w:val="20"/>
          <w:szCs w:val="20"/>
        </w:rPr>
      </w:pPr>
      <w:r w:rsidRPr="009B096A">
        <w:rPr>
          <w:rFonts w:ascii="Arial" w:hAnsi="Arial" w:cs="Arial"/>
          <w:i/>
          <w:iCs/>
          <w:sz w:val="20"/>
          <w:szCs w:val="20"/>
        </w:rPr>
        <w:t xml:space="preserve">Fair Value </w:t>
      </w:r>
    </w:p>
    <w:p w:rsidR="009B096A" w:rsidRPr="009B096A" w:rsidRDefault="009B096A" w:rsidP="00CB2051">
      <w:pPr>
        <w:tabs>
          <w:tab w:val="left" w:pos="504"/>
          <w:tab w:val="left" w:pos="5878"/>
        </w:tabs>
        <w:spacing w:after="20"/>
        <w:rPr>
          <w:rFonts w:ascii="Arial" w:hAnsi="Arial" w:cs="Arial"/>
          <w:sz w:val="20"/>
          <w:szCs w:val="20"/>
        </w:rPr>
      </w:pPr>
      <w:r w:rsidRPr="009B096A">
        <w:rPr>
          <w:rFonts w:ascii="Arial" w:hAnsi="Arial" w:cs="Arial"/>
          <w:sz w:val="20"/>
          <w:szCs w:val="20"/>
        </w:rPr>
        <w:t>Fair value is the price that would be received to sell an asset or paid to transfer a liability on an orderly transaction between market participants at the measurement date under current market conditions (i.e. an exit price) regardless of whether that price is directly derived from the observable inputs or estimated using another valuation technique. Fair value is determined using one of the following three approaches:</w:t>
      </w:r>
    </w:p>
    <w:p w:rsidR="009B096A" w:rsidRPr="009B096A" w:rsidRDefault="009B096A" w:rsidP="009B096A">
      <w:pPr>
        <w:numPr>
          <w:ilvl w:val="0"/>
          <w:numId w:val="5"/>
        </w:numPr>
        <w:tabs>
          <w:tab w:val="left" w:pos="284"/>
          <w:tab w:val="left" w:pos="360"/>
        </w:tabs>
        <w:spacing w:after="40"/>
        <w:ind w:left="284" w:hanging="284"/>
        <w:rPr>
          <w:rFonts w:ascii="Arial" w:hAnsi="Arial" w:cs="Arial"/>
          <w:sz w:val="20"/>
          <w:szCs w:val="20"/>
        </w:rPr>
      </w:pPr>
      <w:r w:rsidRPr="009B096A">
        <w:rPr>
          <w:rFonts w:ascii="Arial" w:hAnsi="Arial" w:cs="Arial"/>
          <w:sz w:val="20"/>
          <w:szCs w:val="20"/>
        </w:rPr>
        <w:t>The market approach uses prices and other relevant information generated by market transactions involving identical or comparable (i.e. similar) assets, liabilities or a group of assets and liabilities, such as a business.</w:t>
      </w:r>
    </w:p>
    <w:p w:rsidR="009B096A" w:rsidRPr="009B096A" w:rsidRDefault="009B096A" w:rsidP="009B096A">
      <w:pPr>
        <w:numPr>
          <w:ilvl w:val="0"/>
          <w:numId w:val="5"/>
        </w:numPr>
        <w:tabs>
          <w:tab w:val="left" w:pos="284"/>
          <w:tab w:val="left" w:pos="360"/>
        </w:tabs>
        <w:spacing w:after="40"/>
        <w:ind w:left="284" w:hanging="284"/>
        <w:rPr>
          <w:rFonts w:ascii="Arial" w:hAnsi="Arial" w:cs="Arial"/>
          <w:sz w:val="20"/>
          <w:szCs w:val="20"/>
        </w:rPr>
      </w:pPr>
      <w:r w:rsidRPr="009B096A">
        <w:rPr>
          <w:rFonts w:ascii="Arial" w:hAnsi="Arial" w:cs="Arial"/>
          <w:sz w:val="20"/>
          <w:szCs w:val="20"/>
        </w:rPr>
        <w:t>The cost approach reflects the amount that would be required currently to replace the service capacity of an asset.  This method includes the current/depreciated replacement cost methodology.</w:t>
      </w:r>
    </w:p>
    <w:p w:rsidR="009B096A" w:rsidRPr="00CB2051" w:rsidRDefault="009B096A" w:rsidP="009B096A">
      <w:pPr>
        <w:numPr>
          <w:ilvl w:val="0"/>
          <w:numId w:val="5"/>
        </w:numPr>
        <w:tabs>
          <w:tab w:val="left" w:pos="284"/>
          <w:tab w:val="left" w:pos="360"/>
        </w:tabs>
        <w:suppressAutoHyphens w:val="0"/>
        <w:autoSpaceDE/>
        <w:spacing w:after="40"/>
        <w:ind w:left="284" w:hanging="284"/>
        <w:rPr>
          <w:rFonts w:ascii="Arial" w:hAnsi="Arial" w:cs="Arial"/>
          <w:color w:val="auto"/>
          <w:sz w:val="20"/>
          <w:szCs w:val="20"/>
          <w:lang w:eastAsia="en-AU"/>
        </w:rPr>
      </w:pPr>
      <w:r w:rsidRPr="00CB2051">
        <w:rPr>
          <w:rFonts w:ascii="Arial" w:hAnsi="Arial" w:cs="Arial"/>
          <w:sz w:val="20"/>
          <w:szCs w:val="20"/>
        </w:rPr>
        <w:t>The income approach converts multiple future cash flows amounts to a single current (i.e. discounted) amount. When the income approach is used, the fair value measurement reflects current market expectations about those future amounts.</w:t>
      </w:r>
    </w:p>
    <w:p w:rsidR="00F54A3F" w:rsidRPr="00F54A3F" w:rsidRDefault="00F54A3F" w:rsidP="001F40DC">
      <w:pPr>
        <w:tabs>
          <w:tab w:val="left" w:pos="504"/>
          <w:tab w:val="left" w:pos="5878"/>
        </w:tabs>
        <w:spacing w:after="120"/>
        <w:rPr>
          <w:rFonts w:ascii="Arial" w:hAnsi="Arial" w:cs="Arial"/>
          <w:sz w:val="20"/>
          <w:szCs w:val="20"/>
        </w:rPr>
        <w:sectPr w:rsidR="00F54A3F" w:rsidRPr="00F54A3F" w:rsidSect="00B53922">
          <w:type w:val="continuous"/>
          <w:pgSz w:w="11906" w:h="16838"/>
          <w:pgMar w:top="1440" w:right="1701" w:bottom="1440" w:left="1701" w:header="680" w:footer="680" w:gutter="0"/>
          <w:cols w:num="2" w:space="720"/>
          <w:docGrid w:linePitch="360"/>
        </w:sectPr>
      </w:pPr>
    </w:p>
    <w:p w:rsidR="00BB4542" w:rsidRPr="00DE475B" w:rsidRDefault="00BB4542" w:rsidP="00BB4542">
      <w:pPr>
        <w:pStyle w:val="ARbodytext"/>
      </w:pPr>
    </w:p>
    <w:p w:rsidR="006873BE" w:rsidRPr="00DE475B" w:rsidRDefault="006873BE" w:rsidP="006873BE">
      <w:pPr>
        <w:pStyle w:val="ARbodytext"/>
        <w:rPr>
          <w:b/>
          <w:bCs/>
        </w:rPr>
      </w:pPr>
      <w:r w:rsidRPr="00DE475B">
        <w:rPr>
          <w:b/>
          <w:bCs/>
          <w:i/>
          <w:iCs/>
        </w:rPr>
        <w:t>Library Board of Queensland and controlled entities</w:t>
      </w:r>
    </w:p>
    <w:p w:rsidR="006873BE" w:rsidRPr="00DE475B" w:rsidRDefault="00373FFE" w:rsidP="006873BE">
      <w:pPr>
        <w:rPr>
          <w:rFonts w:ascii="Arial" w:hAnsi="Arial" w:cs="Arial"/>
          <w:b/>
          <w:bCs/>
          <w:sz w:val="20"/>
          <w:szCs w:val="20"/>
        </w:rPr>
      </w:pPr>
      <w:r w:rsidRPr="00DE475B">
        <w:rPr>
          <w:noProof/>
          <w:lang w:eastAsia="en-AU"/>
        </w:rPr>
        <mc:AlternateContent>
          <mc:Choice Requires="wps">
            <w:drawing>
              <wp:anchor distT="0" distB="0" distL="114300" distR="114300" simplePos="0" relativeHeight="251632640" behindDoc="0" locked="0" layoutInCell="1" allowOverlap="1" wp14:anchorId="2373E952" wp14:editId="30CAAC28">
                <wp:simplePos x="0" y="0"/>
                <wp:positionH relativeFrom="column">
                  <wp:posOffset>-66040</wp:posOffset>
                </wp:positionH>
                <wp:positionV relativeFrom="paragraph">
                  <wp:posOffset>-222250</wp:posOffset>
                </wp:positionV>
                <wp:extent cx="5573395" cy="0"/>
                <wp:effectExtent l="13970" t="12700" r="13335" b="6350"/>
                <wp:wrapNone/>
                <wp:docPr id="2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uanAIAAHsFAAAOAAAAZHJzL2Uyb0RvYy54bWysVE1v2zAMvQ/YfxB0d23Hdj6MOkXrOLt0&#10;W4F22FmR5FiYLXmSGicY+t9HKYnXdJdhaAIYokRSj3yPur7Zdy3acW2EkgWOryKMuKSKCbkt8Len&#10;dTDHyFgiGWmV5AU+cINvlh8/XA99zieqUS3jGkESafKhL3BjbZ+HoaEN74i5Uj2XcFgr3RELpt6G&#10;TJMBsndtOImiaTgozXqtKDcGdlfHQ7z0+euaU/u1rg23qC0wYLP+q/13477h8prkW036RtATDPIf&#10;KDoiJFw6ploRS9CzFn+l6gTVyqjaXlHVhaquBeW+Bqgmjt5U89iQnvtaoDmmH9tk3i8t/bJ70Eiw&#10;Ak8yoEqSDki6F5KjOFu47gy9ycGplA/a1Uf38rG/V/SHQVKVDZFb7lE+HXoIjF1EeBHiDNPDHZvh&#10;s2LgQ56t8q3a17pzKaEJaO8ZOYyM8L1FFDazbJYkiwwjej4LSX4O7LWxn7jqkFsUuAXUPjHZ3Rvr&#10;gJD87OLukWot2tYT3ko0FHiRTEESlIDszE8faVQrmPNy/kZvN2Wr0Y447fifLw9OXrt1woKCW9EV&#10;eD46kbzhhFWS+essEe1xDZBa6ZJzr80jTrD2FpZ+Hwr3uvm1iBbVvJqnQTqZVkEarVbB7bpMg+k6&#10;nmWrZFWWq/jFoY7TvBGMcemAnzUcp/+mkdM0HdU3qnhsVXiZ3fcUwF4ivV1n0SxN5sFsliVBmlRR&#10;cDdfl8FtGU+ns+quvKveIK189eZ9wI6tdKjUM7Dx2LABMeFEkWSLSYzBgJmfzI78INJu4bGiVmOk&#10;lf0ubOM17NTnclwQP4/c/0T8mP3YiDOHzhpZONX2p1XA+ZlfPxpuGo5ztVHs8KDPIwMT7oNOr5F7&#10;Ql7bsH79Zi5/AwAA//8DAFBLAwQUAAYACAAAACEA3tirZ+AAAAALAQAADwAAAGRycy9kb3ducmV2&#10;LnhtbEyPQUvDQBCF74L/YRnBi7SbmlhLzKaIIB4Eaaso3rbZMRvMzobdbRP/vSMIepuZ93jzvWo9&#10;uV4cMcTOk4LFPAOB1HjTUavg5fl+tgIRkyaje0+o4AsjrOvTk0qXxo+0xeMutYJDKJZagU1pKKWM&#10;jUWn49wPSKx9+OB04jW00gQ9crjr5WWWLaXTHfEHqwe8s9h87g5OwVMYu5jyothgen99eHyzmwu3&#10;Ver8bLq9AZFwSn9m+MFndKiZae8PZKLoFcwWWcFWHvIrLsWO1fI6B7H/vci6kv871N8AAAD//wMA&#10;UEsBAi0AFAAGAAgAAAAhALaDOJL+AAAA4QEAABMAAAAAAAAAAAAAAAAAAAAAAFtDb250ZW50X1R5&#10;cGVzXS54bWxQSwECLQAUAAYACAAAACEAOP0h/9YAAACUAQAACwAAAAAAAAAAAAAAAAAvAQAAX3Jl&#10;bHMvLnJlbHNQSwECLQAUAAYACAAAACEALjrrmpwCAAB7BQAADgAAAAAAAAAAAAAAAAAuAgAAZHJz&#10;L2Uyb0RvYy54bWxQSwECLQAUAAYACAAAACEA3tirZ+AAAAALAQAADwAAAAAAAAAAAAAAAAD2BAAA&#10;ZHJzL2Rvd25yZXYueG1sUEsFBgAAAAAEAAQA8wAAAAMGAAAAAA==&#10;" strokeweight=".26mm">
                <v:stroke joinstyle="miter" endcap="square"/>
              </v:line>
            </w:pict>
          </mc:Fallback>
        </mc:AlternateContent>
      </w:r>
      <w:r w:rsidR="006873BE" w:rsidRPr="00DE475B">
        <w:rPr>
          <w:rFonts w:ascii="Arial" w:hAnsi="Arial" w:cs="Arial"/>
          <w:b/>
          <w:bCs/>
          <w:sz w:val="20"/>
          <w:szCs w:val="20"/>
        </w:rPr>
        <w:t>NOTES TO THE FINANCIAL STATEMENTS</w:t>
      </w:r>
    </w:p>
    <w:p w:rsidR="006873BE" w:rsidRPr="00DE475B" w:rsidRDefault="00F54A3F" w:rsidP="006873BE">
      <w:r>
        <w:rPr>
          <w:rFonts w:ascii="Arial" w:hAnsi="Arial" w:cs="Arial"/>
          <w:b/>
          <w:bCs/>
          <w:sz w:val="20"/>
          <w:szCs w:val="20"/>
        </w:rPr>
        <w:t>For the year ended 30 June 2017</w:t>
      </w:r>
    </w:p>
    <w:p w:rsidR="006873BE" w:rsidRPr="00DE475B" w:rsidRDefault="00373FFE">
      <w:pPr>
        <w:pStyle w:val="ARbodytext"/>
        <w:rPr>
          <w:rFonts w:eastAsia="Times New Roman"/>
          <w:b/>
          <w:bCs/>
          <w:lang w:eastAsia="en-US"/>
        </w:rPr>
      </w:pPr>
      <w:r w:rsidRPr="00DE475B">
        <w:rPr>
          <w:b/>
          <w:bCs/>
          <w:noProof/>
          <w:lang w:eastAsia="en-AU"/>
        </w:rPr>
        <mc:AlternateContent>
          <mc:Choice Requires="wps">
            <w:drawing>
              <wp:anchor distT="0" distB="0" distL="114300" distR="114300" simplePos="0" relativeHeight="251633664" behindDoc="0" locked="0" layoutInCell="1" allowOverlap="1" wp14:anchorId="6A3B4B4D" wp14:editId="7FC4C1D4">
                <wp:simplePos x="0" y="0"/>
                <wp:positionH relativeFrom="column">
                  <wp:posOffset>-50800</wp:posOffset>
                </wp:positionH>
                <wp:positionV relativeFrom="paragraph">
                  <wp:posOffset>47625</wp:posOffset>
                </wp:positionV>
                <wp:extent cx="5573395" cy="0"/>
                <wp:effectExtent l="10160" t="12700" r="7620" b="6350"/>
                <wp:wrapNone/>
                <wp:docPr id="25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75pt" to="434.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vsnAIAAHsFAAAOAAAAZHJzL2Uyb0RvYy54bWysVF1vmzAUfZ+0/2D5nQIBQoJKppaQvXRb&#10;pXbas2ObYA1sZrsh1bT/vmsnYU33Mk1NJOSP6+Nz7znX1x8OfYf2XBuhZInjqwgjLqliQu5K/PVx&#10;EywwMpZIRjoleYmfucEfVu/fXY9DwWeqVR3jGgGINMU4lLi1dijC0NCW98RcqYFL2GyU7omFqd6F&#10;TJMR0PsunEXRPByVZoNWlBsDq+vjJl55/Kbh1H5pGsMt6koM3Kz/av/dum+4uibFTpOhFfREg/wH&#10;i54ICZdOUGtiCXrS4i+oXlCtjGrsFVV9qJpGUO5zgGzi6FU2Dy0ZuM8FimOGqUzm7WDp5/29RoKV&#10;eJblGEnSg0h3QnIUz311xsEUEFTJe+3yowf5MNwp+t0gqaqWyB33LB+fBzgYu3qGF0fcxAxwx3b8&#10;pBjEkCerfKkOje4dJBQBHbwiz5Mi/GARhcUsy5NkmWFEz3shKc4HB23sR6565AYl7oC1Byb7O2Md&#10;EVKcQ9w9Um1E13nBO4nGEi8TSBFRArYzP/xJozrBXJSLN3q3rTqN9sR5x/98erDzMqwXFhzcib7E&#10;iymIFC0nrJbMX2eJ6I5joNRJB869N488YXawMPTrkLj3zc9ltKwX9SIN0tm8DtJovQ5uNlUazDdx&#10;nq2TdVWt41+OdZwWrWCMS0f87OE4/TePnLrp6L7JxVOpwkt0X1Mge8n0ZpNFeZosgjzPkiBN6ii4&#10;XWyq4KaK5/O8vq1u61dMa5+9eRuyUykdK/UEajy0bERMOFMk2XIWY5hAz8/yoz6IdDt4rKjVGGll&#10;vwnbeg879zmMC+EXkfufhJ/Qj4U4a+hmkwqn3P6UCjQ/6+tbw3WDe59MsVXs+V6fWwY63B86vUbu&#10;CXk5h/HLN3P1GwAA//8DAFBLAwQUAAYACAAAACEA5Hscx90AAAAGAQAADwAAAGRycy9kb3ducmV2&#10;LnhtbEyPQUvDQBSE74L/YXmCF2k3am1jzKaIIB4EaWupeNtmn9lg9m3YfW3iv3f1osdhhplvyuXo&#10;OnHEEFtPCi6nGQik2puWGgXb18dJDiKyJqM7T6jgCyMsq9OTUhfGD7TG44YbkUooFlqBZe4LKWNt&#10;0ek49T1S8j58cJqTDI00QQ+p3HXyKsvm0umW0oLVPT5YrD83B6fgJQxt5OvZbIX8vnt6frOrC7dW&#10;6vxsvL8DwTjyXxh+8BM6VIlp7w9kougUTPJ0hRUsbkAkO5/fLkDsf7WsSvkfv/oGAAD//wMAUEsB&#10;Ai0AFAAGAAgAAAAhALaDOJL+AAAA4QEAABMAAAAAAAAAAAAAAAAAAAAAAFtDb250ZW50X1R5cGVz&#10;XS54bWxQSwECLQAUAAYACAAAACEAOP0h/9YAAACUAQAACwAAAAAAAAAAAAAAAAAvAQAAX3JlbHMv&#10;LnJlbHNQSwECLQAUAAYACAAAACEAAWk77JwCAAB7BQAADgAAAAAAAAAAAAAAAAAuAgAAZHJzL2Uy&#10;b0RvYy54bWxQSwECLQAUAAYACAAAACEA5Hscx90AAAAGAQAADwAAAAAAAAAAAAAAAAD2BAAAZHJz&#10;L2Rvd25yZXYueG1sUEsFBgAAAAAEAAQA8wAAAAAGAAAAAA==&#10;" strokeweight=".26mm">
                <v:stroke joinstyle="miter" endcap="square"/>
              </v:line>
            </w:pict>
          </mc:Fallback>
        </mc:AlternateContent>
      </w:r>
    </w:p>
    <w:p w:rsidR="00D346B4" w:rsidRPr="00DE475B" w:rsidRDefault="00D346B4">
      <w:pPr>
        <w:sectPr w:rsidR="00D346B4" w:rsidRPr="00DE475B" w:rsidSect="00B53922">
          <w:headerReference w:type="even" r:id="rId45"/>
          <w:headerReference w:type="default" r:id="rId46"/>
          <w:footerReference w:type="even" r:id="rId47"/>
          <w:footerReference w:type="default" r:id="rId48"/>
          <w:headerReference w:type="first" r:id="rId49"/>
          <w:footerReference w:type="first" r:id="rId50"/>
          <w:pgSz w:w="11906" w:h="16838"/>
          <w:pgMar w:top="1440" w:right="1701" w:bottom="1440" w:left="1701" w:header="680" w:footer="680" w:gutter="0"/>
          <w:cols w:space="720"/>
          <w:docGrid w:linePitch="360"/>
        </w:sectPr>
      </w:pPr>
    </w:p>
    <w:p w:rsidR="006873BE" w:rsidRPr="00DE475B" w:rsidRDefault="006873BE" w:rsidP="006873BE">
      <w:pPr>
        <w:pStyle w:val="ARheading3"/>
        <w:tabs>
          <w:tab w:val="left" w:pos="851"/>
        </w:tabs>
        <w:spacing w:after="120"/>
        <w:rPr>
          <w:color w:val="808080"/>
        </w:rPr>
      </w:pPr>
      <w:r w:rsidRPr="00DE475B">
        <w:rPr>
          <w:color w:val="808080"/>
        </w:rPr>
        <w:lastRenderedPageBreak/>
        <w:t xml:space="preserve">A2 Basis of Financial </w:t>
      </w:r>
      <w:r w:rsidR="00E91836">
        <w:rPr>
          <w:color w:val="808080"/>
        </w:rPr>
        <w:t>Statement p</w:t>
      </w:r>
      <w:r w:rsidRPr="00DE475B">
        <w:rPr>
          <w:color w:val="808080"/>
        </w:rPr>
        <w:t>reparation</w:t>
      </w:r>
      <w:r w:rsidR="00E91836">
        <w:rPr>
          <w:color w:val="808080"/>
        </w:rPr>
        <w:t xml:space="preserve"> (continued)</w:t>
      </w:r>
    </w:p>
    <w:p w:rsidR="00D346B4" w:rsidRPr="00DE475B" w:rsidRDefault="00D346B4">
      <w:pPr>
        <w:tabs>
          <w:tab w:val="left" w:pos="284"/>
          <w:tab w:val="left" w:pos="8770"/>
          <w:tab w:val="left" w:pos="10266"/>
          <w:tab w:val="left" w:pos="11702"/>
        </w:tabs>
        <w:spacing w:after="120"/>
        <w:rPr>
          <w:rFonts w:ascii="Arial" w:hAnsi="Arial" w:cs="Arial"/>
          <w:b/>
          <w:bCs/>
          <w:sz w:val="20"/>
          <w:szCs w:val="20"/>
        </w:rPr>
        <w:sectPr w:rsidR="00D346B4" w:rsidRPr="00DE475B" w:rsidSect="00B53922">
          <w:type w:val="continuous"/>
          <w:pgSz w:w="11906" w:h="16838"/>
          <w:pgMar w:top="1440" w:right="1701" w:bottom="1440" w:left="1701" w:header="680" w:footer="680" w:gutter="0"/>
          <w:cols w:space="720"/>
          <w:docGrid w:linePitch="360"/>
        </w:sectPr>
      </w:pPr>
    </w:p>
    <w:p w:rsidR="00E91836" w:rsidRPr="009B096A" w:rsidRDefault="00E91836" w:rsidP="00E91836">
      <w:pPr>
        <w:tabs>
          <w:tab w:val="left" w:pos="284"/>
          <w:tab w:val="left" w:pos="5878"/>
          <w:tab w:val="left" w:pos="8548"/>
          <w:tab w:val="left" w:pos="8770"/>
          <w:tab w:val="left" w:pos="10266"/>
          <w:tab w:val="left" w:pos="11702"/>
        </w:tabs>
        <w:rPr>
          <w:rFonts w:ascii="Arial" w:hAnsi="Arial" w:cs="Arial"/>
          <w:b/>
          <w:bCs/>
          <w:sz w:val="20"/>
          <w:szCs w:val="20"/>
        </w:rPr>
      </w:pPr>
      <w:r>
        <w:rPr>
          <w:rFonts w:ascii="Arial" w:hAnsi="Arial" w:cs="Arial"/>
          <w:b/>
          <w:bCs/>
          <w:sz w:val="20"/>
          <w:szCs w:val="20"/>
        </w:rPr>
        <w:lastRenderedPageBreak/>
        <w:t>A2-5 Basis of measurement (continued)</w:t>
      </w:r>
    </w:p>
    <w:p w:rsidR="00E91836" w:rsidRPr="00E91836" w:rsidRDefault="00E91836" w:rsidP="00E91836">
      <w:pPr>
        <w:tabs>
          <w:tab w:val="left" w:pos="504"/>
          <w:tab w:val="left" w:pos="5878"/>
        </w:tabs>
        <w:spacing w:after="120"/>
        <w:rPr>
          <w:rFonts w:ascii="Arial" w:hAnsi="Arial" w:cs="Arial"/>
          <w:sz w:val="20"/>
          <w:szCs w:val="20"/>
        </w:rPr>
      </w:pPr>
      <w:r w:rsidRPr="00E91836">
        <w:rPr>
          <w:rFonts w:ascii="Arial" w:hAnsi="Arial" w:cs="Arial"/>
          <w:sz w:val="20"/>
          <w:szCs w:val="20"/>
        </w:rPr>
        <w:t>W</w:t>
      </w:r>
      <w:r w:rsidRPr="009B096A">
        <w:rPr>
          <w:rFonts w:ascii="Arial" w:hAnsi="Arial" w:cs="Arial"/>
          <w:sz w:val="20"/>
          <w:szCs w:val="20"/>
        </w:rPr>
        <w:t xml:space="preserve">here fair value is used, the fair value approach is disclosed.  </w:t>
      </w:r>
    </w:p>
    <w:p w:rsidR="00E91836" w:rsidRPr="00E91836" w:rsidRDefault="00E91836" w:rsidP="00E91836">
      <w:pPr>
        <w:rPr>
          <w:rFonts w:ascii="Arial" w:hAnsi="Arial" w:cs="Arial"/>
          <w:i/>
          <w:iCs/>
          <w:sz w:val="20"/>
          <w:szCs w:val="20"/>
        </w:rPr>
      </w:pPr>
      <w:r w:rsidRPr="009B096A">
        <w:rPr>
          <w:rFonts w:ascii="Arial" w:hAnsi="Arial" w:cs="Arial"/>
          <w:i/>
          <w:iCs/>
          <w:sz w:val="20"/>
          <w:szCs w:val="20"/>
        </w:rPr>
        <w:t>Present Value</w:t>
      </w:r>
    </w:p>
    <w:p w:rsidR="00E91836" w:rsidRPr="00E91836" w:rsidRDefault="00E91836" w:rsidP="00E91836">
      <w:pPr>
        <w:tabs>
          <w:tab w:val="left" w:pos="504"/>
          <w:tab w:val="left" w:pos="5878"/>
        </w:tabs>
        <w:spacing w:after="120"/>
        <w:rPr>
          <w:rFonts w:ascii="Arial" w:hAnsi="Arial" w:cs="Arial"/>
          <w:sz w:val="20"/>
          <w:szCs w:val="20"/>
        </w:rPr>
      </w:pPr>
      <w:r w:rsidRPr="009B096A">
        <w:rPr>
          <w:rFonts w:ascii="Arial" w:hAnsi="Arial" w:cs="Arial"/>
          <w:sz w:val="20"/>
          <w:szCs w:val="20"/>
        </w:rPr>
        <w:t>Present value represents the present discounted value of the future net cash inflows that the item is expected to generate (in respect of assets) or the present discounted value of the future net cash outflows expected to settle (in respect of liabilities) in the normal course of business.</w:t>
      </w:r>
    </w:p>
    <w:p w:rsidR="00E91836" w:rsidRPr="00E91836" w:rsidRDefault="00E91836" w:rsidP="00E91836">
      <w:pPr>
        <w:rPr>
          <w:rFonts w:ascii="Arial" w:hAnsi="Arial" w:cs="Arial"/>
          <w:i/>
          <w:iCs/>
          <w:sz w:val="20"/>
          <w:szCs w:val="20"/>
        </w:rPr>
      </w:pPr>
      <w:r w:rsidRPr="009B096A">
        <w:rPr>
          <w:rFonts w:ascii="Arial" w:hAnsi="Arial" w:cs="Arial"/>
          <w:i/>
          <w:iCs/>
          <w:sz w:val="20"/>
          <w:szCs w:val="20"/>
        </w:rPr>
        <w:t>Net Realisable Value</w:t>
      </w:r>
    </w:p>
    <w:p w:rsidR="00E91836" w:rsidRDefault="00E91836" w:rsidP="00E91836">
      <w:pPr>
        <w:tabs>
          <w:tab w:val="left" w:pos="504"/>
          <w:tab w:val="left" w:pos="5878"/>
        </w:tabs>
        <w:spacing w:after="120"/>
        <w:rPr>
          <w:rFonts w:ascii="Arial" w:hAnsi="Arial" w:cs="Arial"/>
          <w:sz w:val="20"/>
          <w:szCs w:val="20"/>
        </w:rPr>
      </w:pPr>
      <w:r w:rsidRPr="009B096A">
        <w:rPr>
          <w:rFonts w:ascii="Arial" w:hAnsi="Arial" w:cs="Arial"/>
          <w:sz w:val="20"/>
          <w:szCs w:val="20"/>
        </w:rPr>
        <w:t>Net realisable value represents the amount of cash or cash equivalents that could currently be obtained by selling an asset in an orderly disposal.</w:t>
      </w:r>
    </w:p>
    <w:p w:rsidR="001C7FAF" w:rsidRPr="00DE475B" w:rsidRDefault="001C7FAF" w:rsidP="001C7FAF">
      <w:pPr>
        <w:tabs>
          <w:tab w:val="left" w:pos="284"/>
          <w:tab w:val="left" w:pos="5878"/>
          <w:tab w:val="left" w:pos="8548"/>
          <w:tab w:val="left" w:pos="8770"/>
          <w:tab w:val="left" w:pos="10266"/>
          <w:tab w:val="left" w:pos="11702"/>
        </w:tabs>
        <w:rPr>
          <w:rFonts w:ascii="Arial" w:hAnsi="Arial" w:cs="Arial"/>
          <w:sz w:val="20"/>
          <w:szCs w:val="20"/>
        </w:rPr>
      </w:pPr>
      <w:r>
        <w:rPr>
          <w:rFonts w:ascii="Arial" w:hAnsi="Arial" w:cs="Arial"/>
          <w:b/>
          <w:bCs/>
          <w:sz w:val="20"/>
          <w:szCs w:val="20"/>
        </w:rPr>
        <w:t xml:space="preserve">A2-6 </w:t>
      </w:r>
      <w:proofErr w:type="gramStart"/>
      <w:r w:rsidRPr="00DE475B">
        <w:rPr>
          <w:rFonts w:ascii="Arial" w:hAnsi="Arial" w:cs="Arial"/>
          <w:b/>
          <w:bCs/>
          <w:sz w:val="20"/>
          <w:szCs w:val="20"/>
        </w:rPr>
        <w:t>The</w:t>
      </w:r>
      <w:proofErr w:type="gramEnd"/>
      <w:r w:rsidRPr="00DE475B">
        <w:rPr>
          <w:rFonts w:ascii="Arial" w:hAnsi="Arial" w:cs="Arial"/>
          <w:b/>
          <w:bCs/>
          <w:sz w:val="20"/>
          <w:szCs w:val="20"/>
        </w:rPr>
        <w:t xml:space="preserve"> Reporting Entity</w:t>
      </w:r>
      <w:r w:rsidRPr="00DE475B">
        <w:rPr>
          <w:rFonts w:ascii="Arial" w:hAnsi="Arial" w:cs="Arial"/>
          <w:b/>
          <w:bCs/>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p>
    <w:p w:rsidR="001C7FAF" w:rsidRPr="00DE475B" w:rsidRDefault="001C7FAF" w:rsidP="001C7FAF">
      <w:pPr>
        <w:tabs>
          <w:tab w:val="left" w:pos="504"/>
          <w:tab w:val="left" w:pos="5878"/>
        </w:tabs>
        <w:spacing w:after="120"/>
        <w:rPr>
          <w:rFonts w:ascii="Arial" w:hAnsi="Arial" w:cs="Arial"/>
          <w:sz w:val="20"/>
          <w:szCs w:val="20"/>
        </w:rPr>
      </w:pPr>
      <w:r w:rsidRPr="00DE475B">
        <w:rPr>
          <w:rFonts w:ascii="Arial" w:hAnsi="Arial" w:cs="Arial"/>
          <w:sz w:val="20"/>
          <w:szCs w:val="20"/>
        </w:rPr>
        <w:t xml:space="preserve">In the financial statements, the term Parent Entity refers to the Library Board, the term </w:t>
      </w:r>
      <w:r w:rsidRPr="00DE475B">
        <w:rPr>
          <w:rFonts w:ascii="Arial" w:hAnsi="Arial" w:cs="Arial"/>
          <w:sz w:val="20"/>
          <w:szCs w:val="20"/>
        </w:rPr>
        <w:lastRenderedPageBreak/>
        <w:t xml:space="preserve">Economic Entity refers to the Library Board together with the Queensland Library Foundation (the Foundation) as a controlled entity (Refer note A3). The Library Board has adopted the principles outlined in Australian Accounting Standard </w:t>
      </w:r>
      <w:proofErr w:type="spellStart"/>
      <w:r w:rsidRPr="00DE475B">
        <w:rPr>
          <w:rFonts w:ascii="Arial" w:hAnsi="Arial" w:cs="Arial"/>
          <w:i/>
          <w:sz w:val="20"/>
          <w:szCs w:val="20"/>
        </w:rPr>
        <w:t>AASB</w:t>
      </w:r>
      <w:proofErr w:type="spellEnd"/>
      <w:r w:rsidRPr="00DE475B">
        <w:rPr>
          <w:rFonts w:ascii="Arial" w:hAnsi="Arial" w:cs="Arial"/>
          <w:i/>
          <w:sz w:val="20"/>
          <w:szCs w:val="20"/>
        </w:rPr>
        <w:t xml:space="preserve"> 10</w:t>
      </w:r>
      <w:r w:rsidRPr="00DE475B">
        <w:rPr>
          <w:rFonts w:ascii="Arial" w:hAnsi="Arial" w:cs="Arial"/>
          <w:sz w:val="20"/>
          <w:szCs w:val="20"/>
        </w:rPr>
        <w:t xml:space="preserve"> </w:t>
      </w:r>
      <w:r w:rsidRPr="00DE475B">
        <w:rPr>
          <w:rFonts w:ascii="Arial" w:hAnsi="Arial" w:cs="Arial"/>
          <w:i/>
          <w:sz w:val="20"/>
          <w:szCs w:val="20"/>
        </w:rPr>
        <w:t>Consolidated Financial Statements</w:t>
      </w:r>
      <w:r w:rsidRPr="00DE475B">
        <w:rPr>
          <w:rFonts w:ascii="Arial" w:hAnsi="Arial" w:cs="Arial"/>
          <w:sz w:val="20"/>
          <w:szCs w:val="20"/>
        </w:rPr>
        <w:t xml:space="preserve"> and </w:t>
      </w:r>
      <w:proofErr w:type="spellStart"/>
      <w:r w:rsidRPr="00DE475B">
        <w:rPr>
          <w:rFonts w:ascii="Arial" w:hAnsi="Arial" w:cs="Arial"/>
          <w:i/>
          <w:sz w:val="20"/>
          <w:szCs w:val="20"/>
        </w:rPr>
        <w:t>AASB</w:t>
      </w:r>
      <w:proofErr w:type="spellEnd"/>
      <w:r w:rsidRPr="00DE475B">
        <w:rPr>
          <w:rFonts w:ascii="Arial" w:hAnsi="Arial" w:cs="Arial"/>
          <w:i/>
          <w:sz w:val="20"/>
          <w:szCs w:val="20"/>
        </w:rPr>
        <w:t xml:space="preserve"> 12 Disclosure of Interests in Other Entities</w:t>
      </w:r>
      <w:r w:rsidRPr="00DE475B">
        <w:rPr>
          <w:rFonts w:ascii="Arial" w:hAnsi="Arial" w:cs="Arial"/>
          <w:sz w:val="20"/>
          <w:szCs w:val="20"/>
        </w:rPr>
        <w:t>. This approach is considered appropriate as it reflects the relationship between the Library Board's core business activities and those of the Foundation.</w:t>
      </w:r>
    </w:p>
    <w:p w:rsidR="001C7FAF" w:rsidRDefault="001C7FAF" w:rsidP="001C7FAF">
      <w:pPr>
        <w:tabs>
          <w:tab w:val="left" w:pos="504"/>
          <w:tab w:val="left" w:pos="5878"/>
        </w:tabs>
        <w:spacing w:after="120"/>
        <w:rPr>
          <w:rFonts w:ascii="Arial" w:hAnsi="Arial" w:cs="Arial"/>
          <w:sz w:val="20"/>
          <w:szCs w:val="20"/>
        </w:rPr>
      </w:pPr>
      <w:r w:rsidRPr="00DE475B">
        <w:rPr>
          <w:rFonts w:ascii="Arial" w:hAnsi="Arial" w:cs="Arial"/>
          <w:sz w:val="20"/>
          <w:szCs w:val="20"/>
        </w:rPr>
        <w:t>In the process of consolidating into a single economic entity, all transactions between the Library Board and the Foundation have been eliminated in full.</w:t>
      </w:r>
    </w:p>
    <w:p w:rsidR="001C7FAF" w:rsidRPr="00B929C7" w:rsidRDefault="00B929C7" w:rsidP="001C7FAF">
      <w:pPr>
        <w:tabs>
          <w:tab w:val="left" w:pos="504"/>
          <w:tab w:val="left" w:pos="5878"/>
        </w:tabs>
        <w:spacing w:after="120"/>
        <w:rPr>
          <w:rFonts w:ascii="Arial" w:hAnsi="Arial" w:cs="Arial"/>
          <w:spacing w:val="-2"/>
          <w:sz w:val="20"/>
          <w:szCs w:val="20"/>
        </w:rPr>
      </w:pPr>
      <w:r w:rsidRPr="00B929C7">
        <w:rPr>
          <w:rFonts w:ascii="Arial" w:hAnsi="Arial" w:cs="Arial"/>
          <w:spacing w:val="-2"/>
          <w:sz w:val="20"/>
          <w:szCs w:val="20"/>
        </w:rPr>
        <w:t>The parent entity financial statements include all income, expenses, assets, liabilities and equity of the Library Board only.</w:t>
      </w:r>
    </w:p>
    <w:p w:rsidR="00416884" w:rsidRDefault="00416884" w:rsidP="00527919">
      <w:pPr>
        <w:pStyle w:val="ARheading3"/>
        <w:tabs>
          <w:tab w:val="left" w:pos="851"/>
        </w:tabs>
        <w:spacing w:after="120"/>
        <w:rPr>
          <w:color w:val="808080"/>
        </w:rPr>
        <w:sectPr w:rsidR="00416884" w:rsidSect="00B53922">
          <w:type w:val="continuous"/>
          <w:pgSz w:w="11906" w:h="16838"/>
          <w:pgMar w:top="1440" w:right="1701" w:bottom="1440" w:left="1701" w:header="680" w:footer="680" w:gutter="0"/>
          <w:cols w:num="2" w:space="566"/>
          <w:docGrid w:linePitch="360"/>
        </w:sectPr>
      </w:pPr>
    </w:p>
    <w:p w:rsidR="00416884" w:rsidRDefault="00416884" w:rsidP="00527919">
      <w:pPr>
        <w:pStyle w:val="ARheading3"/>
        <w:tabs>
          <w:tab w:val="left" w:pos="851"/>
        </w:tabs>
        <w:spacing w:after="120"/>
        <w:rPr>
          <w:color w:val="808080"/>
        </w:rPr>
      </w:pPr>
    </w:p>
    <w:p w:rsidR="00527919" w:rsidRPr="00DE475B" w:rsidRDefault="00527919" w:rsidP="00527919">
      <w:pPr>
        <w:pStyle w:val="ARheading3"/>
        <w:tabs>
          <w:tab w:val="left" w:pos="851"/>
        </w:tabs>
        <w:spacing w:after="120"/>
        <w:rPr>
          <w:color w:val="808080"/>
        </w:rPr>
      </w:pPr>
      <w:r w:rsidRPr="00DE475B">
        <w:rPr>
          <w:color w:val="808080"/>
        </w:rPr>
        <w:t xml:space="preserve">A3 Controlled entities </w:t>
      </w:r>
    </w:p>
    <w:p w:rsidR="00416884" w:rsidRDefault="00416884" w:rsidP="00527919">
      <w:pPr>
        <w:tabs>
          <w:tab w:val="left" w:pos="504"/>
          <w:tab w:val="left" w:pos="5878"/>
        </w:tabs>
        <w:spacing w:after="120"/>
        <w:rPr>
          <w:rFonts w:ascii="Arial" w:hAnsi="Arial" w:cs="Arial"/>
          <w:sz w:val="20"/>
          <w:szCs w:val="20"/>
        </w:rPr>
        <w:sectPr w:rsidR="00416884" w:rsidSect="00B53922">
          <w:type w:val="continuous"/>
          <w:pgSz w:w="11906" w:h="16838"/>
          <w:pgMar w:top="1440" w:right="1701" w:bottom="1440" w:left="1701" w:header="680" w:footer="680" w:gutter="0"/>
          <w:cols w:space="566"/>
          <w:docGrid w:linePitch="360"/>
        </w:sectPr>
      </w:pPr>
    </w:p>
    <w:p w:rsidR="00527919" w:rsidRPr="00DE475B" w:rsidRDefault="00527919" w:rsidP="00527919">
      <w:pPr>
        <w:tabs>
          <w:tab w:val="left" w:pos="504"/>
          <w:tab w:val="left" w:pos="5878"/>
        </w:tabs>
        <w:spacing w:after="120"/>
        <w:rPr>
          <w:rFonts w:ascii="Arial" w:hAnsi="Arial" w:cs="Arial"/>
          <w:sz w:val="20"/>
          <w:szCs w:val="20"/>
        </w:rPr>
      </w:pPr>
      <w:r w:rsidRPr="00DE475B">
        <w:rPr>
          <w:rFonts w:ascii="Arial" w:hAnsi="Arial" w:cs="Arial"/>
          <w:sz w:val="20"/>
          <w:szCs w:val="20"/>
        </w:rPr>
        <w:lastRenderedPageBreak/>
        <w:t>The Library Board controls the Queensland Library Foundation (the Foundation) with the Library Board being the sole member of the Foundation and having the power to appoint all members of the Foundation Council.</w:t>
      </w:r>
    </w:p>
    <w:p w:rsidR="00527919" w:rsidRPr="00DE475B" w:rsidRDefault="00527919" w:rsidP="00527919">
      <w:pPr>
        <w:rPr>
          <w:rFonts w:ascii="Arial" w:hAnsi="Arial" w:cs="Arial"/>
          <w:i/>
          <w:iCs/>
          <w:sz w:val="20"/>
          <w:szCs w:val="20"/>
        </w:rPr>
      </w:pPr>
      <w:r w:rsidRPr="00DE475B">
        <w:rPr>
          <w:rFonts w:ascii="Arial" w:hAnsi="Arial" w:cs="Arial"/>
          <w:i/>
          <w:iCs/>
          <w:sz w:val="20"/>
          <w:szCs w:val="20"/>
        </w:rPr>
        <w:t>Purpose and Principal Activities</w:t>
      </w:r>
    </w:p>
    <w:p w:rsidR="00527919" w:rsidRPr="00DE475B" w:rsidRDefault="00527919" w:rsidP="00527919">
      <w:pPr>
        <w:tabs>
          <w:tab w:val="left" w:pos="504"/>
          <w:tab w:val="left" w:pos="5878"/>
        </w:tabs>
        <w:spacing w:after="40"/>
        <w:rPr>
          <w:rFonts w:ascii="Arial" w:hAnsi="Arial" w:cs="Arial"/>
          <w:spacing w:val="-4"/>
          <w:sz w:val="20"/>
          <w:szCs w:val="20"/>
        </w:rPr>
      </w:pPr>
      <w:r w:rsidRPr="00DE475B">
        <w:rPr>
          <w:rFonts w:ascii="Arial" w:hAnsi="Arial" w:cs="Arial"/>
          <w:spacing w:val="-4"/>
          <w:sz w:val="20"/>
          <w:szCs w:val="20"/>
        </w:rPr>
        <w:t xml:space="preserve">The Foundation's purposes is to act as an agent of </w:t>
      </w:r>
      <w:r>
        <w:rPr>
          <w:rFonts w:ascii="Arial" w:hAnsi="Arial" w:cs="Arial"/>
          <w:spacing w:val="-4"/>
          <w:sz w:val="20"/>
          <w:szCs w:val="20"/>
        </w:rPr>
        <w:t>and</w:t>
      </w:r>
      <w:r w:rsidRPr="00DE475B">
        <w:rPr>
          <w:rFonts w:ascii="Arial" w:hAnsi="Arial" w:cs="Arial"/>
          <w:spacing w:val="-4"/>
          <w:sz w:val="20"/>
          <w:szCs w:val="20"/>
        </w:rPr>
        <w:t xml:space="preserve"> to assist State Library in the performance of its functions as set out in section 20 of the Libraries Act 1988 (Qld) by:</w:t>
      </w:r>
    </w:p>
    <w:p w:rsidR="00527919" w:rsidRPr="00DE475B" w:rsidRDefault="00527919" w:rsidP="00527919">
      <w:pPr>
        <w:tabs>
          <w:tab w:val="left" w:pos="504"/>
          <w:tab w:val="left" w:pos="5878"/>
        </w:tabs>
        <w:spacing w:after="40"/>
        <w:rPr>
          <w:rFonts w:ascii="Arial" w:hAnsi="Arial" w:cs="Arial"/>
          <w:sz w:val="20"/>
          <w:szCs w:val="20"/>
        </w:rPr>
      </w:pPr>
      <w:r w:rsidRPr="00DE475B">
        <w:rPr>
          <w:rFonts w:ascii="Arial" w:hAnsi="Arial" w:cs="Arial"/>
          <w:sz w:val="20"/>
          <w:szCs w:val="20"/>
        </w:rPr>
        <w:t xml:space="preserve">(1) raising funds through gifts, grants and other forms of financial assistance, property and benefits for State Library, including for buildings, infrastructure, library materials, facilities, programs and projects; </w:t>
      </w:r>
    </w:p>
    <w:p w:rsidR="00527919" w:rsidRPr="00DE475B" w:rsidRDefault="00527919" w:rsidP="00527919">
      <w:pPr>
        <w:tabs>
          <w:tab w:val="left" w:pos="504"/>
          <w:tab w:val="left" w:pos="5878"/>
        </w:tabs>
        <w:spacing w:after="40"/>
        <w:rPr>
          <w:rFonts w:ascii="Arial" w:hAnsi="Arial" w:cs="Arial"/>
          <w:sz w:val="20"/>
          <w:szCs w:val="20"/>
        </w:rPr>
      </w:pPr>
      <w:r w:rsidRPr="00DE475B">
        <w:rPr>
          <w:rFonts w:ascii="Arial" w:hAnsi="Arial" w:cs="Arial"/>
          <w:sz w:val="20"/>
          <w:szCs w:val="20"/>
        </w:rPr>
        <w:t xml:space="preserve">(2) </w:t>
      </w:r>
      <w:proofErr w:type="gramStart"/>
      <w:r w:rsidRPr="00DE475B">
        <w:rPr>
          <w:rFonts w:ascii="Arial" w:hAnsi="Arial" w:cs="Arial"/>
          <w:sz w:val="20"/>
          <w:szCs w:val="20"/>
        </w:rPr>
        <w:t>increasing</w:t>
      </w:r>
      <w:proofErr w:type="gramEnd"/>
      <w:r w:rsidRPr="00DE475B">
        <w:rPr>
          <w:rFonts w:ascii="Arial" w:hAnsi="Arial" w:cs="Arial"/>
          <w:sz w:val="20"/>
          <w:szCs w:val="20"/>
        </w:rPr>
        <w:t xml:space="preserve"> public support and interest in State Library; and</w:t>
      </w:r>
    </w:p>
    <w:p w:rsidR="00527919" w:rsidRPr="00DE475B" w:rsidRDefault="00527919" w:rsidP="00527919">
      <w:pPr>
        <w:tabs>
          <w:tab w:val="left" w:pos="504"/>
          <w:tab w:val="left" w:pos="5878"/>
        </w:tabs>
        <w:spacing w:after="120"/>
        <w:rPr>
          <w:rFonts w:ascii="Arial" w:hAnsi="Arial" w:cs="Arial"/>
          <w:sz w:val="20"/>
          <w:szCs w:val="20"/>
        </w:rPr>
      </w:pPr>
      <w:r w:rsidRPr="00DE475B">
        <w:rPr>
          <w:rFonts w:ascii="Arial" w:hAnsi="Arial" w:cs="Arial"/>
          <w:sz w:val="20"/>
          <w:szCs w:val="20"/>
        </w:rPr>
        <w:lastRenderedPageBreak/>
        <w:t xml:space="preserve">(3) </w:t>
      </w:r>
      <w:proofErr w:type="gramStart"/>
      <w:r w:rsidRPr="00DE475B">
        <w:rPr>
          <w:rFonts w:ascii="Arial" w:hAnsi="Arial" w:cs="Arial"/>
          <w:sz w:val="20"/>
          <w:szCs w:val="20"/>
        </w:rPr>
        <w:t>building</w:t>
      </w:r>
      <w:proofErr w:type="gramEnd"/>
      <w:r w:rsidRPr="00DE475B">
        <w:rPr>
          <w:rFonts w:ascii="Arial" w:hAnsi="Arial" w:cs="Arial"/>
          <w:sz w:val="20"/>
          <w:szCs w:val="20"/>
        </w:rPr>
        <w:t xml:space="preserve"> the number of financial supporters of State Library.</w:t>
      </w:r>
    </w:p>
    <w:p w:rsidR="00527919" w:rsidRPr="00DE475B" w:rsidRDefault="00527919" w:rsidP="00527919">
      <w:pPr>
        <w:tabs>
          <w:tab w:val="left" w:pos="504"/>
          <w:tab w:val="left" w:pos="5878"/>
        </w:tabs>
        <w:spacing w:after="120"/>
        <w:rPr>
          <w:rFonts w:ascii="Arial" w:hAnsi="Arial" w:cs="Arial"/>
          <w:sz w:val="20"/>
          <w:szCs w:val="20"/>
        </w:rPr>
      </w:pPr>
      <w:r w:rsidRPr="00DE475B">
        <w:rPr>
          <w:rFonts w:ascii="Arial" w:hAnsi="Arial" w:cs="Arial"/>
          <w:sz w:val="20"/>
          <w:szCs w:val="20"/>
        </w:rPr>
        <w:t>State Library provides all administrative support services (including salaries for staff) to the Foundation on a cost recovery basis.</w:t>
      </w:r>
    </w:p>
    <w:p w:rsidR="00527919" w:rsidRPr="00DE475B" w:rsidRDefault="00527919" w:rsidP="00527919">
      <w:pPr>
        <w:tabs>
          <w:tab w:val="left" w:pos="504"/>
          <w:tab w:val="left" w:pos="5878"/>
        </w:tabs>
        <w:spacing w:after="120"/>
        <w:rPr>
          <w:rFonts w:ascii="Arial" w:hAnsi="Arial" w:cs="Arial"/>
          <w:sz w:val="20"/>
          <w:szCs w:val="20"/>
        </w:rPr>
      </w:pPr>
      <w:r w:rsidRPr="00DE475B">
        <w:rPr>
          <w:rFonts w:ascii="Arial" w:hAnsi="Arial" w:cs="Arial"/>
          <w:sz w:val="20"/>
          <w:szCs w:val="20"/>
        </w:rPr>
        <w:t>The Foundation transfers funds to</w:t>
      </w:r>
      <w:r w:rsidR="00824C8C">
        <w:rPr>
          <w:rFonts w:ascii="Arial" w:hAnsi="Arial" w:cs="Arial"/>
          <w:sz w:val="20"/>
          <w:szCs w:val="20"/>
        </w:rPr>
        <w:t xml:space="preserve"> </w:t>
      </w:r>
      <w:r w:rsidRPr="00DE475B">
        <w:rPr>
          <w:rFonts w:ascii="Arial" w:hAnsi="Arial" w:cs="Arial"/>
          <w:sz w:val="20"/>
          <w:szCs w:val="20"/>
        </w:rPr>
        <w:t>State Library to cover the cost of a range of approved projects. There are no significant restrictions on State Library's ability to access the Foundation's assets or settle its liabilities.</w:t>
      </w:r>
    </w:p>
    <w:p w:rsidR="00527919" w:rsidRPr="00DE475B" w:rsidRDefault="00527919" w:rsidP="00C42FAC">
      <w:pPr>
        <w:tabs>
          <w:tab w:val="left" w:pos="504"/>
          <w:tab w:val="left" w:pos="5878"/>
        </w:tabs>
        <w:rPr>
          <w:rFonts w:ascii="Arial" w:hAnsi="Arial" w:cs="Arial"/>
          <w:sz w:val="20"/>
          <w:szCs w:val="20"/>
        </w:rPr>
        <w:sectPr w:rsidR="00527919" w:rsidRPr="00DE475B" w:rsidSect="00B53922">
          <w:type w:val="continuous"/>
          <w:pgSz w:w="11906" w:h="16838"/>
          <w:pgMar w:top="1440" w:right="1701" w:bottom="1440" w:left="1701" w:header="680" w:footer="680" w:gutter="0"/>
          <w:cols w:num="2" w:space="566"/>
          <w:docGrid w:linePitch="360"/>
        </w:sectPr>
      </w:pPr>
      <w:r w:rsidRPr="00DE475B">
        <w:rPr>
          <w:rFonts w:ascii="Arial" w:hAnsi="Arial" w:cs="Arial"/>
          <w:sz w:val="20"/>
          <w:szCs w:val="20"/>
        </w:rPr>
        <w:t>The Queensland Audit Office audits the Foundation. Total external</w:t>
      </w:r>
      <w:r w:rsidR="00AE73EB">
        <w:rPr>
          <w:rFonts w:ascii="Arial" w:hAnsi="Arial" w:cs="Arial"/>
          <w:sz w:val="20"/>
          <w:szCs w:val="20"/>
        </w:rPr>
        <w:t xml:space="preserve"> audit fees relating to the 2016–17</w:t>
      </w:r>
      <w:r w:rsidRPr="00DE475B">
        <w:rPr>
          <w:rFonts w:ascii="Arial" w:hAnsi="Arial" w:cs="Arial"/>
          <w:sz w:val="20"/>
          <w:szCs w:val="20"/>
        </w:rPr>
        <w:t xml:space="preserve"> financial sta</w:t>
      </w:r>
      <w:r w:rsidR="00AE73EB">
        <w:rPr>
          <w:rFonts w:ascii="Arial" w:hAnsi="Arial" w:cs="Arial"/>
          <w:sz w:val="20"/>
          <w:szCs w:val="20"/>
        </w:rPr>
        <w:t>tements are estimated to be $6,2</w:t>
      </w:r>
      <w:r w:rsidRPr="00DE475B">
        <w:rPr>
          <w:rFonts w:ascii="Arial" w:hAnsi="Arial" w:cs="Arial"/>
          <w:sz w:val="20"/>
          <w:szCs w:val="20"/>
        </w:rPr>
        <w:t>00 (201</w:t>
      </w:r>
      <w:r w:rsidR="00AE73EB">
        <w:rPr>
          <w:rFonts w:ascii="Arial" w:hAnsi="Arial" w:cs="Arial"/>
          <w:sz w:val="20"/>
          <w:szCs w:val="20"/>
        </w:rPr>
        <w:t>6</w:t>
      </w:r>
      <w:r w:rsidRPr="00DE475B">
        <w:rPr>
          <w:rFonts w:ascii="Arial" w:hAnsi="Arial" w:cs="Arial"/>
          <w:sz w:val="20"/>
          <w:szCs w:val="20"/>
        </w:rPr>
        <w:t>: $</w:t>
      </w:r>
      <w:r w:rsidR="00AE73EB">
        <w:rPr>
          <w:rFonts w:ascii="Arial" w:hAnsi="Arial" w:cs="Arial"/>
          <w:sz w:val="20"/>
          <w:szCs w:val="20"/>
        </w:rPr>
        <w:t>6</w:t>
      </w:r>
      <w:r w:rsidRPr="00DE475B">
        <w:rPr>
          <w:rFonts w:ascii="Arial" w:hAnsi="Arial" w:cs="Arial"/>
          <w:sz w:val="20"/>
          <w:szCs w:val="20"/>
        </w:rPr>
        <w:t>,</w:t>
      </w:r>
      <w:r w:rsidR="00AE73EB">
        <w:rPr>
          <w:rFonts w:ascii="Arial" w:hAnsi="Arial" w:cs="Arial"/>
          <w:sz w:val="20"/>
          <w:szCs w:val="20"/>
        </w:rPr>
        <w:t>0</w:t>
      </w:r>
      <w:r w:rsidRPr="00DE475B">
        <w:rPr>
          <w:rFonts w:ascii="Arial" w:hAnsi="Arial" w:cs="Arial"/>
          <w:sz w:val="20"/>
          <w:szCs w:val="20"/>
        </w:rPr>
        <w:t>00). There are no non-audit services included in this amount</w:t>
      </w:r>
      <w:r>
        <w:rPr>
          <w:rFonts w:ascii="Arial" w:hAnsi="Arial" w:cs="Arial"/>
          <w:sz w:val="20"/>
          <w:szCs w:val="20"/>
        </w:rPr>
        <w:t>.</w:t>
      </w:r>
    </w:p>
    <w:p w:rsidR="001C79EC" w:rsidRPr="00DE475B" w:rsidRDefault="001C79EC" w:rsidP="00BD4686">
      <w:pPr>
        <w:spacing w:before="240" w:after="120"/>
        <w:rPr>
          <w:rFonts w:ascii="Arial" w:hAnsi="Arial" w:cs="Arial"/>
          <w:i/>
          <w:iCs/>
          <w:sz w:val="20"/>
          <w:szCs w:val="20"/>
        </w:rPr>
      </w:pPr>
      <w:r w:rsidRPr="00DE475B">
        <w:rPr>
          <w:rFonts w:ascii="Arial" w:hAnsi="Arial" w:cs="Arial"/>
          <w:i/>
          <w:iCs/>
          <w:sz w:val="20"/>
          <w:szCs w:val="20"/>
        </w:rPr>
        <w:lastRenderedPageBreak/>
        <w:t>Audited Financial Transactions and Balances</w:t>
      </w:r>
    </w:p>
    <w:tbl>
      <w:tblPr>
        <w:tblW w:w="8755" w:type="dxa"/>
        <w:tblLayout w:type="fixed"/>
        <w:tblLook w:val="04A0" w:firstRow="1" w:lastRow="0" w:firstColumn="1" w:lastColumn="0" w:noHBand="0" w:noVBand="1"/>
      </w:tblPr>
      <w:tblGrid>
        <w:gridCol w:w="1438"/>
        <w:gridCol w:w="914"/>
        <w:gridCol w:w="914"/>
        <w:gridCol w:w="914"/>
        <w:gridCol w:w="915"/>
        <w:gridCol w:w="915"/>
        <w:gridCol w:w="915"/>
        <w:gridCol w:w="915"/>
        <w:gridCol w:w="915"/>
      </w:tblGrid>
      <w:tr w:rsidR="001C79EC" w:rsidRPr="00DE475B" w:rsidTr="00527919">
        <w:trPr>
          <w:trHeight w:val="798"/>
        </w:trPr>
        <w:tc>
          <w:tcPr>
            <w:tcW w:w="1438" w:type="dxa"/>
            <w:shd w:val="clear" w:color="auto" w:fill="auto"/>
            <w:hideMark/>
          </w:tcPr>
          <w:p w:rsidR="001C79EC" w:rsidRPr="00DE475B" w:rsidRDefault="001C79EC" w:rsidP="0016046C">
            <w:pPr>
              <w:tabs>
                <w:tab w:val="left" w:pos="504"/>
                <w:tab w:val="left" w:pos="5878"/>
              </w:tabs>
              <w:jc w:val="center"/>
              <w:rPr>
                <w:rFonts w:ascii="Arial" w:hAnsi="Arial" w:cs="Arial"/>
                <w:b/>
                <w:bCs/>
                <w:sz w:val="20"/>
                <w:szCs w:val="20"/>
              </w:rPr>
            </w:pPr>
            <w:r w:rsidRPr="00DE475B">
              <w:rPr>
                <w:rFonts w:ascii="Arial" w:hAnsi="Arial" w:cs="Arial"/>
                <w:b/>
                <w:bCs/>
                <w:sz w:val="20"/>
                <w:szCs w:val="20"/>
              </w:rPr>
              <w:t>Name of Controlled Entity</w:t>
            </w:r>
          </w:p>
        </w:tc>
        <w:tc>
          <w:tcPr>
            <w:tcW w:w="1828" w:type="dxa"/>
            <w:gridSpan w:val="2"/>
            <w:shd w:val="clear" w:color="auto" w:fill="auto"/>
            <w:hideMark/>
          </w:tcPr>
          <w:p w:rsidR="001C79EC" w:rsidRPr="00DE475B" w:rsidRDefault="001C79EC" w:rsidP="0016046C">
            <w:pPr>
              <w:tabs>
                <w:tab w:val="left" w:pos="504"/>
                <w:tab w:val="left" w:pos="5878"/>
              </w:tabs>
              <w:spacing w:after="120"/>
              <w:jc w:val="center"/>
              <w:rPr>
                <w:rFonts w:ascii="Arial" w:hAnsi="Arial" w:cs="Arial"/>
                <w:sz w:val="20"/>
                <w:szCs w:val="20"/>
              </w:rPr>
            </w:pPr>
            <w:r w:rsidRPr="00DE475B">
              <w:rPr>
                <w:rFonts w:ascii="Arial" w:hAnsi="Arial" w:cs="Arial"/>
                <w:b/>
                <w:bCs/>
                <w:sz w:val="20"/>
                <w:szCs w:val="20"/>
              </w:rPr>
              <w:t>Total Assets</w:t>
            </w:r>
            <w:r w:rsidRPr="00DE475B">
              <w:rPr>
                <w:rFonts w:ascii="Arial" w:hAnsi="Arial" w:cs="Arial"/>
                <w:b/>
                <w:bCs/>
                <w:sz w:val="20"/>
                <w:szCs w:val="20"/>
              </w:rPr>
              <w:br/>
              <w:t>$'000</w:t>
            </w:r>
          </w:p>
        </w:tc>
        <w:tc>
          <w:tcPr>
            <w:tcW w:w="1829" w:type="dxa"/>
            <w:gridSpan w:val="2"/>
            <w:shd w:val="clear" w:color="auto" w:fill="auto"/>
            <w:hideMark/>
          </w:tcPr>
          <w:p w:rsidR="001C79EC" w:rsidRPr="00DE475B" w:rsidRDefault="001C79EC" w:rsidP="0016046C">
            <w:pPr>
              <w:tabs>
                <w:tab w:val="left" w:pos="504"/>
                <w:tab w:val="left" w:pos="5878"/>
              </w:tabs>
              <w:spacing w:after="120"/>
              <w:jc w:val="center"/>
              <w:rPr>
                <w:rFonts w:ascii="Arial" w:hAnsi="Arial" w:cs="Arial"/>
                <w:sz w:val="20"/>
                <w:szCs w:val="20"/>
              </w:rPr>
            </w:pPr>
            <w:r w:rsidRPr="00DE475B">
              <w:rPr>
                <w:rFonts w:ascii="Arial" w:hAnsi="Arial" w:cs="Arial"/>
                <w:b/>
                <w:bCs/>
                <w:sz w:val="20"/>
                <w:szCs w:val="20"/>
              </w:rPr>
              <w:t>Total Liabilities</w:t>
            </w:r>
            <w:r w:rsidRPr="00DE475B">
              <w:rPr>
                <w:rFonts w:ascii="Arial" w:hAnsi="Arial" w:cs="Arial"/>
                <w:b/>
                <w:bCs/>
                <w:sz w:val="20"/>
                <w:szCs w:val="20"/>
              </w:rPr>
              <w:br/>
              <w:t>$'000</w:t>
            </w:r>
          </w:p>
        </w:tc>
        <w:tc>
          <w:tcPr>
            <w:tcW w:w="1830" w:type="dxa"/>
            <w:gridSpan w:val="2"/>
            <w:shd w:val="clear" w:color="auto" w:fill="auto"/>
            <w:hideMark/>
          </w:tcPr>
          <w:p w:rsidR="001C79EC" w:rsidRPr="00DE475B" w:rsidRDefault="001C79EC" w:rsidP="0016046C">
            <w:pPr>
              <w:jc w:val="center"/>
              <w:rPr>
                <w:rFonts w:ascii="Arial" w:hAnsi="Arial" w:cs="Arial"/>
                <w:b/>
                <w:bCs/>
                <w:sz w:val="20"/>
                <w:szCs w:val="20"/>
              </w:rPr>
            </w:pPr>
            <w:r w:rsidRPr="00DE475B">
              <w:rPr>
                <w:rFonts w:ascii="Arial" w:hAnsi="Arial" w:cs="Arial"/>
                <w:b/>
                <w:bCs/>
                <w:sz w:val="20"/>
                <w:szCs w:val="20"/>
              </w:rPr>
              <w:t>Total Revenue</w:t>
            </w:r>
            <w:r w:rsidRPr="00DE475B">
              <w:rPr>
                <w:rFonts w:ascii="Arial" w:hAnsi="Arial" w:cs="Arial"/>
                <w:b/>
                <w:bCs/>
                <w:sz w:val="20"/>
                <w:szCs w:val="20"/>
              </w:rPr>
              <w:br/>
              <w:t>$'000</w:t>
            </w:r>
          </w:p>
        </w:tc>
        <w:tc>
          <w:tcPr>
            <w:tcW w:w="1830" w:type="dxa"/>
            <w:gridSpan w:val="2"/>
            <w:shd w:val="clear" w:color="auto" w:fill="auto"/>
            <w:hideMark/>
          </w:tcPr>
          <w:p w:rsidR="001C79EC" w:rsidRPr="00DE475B" w:rsidRDefault="001C79EC" w:rsidP="0016046C">
            <w:pPr>
              <w:jc w:val="center"/>
              <w:rPr>
                <w:rFonts w:ascii="Arial" w:hAnsi="Arial" w:cs="Arial"/>
                <w:b/>
                <w:bCs/>
                <w:sz w:val="20"/>
                <w:szCs w:val="20"/>
              </w:rPr>
            </w:pPr>
            <w:r w:rsidRPr="00DE475B">
              <w:rPr>
                <w:rFonts w:ascii="Arial" w:hAnsi="Arial" w:cs="Arial"/>
                <w:b/>
                <w:bCs/>
                <w:sz w:val="20"/>
                <w:szCs w:val="20"/>
              </w:rPr>
              <w:t>Operating Result</w:t>
            </w:r>
          </w:p>
        </w:tc>
      </w:tr>
      <w:tr w:rsidR="001C79EC" w:rsidRPr="00DE475B" w:rsidTr="00527919">
        <w:trPr>
          <w:trHeight w:val="255"/>
        </w:trPr>
        <w:tc>
          <w:tcPr>
            <w:tcW w:w="1438" w:type="dxa"/>
            <w:shd w:val="clear" w:color="auto" w:fill="auto"/>
            <w:hideMark/>
          </w:tcPr>
          <w:p w:rsidR="001C79EC" w:rsidRPr="00DE475B" w:rsidRDefault="001C79EC" w:rsidP="0016046C">
            <w:pPr>
              <w:tabs>
                <w:tab w:val="left" w:pos="504"/>
                <w:tab w:val="left" w:pos="5878"/>
              </w:tabs>
              <w:spacing w:after="120"/>
              <w:jc w:val="right"/>
              <w:rPr>
                <w:rFonts w:ascii="Arial" w:hAnsi="Arial" w:cs="Arial"/>
                <w:sz w:val="20"/>
                <w:szCs w:val="20"/>
              </w:rPr>
            </w:pPr>
            <w:r w:rsidRPr="00DE475B">
              <w:rPr>
                <w:rFonts w:ascii="Arial" w:hAnsi="Arial" w:cs="Arial"/>
                <w:sz w:val="20"/>
                <w:szCs w:val="20"/>
              </w:rPr>
              <w:t> </w:t>
            </w:r>
          </w:p>
        </w:tc>
        <w:tc>
          <w:tcPr>
            <w:tcW w:w="914" w:type="dxa"/>
            <w:tcBorders>
              <w:bottom w:val="single" w:sz="8" w:space="0" w:color="auto"/>
            </w:tcBorders>
            <w:shd w:val="clear" w:color="auto" w:fill="auto"/>
            <w:noWrap/>
            <w:hideMark/>
          </w:tcPr>
          <w:p w:rsidR="001C79EC" w:rsidRPr="00DE475B" w:rsidRDefault="001C79EC" w:rsidP="00527919">
            <w:pPr>
              <w:tabs>
                <w:tab w:val="left" w:pos="504"/>
                <w:tab w:val="left" w:pos="5878"/>
              </w:tabs>
              <w:jc w:val="right"/>
              <w:rPr>
                <w:rFonts w:ascii="Arial" w:hAnsi="Arial" w:cs="Arial"/>
                <w:b/>
                <w:bCs/>
                <w:sz w:val="20"/>
                <w:szCs w:val="20"/>
              </w:rPr>
            </w:pPr>
            <w:r w:rsidRPr="00DE475B">
              <w:rPr>
                <w:rFonts w:ascii="Arial" w:hAnsi="Arial" w:cs="Arial"/>
                <w:b/>
                <w:bCs/>
                <w:sz w:val="20"/>
                <w:szCs w:val="20"/>
              </w:rPr>
              <w:t>201</w:t>
            </w:r>
            <w:r w:rsidR="00527919">
              <w:rPr>
                <w:rFonts w:ascii="Arial" w:hAnsi="Arial" w:cs="Arial"/>
                <w:b/>
                <w:bCs/>
                <w:sz w:val="20"/>
                <w:szCs w:val="20"/>
              </w:rPr>
              <w:t>7</w:t>
            </w:r>
          </w:p>
        </w:tc>
        <w:tc>
          <w:tcPr>
            <w:tcW w:w="914" w:type="dxa"/>
            <w:tcBorders>
              <w:bottom w:val="single" w:sz="8" w:space="0" w:color="auto"/>
            </w:tcBorders>
            <w:shd w:val="clear" w:color="auto" w:fill="auto"/>
            <w:noWrap/>
            <w:hideMark/>
          </w:tcPr>
          <w:p w:rsidR="001C79EC" w:rsidRPr="00DE475B" w:rsidRDefault="00527919" w:rsidP="0016046C">
            <w:pPr>
              <w:tabs>
                <w:tab w:val="left" w:pos="504"/>
                <w:tab w:val="left" w:pos="5878"/>
              </w:tabs>
              <w:jc w:val="right"/>
              <w:rPr>
                <w:rFonts w:ascii="Arial" w:hAnsi="Arial" w:cs="Arial"/>
                <w:b/>
                <w:bCs/>
                <w:sz w:val="20"/>
                <w:szCs w:val="20"/>
              </w:rPr>
            </w:pPr>
            <w:r>
              <w:rPr>
                <w:rFonts w:ascii="Arial" w:hAnsi="Arial" w:cs="Arial"/>
                <w:b/>
                <w:bCs/>
                <w:sz w:val="20"/>
                <w:szCs w:val="20"/>
              </w:rPr>
              <w:t>2016</w:t>
            </w:r>
          </w:p>
        </w:tc>
        <w:tc>
          <w:tcPr>
            <w:tcW w:w="914" w:type="dxa"/>
            <w:tcBorders>
              <w:bottom w:val="single" w:sz="8" w:space="0" w:color="auto"/>
            </w:tcBorders>
            <w:shd w:val="clear" w:color="auto" w:fill="auto"/>
            <w:noWrap/>
            <w:hideMark/>
          </w:tcPr>
          <w:p w:rsidR="001C79EC" w:rsidRPr="00DE475B" w:rsidRDefault="00527919" w:rsidP="0016046C">
            <w:pPr>
              <w:tabs>
                <w:tab w:val="left" w:pos="504"/>
                <w:tab w:val="left" w:pos="5878"/>
              </w:tabs>
              <w:jc w:val="right"/>
              <w:rPr>
                <w:rFonts w:ascii="Arial" w:hAnsi="Arial" w:cs="Arial"/>
                <w:b/>
                <w:bCs/>
                <w:sz w:val="20"/>
                <w:szCs w:val="20"/>
              </w:rPr>
            </w:pPr>
            <w:r>
              <w:rPr>
                <w:rFonts w:ascii="Arial" w:hAnsi="Arial" w:cs="Arial"/>
                <w:b/>
                <w:bCs/>
                <w:sz w:val="20"/>
                <w:szCs w:val="20"/>
              </w:rPr>
              <w:t>2017</w:t>
            </w:r>
          </w:p>
        </w:tc>
        <w:tc>
          <w:tcPr>
            <w:tcW w:w="915" w:type="dxa"/>
            <w:tcBorders>
              <w:bottom w:val="single" w:sz="8" w:space="0" w:color="auto"/>
            </w:tcBorders>
            <w:shd w:val="clear" w:color="auto" w:fill="auto"/>
            <w:noWrap/>
            <w:hideMark/>
          </w:tcPr>
          <w:p w:rsidR="001C79EC" w:rsidRPr="00DE475B" w:rsidRDefault="00527919" w:rsidP="0016046C">
            <w:pPr>
              <w:tabs>
                <w:tab w:val="left" w:pos="504"/>
                <w:tab w:val="left" w:pos="5878"/>
              </w:tabs>
              <w:jc w:val="right"/>
              <w:rPr>
                <w:rFonts w:ascii="Arial" w:hAnsi="Arial" w:cs="Arial"/>
                <w:b/>
                <w:bCs/>
                <w:sz w:val="20"/>
                <w:szCs w:val="20"/>
              </w:rPr>
            </w:pPr>
            <w:r>
              <w:rPr>
                <w:rFonts w:ascii="Arial" w:hAnsi="Arial" w:cs="Arial"/>
                <w:b/>
                <w:bCs/>
                <w:sz w:val="20"/>
                <w:szCs w:val="20"/>
              </w:rPr>
              <w:t>2016</w:t>
            </w:r>
          </w:p>
        </w:tc>
        <w:tc>
          <w:tcPr>
            <w:tcW w:w="915" w:type="dxa"/>
            <w:tcBorders>
              <w:bottom w:val="single" w:sz="8" w:space="0" w:color="auto"/>
            </w:tcBorders>
            <w:shd w:val="clear" w:color="auto" w:fill="auto"/>
            <w:noWrap/>
            <w:hideMark/>
          </w:tcPr>
          <w:p w:rsidR="001C79EC" w:rsidRPr="00DE475B" w:rsidRDefault="00527919" w:rsidP="0016046C">
            <w:pPr>
              <w:tabs>
                <w:tab w:val="left" w:pos="504"/>
                <w:tab w:val="left" w:pos="5878"/>
              </w:tabs>
              <w:jc w:val="right"/>
              <w:rPr>
                <w:rFonts w:ascii="Arial" w:hAnsi="Arial" w:cs="Arial"/>
                <w:b/>
                <w:bCs/>
                <w:sz w:val="20"/>
                <w:szCs w:val="20"/>
              </w:rPr>
            </w:pPr>
            <w:r>
              <w:rPr>
                <w:rFonts w:ascii="Arial" w:hAnsi="Arial" w:cs="Arial"/>
                <w:b/>
                <w:bCs/>
                <w:sz w:val="20"/>
                <w:szCs w:val="20"/>
              </w:rPr>
              <w:t>2017</w:t>
            </w:r>
          </w:p>
        </w:tc>
        <w:tc>
          <w:tcPr>
            <w:tcW w:w="915" w:type="dxa"/>
            <w:tcBorders>
              <w:bottom w:val="single" w:sz="8" w:space="0" w:color="auto"/>
            </w:tcBorders>
            <w:shd w:val="clear" w:color="auto" w:fill="auto"/>
            <w:noWrap/>
            <w:hideMark/>
          </w:tcPr>
          <w:p w:rsidR="001C79EC" w:rsidRPr="00DE475B" w:rsidRDefault="00527919" w:rsidP="0016046C">
            <w:pPr>
              <w:tabs>
                <w:tab w:val="left" w:pos="504"/>
                <w:tab w:val="left" w:pos="5878"/>
              </w:tabs>
              <w:jc w:val="right"/>
              <w:rPr>
                <w:rFonts w:ascii="Arial" w:hAnsi="Arial" w:cs="Arial"/>
                <w:b/>
                <w:bCs/>
                <w:sz w:val="20"/>
                <w:szCs w:val="20"/>
              </w:rPr>
            </w:pPr>
            <w:r>
              <w:rPr>
                <w:rFonts w:ascii="Arial" w:hAnsi="Arial" w:cs="Arial"/>
                <w:b/>
                <w:bCs/>
                <w:sz w:val="20"/>
                <w:szCs w:val="20"/>
              </w:rPr>
              <w:t>2016</w:t>
            </w:r>
          </w:p>
        </w:tc>
        <w:tc>
          <w:tcPr>
            <w:tcW w:w="915" w:type="dxa"/>
            <w:tcBorders>
              <w:bottom w:val="single" w:sz="8" w:space="0" w:color="auto"/>
            </w:tcBorders>
            <w:shd w:val="clear" w:color="auto" w:fill="auto"/>
            <w:noWrap/>
            <w:hideMark/>
          </w:tcPr>
          <w:p w:rsidR="001C79EC" w:rsidRPr="00DE475B" w:rsidRDefault="00527919" w:rsidP="0016046C">
            <w:pPr>
              <w:tabs>
                <w:tab w:val="left" w:pos="504"/>
                <w:tab w:val="left" w:pos="5878"/>
              </w:tabs>
              <w:jc w:val="right"/>
              <w:rPr>
                <w:rFonts w:ascii="Arial" w:hAnsi="Arial" w:cs="Arial"/>
                <w:b/>
                <w:bCs/>
                <w:sz w:val="20"/>
                <w:szCs w:val="20"/>
              </w:rPr>
            </w:pPr>
            <w:r>
              <w:rPr>
                <w:rFonts w:ascii="Arial" w:hAnsi="Arial" w:cs="Arial"/>
                <w:b/>
                <w:bCs/>
                <w:sz w:val="20"/>
                <w:szCs w:val="20"/>
              </w:rPr>
              <w:t>2017</w:t>
            </w:r>
          </w:p>
        </w:tc>
        <w:tc>
          <w:tcPr>
            <w:tcW w:w="915" w:type="dxa"/>
            <w:tcBorders>
              <w:bottom w:val="single" w:sz="8" w:space="0" w:color="auto"/>
            </w:tcBorders>
            <w:shd w:val="clear" w:color="auto" w:fill="auto"/>
            <w:noWrap/>
            <w:hideMark/>
          </w:tcPr>
          <w:p w:rsidR="001C79EC" w:rsidRPr="00DE475B" w:rsidRDefault="00527919" w:rsidP="0016046C">
            <w:pPr>
              <w:tabs>
                <w:tab w:val="left" w:pos="504"/>
                <w:tab w:val="left" w:pos="5878"/>
              </w:tabs>
              <w:jc w:val="right"/>
              <w:rPr>
                <w:rFonts w:ascii="Arial" w:hAnsi="Arial" w:cs="Arial"/>
                <w:b/>
                <w:bCs/>
                <w:sz w:val="20"/>
                <w:szCs w:val="20"/>
              </w:rPr>
            </w:pPr>
            <w:r>
              <w:rPr>
                <w:rFonts w:ascii="Arial" w:hAnsi="Arial" w:cs="Arial"/>
                <w:b/>
                <w:bCs/>
                <w:sz w:val="20"/>
                <w:szCs w:val="20"/>
              </w:rPr>
              <w:t>2016</w:t>
            </w:r>
          </w:p>
        </w:tc>
      </w:tr>
      <w:tr w:rsidR="00527919" w:rsidRPr="00DE475B" w:rsidTr="00527919">
        <w:trPr>
          <w:trHeight w:val="765"/>
        </w:trPr>
        <w:tc>
          <w:tcPr>
            <w:tcW w:w="1438" w:type="dxa"/>
            <w:shd w:val="clear" w:color="auto" w:fill="auto"/>
            <w:hideMark/>
          </w:tcPr>
          <w:p w:rsidR="00527919" w:rsidRPr="00DE475B" w:rsidRDefault="00527919" w:rsidP="0016046C">
            <w:pPr>
              <w:tabs>
                <w:tab w:val="left" w:pos="504"/>
                <w:tab w:val="left" w:pos="5878"/>
              </w:tabs>
              <w:rPr>
                <w:rFonts w:ascii="Arial" w:hAnsi="Arial" w:cs="Arial"/>
                <w:sz w:val="20"/>
                <w:szCs w:val="20"/>
              </w:rPr>
            </w:pPr>
            <w:r w:rsidRPr="00DE475B">
              <w:rPr>
                <w:rFonts w:ascii="Arial" w:hAnsi="Arial" w:cs="Arial"/>
                <w:sz w:val="20"/>
                <w:szCs w:val="20"/>
              </w:rPr>
              <w:t>Queensland Library Foundation</w:t>
            </w:r>
          </w:p>
        </w:tc>
        <w:tc>
          <w:tcPr>
            <w:tcW w:w="914" w:type="dxa"/>
            <w:tcBorders>
              <w:top w:val="single" w:sz="8" w:space="0" w:color="auto"/>
              <w:bottom w:val="single" w:sz="8" w:space="0" w:color="auto"/>
            </w:tcBorders>
            <w:shd w:val="clear" w:color="auto" w:fill="auto"/>
            <w:vAlign w:val="center"/>
          </w:tcPr>
          <w:p w:rsidR="00527919" w:rsidRPr="00DE475B" w:rsidRDefault="00527919" w:rsidP="00527919">
            <w:pPr>
              <w:tabs>
                <w:tab w:val="left" w:pos="504"/>
                <w:tab w:val="left" w:pos="5878"/>
              </w:tabs>
              <w:spacing w:after="120"/>
              <w:jc w:val="right"/>
              <w:rPr>
                <w:rFonts w:ascii="Arial" w:hAnsi="Arial" w:cs="Arial"/>
                <w:sz w:val="20"/>
                <w:szCs w:val="20"/>
              </w:rPr>
            </w:pPr>
            <w:r>
              <w:rPr>
                <w:rFonts w:ascii="Arial" w:hAnsi="Arial" w:cs="Arial"/>
                <w:sz w:val="20"/>
                <w:szCs w:val="20"/>
              </w:rPr>
              <w:t>6,021</w:t>
            </w:r>
          </w:p>
        </w:tc>
        <w:tc>
          <w:tcPr>
            <w:tcW w:w="914" w:type="dxa"/>
            <w:tcBorders>
              <w:top w:val="single" w:sz="8" w:space="0" w:color="auto"/>
              <w:bottom w:val="single" w:sz="8" w:space="0" w:color="auto"/>
            </w:tcBorders>
            <w:shd w:val="clear" w:color="auto" w:fill="auto"/>
            <w:vAlign w:val="center"/>
          </w:tcPr>
          <w:p w:rsidR="00527919" w:rsidRPr="00DE475B" w:rsidRDefault="00527919" w:rsidP="00527919">
            <w:pPr>
              <w:tabs>
                <w:tab w:val="left" w:pos="504"/>
                <w:tab w:val="left" w:pos="5878"/>
              </w:tabs>
              <w:spacing w:after="120"/>
              <w:jc w:val="right"/>
              <w:rPr>
                <w:rFonts w:ascii="Arial" w:hAnsi="Arial" w:cs="Arial"/>
                <w:sz w:val="20"/>
                <w:szCs w:val="20"/>
              </w:rPr>
            </w:pPr>
            <w:r w:rsidRPr="00DE475B">
              <w:rPr>
                <w:rFonts w:ascii="Arial" w:hAnsi="Arial" w:cs="Arial"/>
                <w:sz w:val="20"/>
                <w:szCs w:val="20"/>
              </w:rPr>
              <w:t>5,728</w:t>
            </w:r>
          </w:p>
        </w:tc>
        <w:tc>
          <w:tcPr>
            <w:tcW w:w="914" w:type="dxa"/>
            <w:tcBorders>
              <w:top w:val="single" w:sz="8" w:space="0" w:color="auto"/>
              <w:bottom w:val="single" w:sz="8" w:space="0" w:color="auto"/>
            </w:tcBorders>
            <w:shd w:val="clear" w:color="auto" w:fill="auto"/>
            <w:vAlign w:val="center"/>
          </w:tcPr>
          <w:p w:rsidR="00527919" w:rsidRPr="00DE475B" w:rsidRDefault="00527919" w:rsidP="00527919">
            <w:pPr>
              <w:tabs>
                <w:tab w:val="left" w:pos="504"/>
                <w:tab w:val="left" w:pos="5878"/>
              </w:tabs>
              <w:spacing w:after="120"/>
              <w:jc w:val="right"/>
              <w:rPr>
                <w:rFonts w:ascii="Arial" w:hAnsi="Arial" w:cs="Arial"/>
                <w:sz w:val="20"/>
                <w:szCs w:val="20"/>
              </w:rPr>
            </w:pPr>
            <w:r>
              <w:rPr>
                <w:rFonts w:ascii="Arial" w:hAnsi="Arial" w:cs="Arial"/>
                <w:sz w:val="20"/>
                <w:szCs w:val="20"/>
              </w:rPr>
              <w:t>226</w:t>
            </w:r>
          </w:p>
        </w:tc>
        <w:tc>
          <w:tcPr>
            <w:tcW w:w="915" w:type="dxa"/>
            <w:tcBorders>
              <w:top w:val="single" w:sz="8" w:space="0" w:color="auto"/>
              <w:bottom w:val="single" w:sz="8" w:space="0" w:color="auto"/>
            </w:tcBorders>
            <w:shd w:val="clear" w:color="auto" w:fill="auto"/>
            <w:vAlign w:val="center"/>
          </w:tcPr>
          <w:p w:rsidR="00527919" w:rsidRPr="00DE475B" w:rsidRDefault="00527919" w:rsidP="00527919">
            <w:pPr>
              <w:tabs>
                <w:tab w:val="left" w:pos="504"/>
                <w:tab w:val="left" w:pos="5878"/>
              </w:tabs>
              <w:spacing w:after="120"/>
              <w:jc w:val="right"/>
              <w:rPr>
                <w:rFonts w:ascii="Arial" w:hAnsi="Arial" w:cs="Arial"/>
                <w:sz w:val="20"/>
                <w:szCs w:val="20"/>
              </w:rPr>
            </w:pPr>
            <w:r w:rsidRPr="00DE475B">
              <w:rPr>
                <w:rFonts w:ascii="Arial" w:hAnsi="Arial" w:cs="Arial"/>
                <w:sz w:val="20"/>
                <w:szCs w:val="20"/>
              </w:rPr>
              <w:t>124</w:t>
            </w:r>
          </w:p>
        </w:tc>
        <w:tc>
          <w:tcPr>
            <w:tcW w:w="915" w:type="dxa"/>
            <w:tcBorders>
              <w:top w:val="single" w:sz="8" w:space="0" w:color="auto"/>
              <w:bottom w:val="single" w:sz="8" w:space="0" w:color="auto"/>
            </w:tcBorders>
            <w:shd w:val="clear" w:color="auto" w:fill="auto"/>
            <w:vAlign w:val="center"/>
          </w:tcPr>
          <w:p w:rsidR="00527919" w:rsidRPr="00DE475B" w:rsidRDefault="00527919" w:rsidP="00527919">
            <w:pPr>
              <w:tabs>
                <w:tab w:val="left" w:pos="504"/>
                <w:tab w:val="left" w:pos="5878"/>
              </w:tabs>
              <w:spacing w:after="120"/>
              <w:jc w:val="right"/>
              <w:rPr>
                <w:rFonts w:ascii="Arial" w:hAnsi="Arial" w:cs="Arial"/>
                <w:sz w:val="20"/>
                <w:szCs w:val="20"/>
              </w:rPr>
            </w:pPr>
            <w:r>
              <w:rPr>
                <w:rFonts w:ascii="Arial" w:hAnsi="Arial" w:cs="Arial"/>
                <w:sz w:val="20"/>
                <w:szCs w:val="20"/>
              </w:rPr>
              <w:t>1,273</w:t>
            </w:r>
          </w:p>
        </w:tc>
        <w:tc>
          <w:tcPr>
            <w:tcW w:w="915" w:type="dxa"/>
            <w:tcBorders>
              <w:top w:val="single" w:sz="8" w:space="0" w:color="auto"/>
              <w:bottom w:val="single" w:sz="8" w:space="0" w:color="auto"/>
            </w:tcBorders>
            <w:shd w:val="clear" w:color="auto" w:fill="auto"/>
            <w:vAlign w:val="center"/>
          </w:tcPr>
          <w:p w:rsidR="00527919" w:rsidRPr="00DE475B" w:rsidRDefault="00527919" w:rsidP="00527919">
            <w:pPr>
              <w:tabs>
                <w:tab w:val="left" w:pos="504"/>
                <w:tab w:val="left" w:pos="5878"/>
              </w:tabs>
              <w:spacing w:after="120"/>
              <w:jc w:val="right"/>
              <w:rPr>
                <w:rFonts w:ascii="Arial" w:hAnsi="Arial" w:cs="Arial"/>
                <w:sz w:val="20"/>
                <w:szCs w:val="20"/>
              </w:rPr>
            </w:pPr>
            <w:r w:rsidRPr="00DE475B">
              <w:rPr>
                <w:rFonts w:ascii="Arial" w:hAnsi="Arial" w:cs="Arial"/>
                <w:sz w:val="20"/>
                <w:szCs w:val="20"/>
              </w:rPr>
              <w:t>1,261</w:t>
            </w:r>
          </w:p>
        </w:tc>
        <w:tc>
          <w:tcPr>
            <w:tcW w:w="915" w:type="dxa"/>
            <w:tcBorders>
              <w:top w:val="single" w:sz="8" w:space="0" w:color="auto"/>
              <w:bottom w:val="single" w:sz="8" w:space="0" w:color="auto"/>
            </w:tcBorders>
            <w:shd w:val="clear" w:color="auto" w:fill="auto"/>
            <w:vAlign w:val="center"/>
          </w:tcPr>
          <w:p w:rsidR="00527919" w:rsidRPr="00DE475B" w:rsidRDefault="00527919" w:rsidP="00527919">
            <w:pPr>
              <w:tabs>
                <w:tab w:val="left" w:pos="504"/>
                <w:tab w:val="left" w:pos="5878"/>
              </w:tabs>
              <w:spacing w:after="120"/>
              <w:jc w:val="right"/>
              <w:rPr>
                <w:rFonts w:ascii="Arial" w:hAnsi="Arial" w:cs="Arial"/>
                <w:sz w:val="20"/>
                <w:szCs w:val="20"/>
              </w:rPr>
            </w:pPr>
            <w:r>
              <w:rPr>
                <w:rFonts w:ascii="Arial" w:hAnsi="Arial" w:cs="Arial"/>
                <w:sz w:val="20"/>
                <w:szCs w:val="20"/>
              </w:rPr>
              <w:t>191</w:t>
            </w:r>
          </w:p>
        </w:tc>
        <w:tc>
          <w:tcPr>
            <w:tcW w:w="915" w:type="dxa"/>
            <w:tcBorders>
              <w:top w:val="single" w:sz="8" w:space="0" w:color="auto"/>
              <w:bottom w:val="single" w:sz="8" w:space="0" w:color="auto"/>
            </w:tcBorders>
            <w:shd w:val="clear" w:color="auto" w:fill="auto"/>
            <w:vAlign w:val="center"/>
            <w:hideMark/>
          </w:tcPr>
          <w:p w:rsidR="00527919" w:rsidRPr="00DE475B" w:rsidRDefault="00527919" w:rsidP="00527919">
            <w:pPr>
              <w:tabs>
                <w:tab w:val="left" w:pos="504"/>
                <w:tab w:val="left" w:pos="5878"/>
              </w:tabs>
              <w:spacing w:after="120"/>
              <w:jc w:val="right"/>
              <w:rPr>
                <w:rFonts w:ascii="Arial" w:hAnsi="Arial" w:cs="Arial"/>
                <w:sz w:val="20"/>
                <w:szCs w:val="20"/>
              </w:rPr>
            </w:pPr>
            <w:r w:rsidRPr="00DE475B">
              <w:rPr>
                <w:rFonts w:ascii="Arial" w:hAnsi="Arial" w:cs="Arial"/>
                <w:sz w:val="20"/>
                <w:szCs w:val="20"/>
              </w:rPr>
              <w:t>188</w:t>
            </w:r>
          </w:p>
        </w:tc>
      </w:tr>
    </w:tbl>
    <w:p w:rsidR="00FA340E" w:rsidRPr="00DE475B" w:rsidRDefault="00FA340E" w:rsidP="00FA340E">
      <w:pPr>
        <w:pStyle w:val="ARbodytext"/>
        <w:rPr>
          <w:b/>
          <w:bCs/>
        </w:rPr>
      </w:pPr>
      <w:r w:rsidRPr="00DE475B">
        <w:rPr>
          <w:b/>
          <w:bCs/>
          <w:i/>
          <w:iCs/>
        </w:rPr>
        <w:lastRenderedPageBreak/>
        <w:t>Library Board of Queensland and controlled entities</w:t>
      </w:r>
    </w:p>
    <w:p w:rsidR="00FA340E" w:rsidRPr="00DE475B" w:rsidRDefault="00FA340E" w:rsidP="00FA340E">
      <w:pPr>
        <w:rPr>
          <w:rFonts w:ascii="Arial" w:hAnsi="Arial" w:cs="Arial"/>
          <w:b/>
          <w:bCs/>
          <w:sz w:val="20"/>
          <w:szCs w:val="20"/>
        </w:rPr>
      </w:pPr>
      <w:r w:rsidRPr="00DE475B">
        <w:rPr>
          <w:noProof/>
          <w:lang w:eastAsia="en-AU"/>
        </w:rPr>
        <mc:AlternateContent>
          <mc:Choice Requires="wps">
            <w:drawing>
              <wp:anchor distT="0" distB="0" distL="114300" distR="114300" simplePos="0" relativeHeight="251722752" behindDoc="0" locked="0" layoutInCell="1" allowOverlap="1" wp14:anchorId="37846EBA" wp14:editId="6E98B76D">
                <wp:simplePos x="0" y="0"/>
                <wp:positionH relativeFrom="column">
                  <wp:posOffset>-66040</wp:posOffset>
                </wp:positionH>
                <wp:positionV relativeFrom="paragraph">
                  <wp:posOffset>-222250</wp:posOffset>
                </wp:positionV>
                <wp:extent cx="5573395" cy="0"/>
                <wp:effectExtent l="13970" t="12700" r="13335" b="6350"/>
                <wp:wrapNone/>
                <wp:docPr id="28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YvnAIAAHsFAAAOAAAAZHJzL2Uyb0RvYy54bWysVFFvmzAQfp+0/2D5nQIBEoJKppaQvXRb&#10;pXbas2ObYA1sZrsh1bT/vrOTsKZ7maYmEvLZd+fv7vvO1x8OfYf2XBuhZInjqwgjLqliQu5K/PVx&#10;E+QYGUskI52SvMTP3OAPq/fvrseh4DPVqo5xjSCJNMU4lLi1dijC0NCW98RcqYFLOGyU7okFU+9C&#10;pskI2fsunEXRPByVZoNWlBsDu+vjIV75/E3Dqf3SNIZb1JUYsFn/1f67dd9wdU2KnSZDK+gJBvkP&#10;FD0REi6dUq2JJehJi79S9YJqZVRjr6jqQ9U0gnJfA1QTR6+qeWjJwH0t0BwzTG0yb5eWft7fayRY&#10;iWc5UCVJDyTdCclRnC1dd8bBFOBUyXvt6qMH+TDcKfrdIKmqlsgd9ygfnwcIjF1EeBHiDDPAHdvx&#10;k2LgQ56s8q06NLp3KaEJ6OAZeZ4Y4QeLKGxm2SJJlhlG9HwWkuIcOGhjP3LVI7cocQeofWKyvzPW&#10;ASHF2cXdI9VGdJ0nvJNoLPEymYMkKAHZmR8+0qhOMOfl/I3ebatOoz1x2vE/Xx6cvHTrhQUFd6Iv&#10;cT45kaLlhNWS+essEd1xDZA66ZJzr80jTrAOFpZ+Hwr3uvm5jJZ1XudpkM7mdZBG63Vws6nSYL6J&#10;F9k6WVfVOv7lUMdp0QrGuHTAzxqO03/TyGmajuqbVDy1KrzM7nsKYC+R3myyaJEmebBYZEmQJnUU&#10;3OabKrip4vl8Ud9Wt/UrpLWv3rwN2KmVDpV6AjYeWjYiJpwokmw5izEYMPOzxZEfRLodPFbUaoy0&#10;st+Ebb2Gnfpcjgvi88j9T8RP2Y+NOHPorImFU21/WgWcn/n1o+Gm4ThXW8We7/V5ZGDCfdDpNXJP&#10;yEsb1i/fzNVvAAAA//8DAFBLAwQUAAYACAAAACEA3tirZ+AAAAALAQAADwAAAGRycy9kb3ducmV2&#10;LnhtbEyPQUvDQBCF74L/YRnBi7SbmlhLzKaIIB4Eaaso3rbZMRvMzobdbRP/vSMIepuZ93jzvWo9&#10;uV4cMcTOk4LFPAOB1HjTUavg5fl+tgIRkyaje0+o4AsjrOvTk0qXxo+0xeMutYJDKJZagU1pKKWM&#10;jUWn49wPSKx9+OB04jW00gQ9crjr5WWWLaXTHfEHqwe8s9h87g5OwVMYu5jyothgen99eHyzmwu3&#10;Ver8bLq9AZFwSn9m+MFndKiZae8PZKLoFcwWWcFWHvIrLsWO1fI6B7H/vci6kv871N8AAAD//wMA&#10;UEsBAi0AFAAGAAgAAAAhALaDOJL+AAAA4QEAABMAAAAAAAAAAAAAAAAAAAAAAFtDb250ZW50X1R5&#10;cGVzXS54bWxQSwECLQAUAAYACAAAACEAOP0h/9YAAACUAQAACwAAAAAAAAAAAAAAAAAvAQAAX3Jl&#10;bHMvLnJlbHNQSwECLQAUAAYACAAAACEAx2NmL5wCAAB7BQAADgAAAAAAAAAAAAAAAAAuAgAAZHJz&#10;L2Uyb0RvYy54bWxQSwECLQAUAAYACAAAACEA3tirZ+AAAAALAQAADwAAAAAAAAAAAAAAAAD2BAAA&#10;ZHJzL2Rvd25yZXYueG1sUEsFBgAAAAAEAAQA8wAAAAMGAAAAAA==&#10;" strokeweight=".26mm">
                <v:stroke joinstyle="miter" endcap="square"/>
              </v:line>
            </w:pict>
          </mc:Fallback>
        </mc:AlternateContent>
      </w:r>
      <w:r w:rsidRPr="00DE475B">
        <w:rPr>
          <w:rFonts w:ascii="Arial" w:hAnsi="Arial" w:cs="Arial"/>
          <w:b/>
          <w:bCs/>
          <w:sz w:val="20"/>
          <w:szCs w:val="20"/>
        </w:rPr>
        <w:t>NOTES TO THE FINANCIAL STATEMENTS</w:t>
      </w:r>
    </w:p>
    <w:p w:rsidR="00FA340E" w:rsidRPr="00DE475B" w:rsidRDefault="00FA340E" w:rsidP="00FA340E">
      <w:r>
        <w:rPr>
          <w:rFonts w:ascii="Arial" w:hAnsi="Arial" w:cs="Arial"/>
          <w:b/>
          <w:bCs/>
          <w:sz w:val="20"/>
          <w:szCs w:val="20"/>
        </w:rPr>
        <w:t>For the year ended 30 June 2017</w:t>
      </w:r>
    </w:p>
    <w:p w:rsidR="00FA340E" w:rsidRPr="00DE475B" w:rsidRDefault="00FA340E" w:rsidP="00FA340E">
      <w:pPr>
        <w:pStyle w:val="ARbodytext"/>
        <w:rPr>
          <w:rFonts w:eastAsia="Times New Roman"/>
          <w:b/>
          <w:bCs/>
          <w:lang w:eastAsia="en-US"/>
        </w:rPr>
      </w:pPr>
      <w:r w:rsidRPr="00DE475B">
        <w:rPr>
          <w:b/>
          <w:bCs/>
          <w:noProof/>
          <w:lang w:eastAsia="en-AU"/>
        </w:rPr>
        <mc:AlternateContent>
          <mc:Choice Requires="wps">
            <w:drawing>
              <wp:anchor distT="0" distB="0" distL="114300" distR="114300" simplePos="0" relativeHeight="251723776" behindDoc="0" locked="0" layoutInCell="1" allowOverlap="1" wp14:anchorId="73C1B2FA" wp14:editId="68FC0DB0">
                <wp:simplePos x="0" y="0"/>
                <wp:positionH relativeFrom="column">
                  <wp:posOffset>-50800</wp:posOffset>
                </wp:positionH>
                <wp:positionV relativeFrom="paragraph">
                  <wp:posOffset>47625</wp:posOffset>
                </wp:positionV>
                <wp:extent cx="5573395" cy="0"/>
                <wp:effectExtent l="10160" t="12700" r="7620" b="6350"/>
                <wp:wrapNone/>
                <wp:docPr id="28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75pt" to="434.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87nQIAAHsFAAAOAAAAZHJzL2Uyb0RvYy54bWysVF1vmzAUfZ+0/2D5nQKBJASVVC0he+m2&#10;Su20Z8c2wRrYzHZDoqn/fddOwpruZZqaSMgf18fn3nOur2/2XYt2XBuhZIHjqwgjLqliQm4L/O1p&#10;HWQYGUskI62SvMAHbvDN8uOH66HP+UQ1qmVcIwCRJh/6AjfW9nkYGtrwjpgr1XMJm7XSHbEw1duQ&#10;aTIAeteGkyiahYPSrNeKcmNgdXXcxEuPX9ec2q91bbhFbYGBm/Vf7b8b9w2X1yTfatI3gp5okP9g&#10;0REh4dIRakUsQc9a/AXVCaqVUbW9oqoLVV0Lyn0OkE0cvcnmsSE997lAcUw/lsm8Hyz9snvQSLAC&#10;T7IFRpJ0INK9kBzFM1+doTc5BJXyQbv86F4+9veK/jBIqrIhcss9y6dDDwdjV8/w4oibmB7u2Ayf&#10;FYMY8myVL9W+1p2DhCKgvVfkMCrC9xZRWJxO50mymGJEz3shyc8He23sJ6465AYFboG1Bya7e2Md&#10;EZKfQ9w9Uq1F23rBW4mGAi8SSBFRArYzP/1Jo1rBXJSLN3q7KVuNdsR5x/98erDzOqwTFhzciq7A&#10;2RhE8oYTVknmr7NEtMcxUGqlA+fem0eeMNtbGPp1SNz75tciWlRZlaVBOplVQRqtVsHtukyD2Tqe&#10;T1fJqixX8YtjHad5Ixjj0hE/ezhO/80jp246um908Viq8BLd1xTIXjK9XU+jeZpkwXw+TYI0qaLg&#10;LluXwW0Zz2bz6q68q94wrXz25n3IjqV0rNQzqPHYsAEx4UyRTBeTGMMEen4yP+qDSLuFx4pajZFW&#10;9ruwjfewc5/DuBA+i9z/JPyIfizEWUM3G1U45fanVKD5WV/fGq4b3Ptk8o1ihwd9bhnocH/o9Bq5&#10;J+T1HMav38zlbwAAAP//AwBQSwMEFAAGAAgAAAAhAOR7HMfdAAAABgEAAA8AAABkcnMvZG93bnJl&#10;di54bWxMj0FLw0AUhO+C/2F5ghdpN2ptY8ymiCAeBGlrqXjbZp/ZYPZt2H1t4r939aLHYYaZb8rl&#10;6DpxxBBbTwoupxkIpNqblhoF29fHSQ4isiajO0+o4AsjLKvTk1IXxg+0xuOGG5FKKBZagWXuCylj&#10;bdHpOPU9UvI+fHCakwyNNEEPqdx18irL5tLpltKC1T0+WKw/Nwen4CUMbeTr2WyF/L57en6zqwu3&#10;Vur8bLy/A8E48l8YfvATOlSJae8PZKLoFEzydIUVLG5AJDuf3y5A7H+1rEr5H7/6BgAA//8DAFBL&#10;AQItABQABgAIAAAAIQC2gziS/gAAAOEBAAATAAAAAAAAAAAAAAAAAAAAAABbQ29udGVudF9UeXBl&#10;c10ueG1sUEsBAi0AFAAGAAgAAAAhADj9If/WAAAAlAEAAAsAAAAAAAAAAAAAAAAALwEAAF9yZWxz&#10;Ly5yZWxzUEsBAi0AFAAGAAgAAAAhAJvarzudAgAAewUAAA4AAAAAAAAAAAAAAAAALgIAAGRycy9l&#10;Mm9Eb2MueG1sUEsBAi0AFAAGAAgAAAAhAOR7HMfdAAAABgEAAA8AAAAAAAAAAAAAAAAA9wQAAGRy&#10;cy9kb3ducmV2LnhtbFBLBQYAAAAABAAEAPMAAAABBgAAAAA=&#10;" strokeweight=".26mm">
                <v:stroke joinstyle="miter" endcap="square"/>
              </v:line>
            </w:pict>
          </mc:Fallback>
        </mc:AlternateContent>
      </w:r>
    </w:p>
    <w:p w:rsidR="001F40DC" w:rsidRPr="00DE475B" w:rsidRDefault="001F40DC" w:rsidP="001F40DC">
      <w:pPr>
        <w:pStyle w:val="ARheading3"/>
        <w:tabs>
          <w:tab w:val="left" w:pos="851"/>
        </w:tabs>
        <w:spacing w:after="120"/>
        <w:rPr>
          <w:color w:val="808080"/>
        </w:rPr>
        <w:sectPr w:rsidR="001F40DC" w:rsidRPr="00DE475B" w:rsidSect="00B53922">
          <w:headerReference w:type="even" r:id="rId51"/>
          <w:headerReference w:type="default" r:id="rId52"/>
          <w:footerReference w:type="even" r:id="rId53"/>
          <w:footerReference w:type="default" r:id="rId54"/>
          <w:headerReference w:type="first" r:id="rId55"/>
          <w:footerReference w:type="first" r:id="rId56"/>
          <w:type w:val="continuous"/>
          <w:pgSz w:w="11906" w:h="16838"/>
          <w:pgMar w:top="1440" w:right="1701" w:bottom="1440" w:left="1701" w:header="680" w:footer="680" w:gutter="0"/>
          <w:cols w:space="720"/>
          <w:docGrid w:linePitch="360"/>
        </w:sectPr>
      </w:pPr>
      <w:r w:rsidRPr="00DE475B">
        <w:rPr>
          <w:color w:val="808080"/>
        </w:rPr>
        <w:t>B1 Revenue</w:t>
      </w:r>
    </w:p>
    <w:p w:rsidR="001F40DC" w:rsidRPr="00DE475B" w:rsidRDefault="001F40DC" w:rsidP="002C04F6">
      <w:pPr>
        <w:tabs>
          <w:tab w:val="left" w:pos="284"/>
          <w:tab w:val="left" w:pos="5878"/>
          <w:tab w:val="left" w:pos="8548"/>
          <w:tab w:val="left" w:pos="8770"/>
          <w:tab w:val="left" w:pos="10266"/>
          <w:tab w:val="left" w:pos="11702"/>
        </w:tabs>
        <w:spacing w:after="120"/>
        <w:rPr>
          <w:rFonts w:ascii="Arial" w:hAnsi="Arial" w:cs="Arial"/>
          <w:sz w:val="20"/>
          <w:szCs w:val="20"/>
        </w:rPr>
      </w:pPr>
      <w:r w:rsidRPr="00DE475B">
        <w:rPr>
          <w:rFonts w:ascii="Arial" w:hAnsi="Arial" w:cs="Arial"/>
          <w:b/>
          <w:bCs/>
          <w:sz w:val="20"/>
          <w:szCs w:val="20"/>
        </w:rPr>
        <w:lastRenderedPageBreak/>
        <w:t>B1-1 User Charges</w:t>
      </w:r>
    </w:p>
    <w:tbl>
      <w:tblPr>
        <w:tblW w:w="8647" w:type="dxa"/>
        <w:tblInd w:w="108" w:type="dxa"/>
        <w:tblLayout w:type="fixed"/>
        <w:tblLook w:val="0000" w:firstRow="0" w:lastRow="0" w:firstColumn="0" w:lastColumn="0" w:noHBand="0" w:noVBand="0"/>
      </w:tblPr>
      <w:tblGrid>
        <w:gridCol w:w="470"/>
        <w:gridCol w:w="1084"/>
        <w:gridCol w:w="954"/>
        <w:gridCol w:w="1478"/>
        <w:gridCol w:w="885"/>
        <w:gridCol w:w="944"/>
        <w:gridCol w:w="944"/>
        <w:gridCol w:w="944"/>
        <w:gridCol w:w="944"/>
      </w:tblGrid>
      <w:tr w:rsidR="001F40DC" w:rsidRPr="00DE475B" w:rsidTr="00C04E06">
        <w:trPr>
          <w:trHeight w:val="284"/>
        </w:trPr>
        <w:tc>
          <w:tcPr>
            <w:tcW w:w="470" w:type="dxa"/>
            <w:shd w:val="clear" w:color="auto" w:fill="auto"/>
            <w:vAlign w:val="bottom"/>
          </w:tcPr>
          <w:p w:rsidR="001F40DC" w:rsidRPr="00DE475B" w:rsidRDefault="001F40DC" w:rsidP="005554A8">
            <w:pPr>
              <w:snapToGrid w:val="0"/>
              <w:rPr>
                <w:rFonts w:ascii="Arial" w:hAnsi="Arial" w:cs="Arial"/>
                <w:b/>
                <w:bCs/>
                <w:sz w:val="20"/>
                <w:szCs w:val="20"/>
              </w:rPr>
            </w:pPr>
          </w:p>
        </w:tc>
        <w:tc>
          <w:tcPr>
            <w:tcW w:w="1084" w:type="dxa"/>
            <w:shd w:val="clear" w:color="auto" w:fill="auto"/>
            <w:vAlign w:val="bottom"/>
          </w:tcPr>
          <w:p w:rsidR="001F40DC" w:rsidRPr="00DE475B" w:rsidRDefault="001F40DC" w:rsidP="005554A8">
            <w:pPr>
              <w:snapToGrid w:val="0"/>
              <w:rPr>
                <w:rFonts w:ascii="Arial" w:hAnsi="Arial" w:cs="Arial"/>
                <w:b/>
                <w:bCs/>
                <w:sz w:val="20"/>
                <w:szCs w:val="20"/>
              </w:rPr>
            </w:pPr>
          </w:p>
        </w:tc>
        <w:tc>
          <w:tcPr>
            <w:tcW w:w="954" w:type="dxa"/>
            <w:shd w:val="clear" w:color="auto" w:fill="auto"/>
            <w:vAlign w:val="bottom"/>
          </w:tcPr>
          <w:p w:rsidR="001F40DC" w:rsidRPr="00DE475B" w:rsidRDefault="001F40DC" w:rsidP="005554A8">
            <w:pPr>
              <w:snapToGrid w:val="0"/>
              <w:rPr>
                <w:rFonts w:ascii="Arial" w:hAnsi="Arial" w:cs="Arial"/>
                <w:b/>
                <w:bCs/>
                <w:sz w:val="20"/>
                <w:szCs w:val="20"/>
              </w:rPr>
            </w:pPr>
          </w:p>
        </w:tc>
        <w:tc>
          <w:tcPr>
            <w:tcW w:w="1478" w:type="dxa"/>
            <w:shd w:val="clear" w:color="auto" w:fill="auto"/>
            <w:vAlign w:val="bottom"/>
          </w:tcPr>
          <w:p w:rsidR="001F40DC" w:rsidRPr="00DE475B" w:rsidRDefault="001F40DC" w:rsidP="005554A8">
            <w:pPr>
              <w:snapToGrid w:val="0"/>
              <w:rPr>
                <w:rFonts w:ascii="Arial" w:hAnsi="Arial" w:cs="Arial"/>
                <w:b/>
                <w:bCs/>
                <w:sz w:val="20"/>
                <w:szCs w:val="20"/>
              </w:rPr>
            </w:pPr>
          </w:p>
        </w:tc>
        <w:tc>
          <w:tcPr>
            <w:tcW w:w="885" w:type="dxa"/>
            <w:shd w:val="clear" w:color="auto" w:fill="auto"/>
            <w:vAlign w:val="bottom"/>
          </w:tcPr>
          <w:p w:rsidR="001F40DC" w:rsidRPr="00DE475B" w:rsidRDefault="001F40DC" w:rsidP="005554A8">
            <w:pPr>
              <w:snapToGrid w:val="0"/>
              <w:rPr>
                <w:rFonts w:ascii="Arial" w:hAnsi="Arial" w:cs="Arial"/>
                <w:b/>
                <w:bCs/>
                <w:sz w:val="20"/>
                <w:szCs w:val="20"/>
              </w:rPr>
            </w:pPr>
          </w:p>
        </w:tc>
        <w:tc>
          <w:tcPr>
            <w:tcW w:w="1888" w:type="dxa"/>
            <w:gridSpan w:val="2"/>
            <w:shd w:val="clear" w:color="auto" w:fill="auto"/>
            <w:vAlign w:val="bottom"/>
          </w:tcPr>
          <w:p w:rsidR="001F40DC" w:rsidRPr="00DE475B" w:rsidRDefault="001F40DC" w:rsidP="00DC3CBC">
            <w:pPr>
              <w:jc w:val="center"/>
              <w:rPr>
                <w:rFonts w:ascii="Arial" w:hAnsi="Arial" w:cs="Arial"/>
                <w:b/>
                <w:bCs/>
                <w:sz w:val="20"/>
                <w:szCs w:val="20"/>
              </w:rPr>
            </w:pPr>
            <w:r w:rsidRPr="00DE475B">
              <w:rPr>
                <w:rFonts w:ascii="Arial" w:hAnsi="Arial" w:cs="Arial"/>
                <w:b/>
                <w:bCs/>
                <w:sz w:val="20"/>
                <w:szCs w:val="20"/>
              </w:rPr>
              <w:t>Economic Entity</w:t>
            </w:r>
          </w:p>
        </w:tc>
        <w:tc>
          <w:tcPr>
            <w:tcW w:w="1888" w:type="dxa"/>
            <w:gridSpan w:val="2"/>
            <w:shd w:val="clear" w:color="auto" w:fill="auto"/>
            <w:vAlign w:val="bottom"/>
          </w:tcPr>
          <w:p w:rsidR="001F40DC" w:rsidRPr="00DE475B" w:rsidRDefault="001F40DC" w:rsidP="00DC3CBC">
            <w:pPr>
              <w:jc w:val="center"/>
              <w:rPr>
                <w:rFonts w:ascii="Arial" w:hAnsi="Arial" w:cs="Arial"/>
                <w:b/>
                <w:bCs/>
                <w:sz w:val="20"/>
                <w:szCs w:val="20"/>
              </w:rPr>
            </w:pPr>
            <w:r w:rsidRPr="00DE475B">
              <w:rPr>
                <w:rFonts w:ascii="Arial" w:hAnsi="Arial" w:cs="Arial"/>
                <w:b/>
                <w:bCs/>
                <w:sz w:val="20"/>
                <w:szCs w:val="20"/>
              </w:rPr>
              <w:t>Parent Entity</w:t>
            </w:r>
          </w:p>
        </w:tc>
      </w:tr>
      <w:tr w:rsidR="001F40DC" w:rsidRPr="00DE475B" w:rsidTr="00C04E06">
        <w:trPr>
          <w:trHeight w:val="284"/>
        </w:trPr>
        <w:tc>
          <w:tcPr>
            <w:tcW w:w="470" w:type="dxa"/>
            <w:shd w:val="clear" w:color="auto" w:fill="auto"/>
            <w:vAlign w:val="bottom"/>
          </w:tcPr>
          <w:p w:rsidR="001F40DC" w:rsidRPr="00DE475B" w:rsidRDefault="001F40DC" w:rsidP="005554A8">
            <w:pPr>
              <w:snapToGrid w:val="0"/>
              <w:jc w:val="right"/>
              <w:rPr>
                <w:rFonts w:ascii="Arial" w:hAnsi="Arial" w:cs="Arial"/>
                <w:b/>
                <w:bCs/>
                <w:sz w:val="20"/>
                <w:szCs w:val="20"/>
              </w:rPr>
            </w:pPr>
          </w:p>
        </w:tc>
        <w:tc>
          <w:tcPr>
            <w:tcW w:w="1084" w:type="dxa"/>
            <w:shd w:val="clear" w:color="auto" w:fill="auto"/>
            <w:vAlign w:val="bottom"/>
          </w:tcPr>
          <w:p w:rsidR="001F40DC" w:rsidRPr="00DE475B" w:rsidRDefault="001F40DC" w:rsidP="005554A8">
            <w:pPr>
              <w:snapToGrid w:val="0"/>
              <w:jc w:val="right"/>
              <w:rPr>
                <w:rFonts w:ascii="Arial" w:hAnsi="Arial" w:cs="Arial"/>
                <w:b/>
                <w:bCs/>
                <w:sz w:val="20"/>
                <w:szCs w:val="20"/>
              </w:rPr>
            </w:pPr>
          </w:p>
        </w:tc>
        <w:tc>
          <w:tcPr>
            <w:tcW w:w="954" w:type="dxa"/>
            <w:shd w:val="clear" w:color="auto" w:fill="auto"/>
            <w:vAlign w:val="bottom"/>
          </w:tcPr>
          <w:p w:rsidR="001F40DC" w:rsidRPr="00DE475B" w:rsidRDefault="001F40DC" w:rsidP="005554A8">
            <w:pPr>
              <w:snapToGrid w:val="0"/>
              <w:jc w:val="right"/>
              <w:rPr>
                <w:rFonts w:ascii="Arial" w:hAnsi="Arial" w:cs="Arial"/>
                <w:b/>
                <w:bCs/>
                <w:sz w:val="20"/>
                <w:szCs w:val="20"/>
              </w:rPr>
            </w:pPr>
          </w:p>
        </w:tc>
        <w:tc>
          <w:tcPr>
            <w:tcW w:w="1478" w:type="dxa"/>
            <w:shd w:val="clear" w:color="auto" w:fill="auto"/>
            <w:vAlign w:val="bottom"/>
          </w:tcPr>
          <w:p w:rsidR="001F40DC" w:rsidRPr="00DE475B" w:rsidRDefault="001F40DC" w:rsidP="005554A8">
            <w:pPr>
              <w:snapToGrid w:val="0"/>
              <w:jc w:val="right"/>
              <w:rPr>
                <w:rFonts w:ascii="Arial" w:hAnsi="Arial" w:cs="Arial"/>
                <w:b/>
                <w:bCs/>
                <w:sz w:val="20"/>
                <w:szCs w:val="20"/>
              </w:rPr>
            </w:pPr>
          </w:p>
        </w:tc>
        <w:tc>
          <w:tcPr>
            <w:tcW w:w="885" w:type="dxa"/>
            <w:shd w:val="clear" w:color="auto" w:fill="auto"/>
            <w:vAlign w:val="bottom"/>
          </w:tcPr>
          <w:p w:rsidR="001F40DC" w:rsidRPr="00DE475B" w:rsidRDefault="001F40DC" w:rsidP="005554A8">
            <w:pPr>
              <w:snapToGrid w:val="0"/>
              <w:jc w:val="right"/>
              <w:rPr>
                <w:rFonts w:ascii="Arial" w:hAnsi="Arial" w:cs="Arial"/>
                <w:b/>
                <w:bCs/>
                <w:sz w:val="20"/>
                <w:szCs w:val="20"/>
              </w:rPr>
            </w:pPr>
          </w:p>
        </w:tc>
        <w:tc>
          <w:tcPr>
            <w:tcW w:w="944" w:type="dxa"/>
            <w:shd w:val="clear" w:color="auto" w:fill="auto"/>
            <w:vAlign w:val="bottom"/>
          </w:tcPr>
          <w:p w:rsidR="001F40DC" w:rsidRPr="00DE475B" w:rsidRDefault="00FA340E" w:rsidP="005554A8">
            <w:pPr>
              <w:jc w:val="right"/>
              <w:rPr>
                <w:rFonts w:ascii="Arial" w:hAnsi="Arial" w:cs="Arial"/>
                <w:b/>
                <w:bCs/>
                <w:sz w:val="20"/>
                <w:szCs w:val="20"/>
              </w:rPr>
            </w:pPr>
            <w:r>
              <w:rPr>
                <w:rFonts w:ascii="Arial" w:hAnsi="Arial" w:cs="Arial"/>
                <w:b/>
                <w:bCs/>
                <w:sz w:val="20"/>
                <w:szCs w:val="20"/>
              </w:rPr>
              <w:t>2017</w:t>
            </w:r>
          </w:p>
        </w:tc>
        <w:tc>
          <w:tcPr>
            <w:tcW w:w="944" w:type="dxa"/>
            <w:shd w:val="clear" w:color="auto" w:fill="auto"/>
            <w:vAlign w:val="bottom"/>
          </w:tcPr>
          <w:p w:rsidR="001F40DC" w:rsidRPr="00DE475B" w:rsidRDefault="001F40DC" w:rsidP="00FA340E">
            <w:pPr>
              <w:jc w:val="right"/>
              <w:rPr>
                <w:rFonts w:ascii="Arial" w:hAnsi="Arial" w:cs="Arial"/>
                <w:b/>
                <w:bCs/>
                <w:sz w:val="20"/>
                <w:szCs w:val="20"/>
              </w:rPr>
            </w:pPr>
            <w:r w:rsidRPr="00DE475B">
              <w:rPr>
                <w:rFonts w:ascii="Arial" w:hAnsi="Arial" w:cs="Arial"/>
                <w:b/>
                <w:bCs/>
                <w:sz w:val="20"/>
                <w:szCs w:val="20"/>
              </w:rPr>
              <w:t>201</w:t>
            </w:r>
            <w:r w:rsidR="00FA340E">
              <w:rPr>
                <w:rFonts w:ascii="Arial" w:hAnsi="Arial" w:cs="Arial"/>
                <w:b/>
                <w:bCs/>
                <w:sz w:val="20"/>
                <w:szCs w:val="20"/>
              </w:rPr>
              <w:t>6</w:t>
            </w:r>
          </w:p>
        </w:tc>
        <w:tc>
          <w:tcPr>
            <w:tcW w:w="944" w:type="dxa"/>
            <w:shd w:val="clear" w:color="auto" w:fill="auto"/>
            <w:vAlign w:val="bottom"/>
          </w:tcPr>
          <w:p w:rsidR="001F40DC" w:rsidRPr="00DE475B" w:rsidRDefault="001F40DC" w:rsidP="00FA340E">
            <w:pPr>
              <w:jc w:val="right"/>
              <w:rPr>
                <w:rFonts w:ascii="Arial" w:hAnsi="Arial" w:cs="Arial"/>
                <w:b/>
                <w:bCs/>
                <w:sz w:val="20"/>
                <w:szCs w:val="20"/>
              </w:rPr>
            </w:pPr>
            <w:r w:rsidRPr="00DE475B">
              <w:rPr>
                <w:rFonts w:ascii="Arial" w:hAnsi="Arial" w:cs="Arial"/>
                <w:b/>
                <w:bCs/>
                <w:sz w:val="20"/>
                <w:szCs w:val="20"/>
              </w:rPr>
              <w:t>201</w:t>
            </w:r>
            <w:r w:rsidR="00FA340E">
              <w:rPr>
                <w:rFonts w:ascii="Arial" w:hAnsi="Arial" w:cs="Arial"/>
                <w:b/>
                <w:bCs/>
                <w:sz w:val="20"/>
                <w:szCs w:val="20"/>
              </w:rPr>
              <w:t>7</w:t>
            </w:r>
          </w:p>
        </w:tc>
        <w:tc>
          <w:tcPr>
            <w:tcW w:w="944" w:type="dxa"/>
            <w:shd w:val="clear" w:color="auto" w:fill="auto"/>
            <w:vAlign w:val="bottom"/>
          </w:tcPr>
          <w:p w:rsidR="001F40DC" w:rsidRPr="00DE475B" w:rsidRDefault="001F40DC" w:rsidP="00FA340E">
            <w:pPr>
              <w:jc w:val="right"/>
              <w:rPr>
                <w:rFonts w:ascii="Arial" w:hAnsi="Arial" w:cs="Arial"/>
                <w:b/>
                <w:bCs/>
                <w:sz w:val="20"/>
                <w:szCs w:val="20"/>
              </w:rPr>
            </w:pPr>
            <w:r w:rsidRPr="00DE475B">
              <w:rPr>
                <w:rFonts w:ascii="Arial" w:hAnsi="Arial" w:cs="Arial"/>
                <w:b/>
                <w:bCs/>
                <w:sz w:val="20"/>
                <w:szCs w:val="20"/>
              </w:rPr>
              <w:t>201</w:t>
            </w:r>
            <w:r w:rsidR="00FA340E">
              <w:rPr>
                <w:rFonts w:ascii="Arial" w:hAnsi="Arial" w:cs="Arial"/>
                <w:b/>
                <w:bCs/>
                <w:sz w:val="20"/>
                <w:szCs w:val="20"/>
              </w:rPr>
              <w:t>6</w:t>
            </w:r>
          </w:p>
        </w:tc>
      </w:tr>
      <w:tr w:rsidR="001F40DC" w:rsidRPr="00DE475B" w:rsidTr="00C04E06">
        <w:trPr>
          <w:trHeight w:val="284"/>
        </w:trPr>
        <w:tc>
          <w:tcPr>
            <w:tcW w:w="470" w:type="dxa"/>
            <w:shd w:val="clear" w:color="auto" w:fill="auto"/>
            <w:vAlign w:val="bottom"/>
          </w:tcPr>
          <w:p w:rsidR="001F40DC" w:rsidRPr="00DE475B" w:rsidRDefault="001F40DC" w:rsidP="005554A8">
            <w:pPr>
              <w:snapToGrid w:val="0"/>
              <w:jc w:val="right"/>
              <w:rPr>
                <w:rFonts w:ascii="Arial" w:hAnsi="Arial" w:cs="Arial"/>
                <w:b/>
                <w:bCs/>
                <w:sz w:val="20"/>
                <w:szCs w:val="20"/>
              </w:rPr>
            </w:pPr>
          </w:p>
        </w:tc>
        <w:tc>
          <w:tcPr>
            <w:tcW w:w="1084" w:type="dxa"/>
            <w:shd w:val="clear" w:color="auto" w:fill="auto"/>
            <w:vAlign w:val="bottom"/>
          </w:tcPr>
          <w:p w:rsidR="001F40DC" w:rsidRPr="00DE475B" w:rsidRDefault="001F40DC" w:rsidP="005554A8">
            <w:pPr>
              <w:snapToGrid w:val="0"/>
              <w:jc w:val="right"/>
              <w:rPr>
                <w:rFonts w:ascii="Arial" w:hAnsi="Arial" w:cs="Arial"/>
                <w:b/>
                <w:bCs/>
                <w:sz w:val="20"/>
                <w:szCs w:val="20"/>
              </w:rPr>
            </w:pPr>
          </w:p>
        </w:tc>
        <w:tc>
          <w:tcPr>
            <w:tcW w:w="954" w:type="dxa"/>
            <w:shd w:val="clear" w:color="auto" w:fill="auto"/>
            <w:vAlign w:val="bottom"/>
          </w:tcPr>
          <w:p w:rsidR="001F40DC" w:rsidRPr="00DE475B" w:rsidRDefault="001F40DC" w:rsidP="005554A8">
            <w:pPr>
              <w:snapToGrid w:val="0"/>
              <w:jc w:val="right"/>
              <w:rPr>
                <w:rFonts w:ascii="Arial" w:hAnsi="Arial" w:cs="Arial"/>
                <w:b/>
                <w:bCs/>
                <w:sz w:val="20"/>
                <w:szCs w:val="20"/>
              </w:rPr>
            </w:pPr>
          </w:p>
        </w:tc>
        <w:tc>
          <w:tcPr>
            <w:tcW w:w="1478" w:type="dxa"/>
            <w:shd w:val="clear" w:color="auto" w:fill="auto"/>
            <w:vAlign w:val="bottom"/>
          </w:tcPr>
          <w:p w:rsidR="001F40DC" w:rsidRPr="00DE475B" w:rsidRDefault="001F40DC" w:rsidP="005554A8">
            <w:pPr>
              <w:snapToGrid w:val="0"/>
              <w:jc w:val="right"/>
              <w:rPr>
                <w:rFonts w:ascii="Arial" w:hAnsi="Arial" w:cs="Arial"/>
                <w:b/>
                <w:bCs/>
                <w:sz w:val="20"/>
                <w:szCs w:val="20"/>
              </w:rPr>
            </w:pPr>
          </w:p>
        </w:tc>
        <w:tc>
          <w:tcPr>
            <w:tcW w:w="885" w:type="dxa"/>
            <w:shd w:val="clear" w:color="auto" w:fill="auto"/>
            <w:vAlign w:val="bottom"/>
          </w:tcPr>
          <w:p w:rsidR="001F40DC" w:rsidRPr="00DE475B" w:rsidRDefault="001F40DC" w:rsidP="005554A8">
            <w:pPr>
              <w:snapToGrid w:val="0"/>
              <w:jc w:val="right"/>
              <w:rPr>
                <w:rFonts w:ascii="Arial" w:hAnsi="Arial" w:cs="Arial"/>
                <w:b/>
                <w:bCs/>
                <w:sz w:val="20"/>
                <w:szCs w:val="20"/>
              </w:rPr>
            </w:pPr>
          </w:p>
        </w:tc>
        <w:tc>
          <w:tcPr>
            <w:tcW w:w="944" w:type="dxa"/>
            <w:shd w:val="clear" w:color="auto" w:fill="auto"/>
            <w:vAlign w:val="bottom"/>
          </w:tcPr>
          <w:p w:rsidR="001F40DC" w:rsidRPr="00DE475B" w:rsidRDefault="001F40DC" w:rsidP="005554A8">
            <w:pPr>
              <w:jc w:val="right"/>
              <w:rPr>
                <w:rFonts w:ascii="Arial" w:hAnsi="Arial" w:cs="Arial"/>
                <w:b/>
                <w:bCs/>
                <w:sz w:val="20"/>
                <w:szCs w:val="20"/>
              </w:rPr>
            </w:pPr>
            <w:r w:rsidRPr="00DE475B">
              <w:rPr>
                <w:rFonts w:ascii="Arial" w:hAnsi="Arial" w:cs="Arial"/>
                <w:b/>
                <w:bCs/>
                <w:sz w:val="20"/>
                <w:szCs w:val="20"/>
              </w:rPr>
              <w:t>$'000</w:t>
            </w:r>
          </w:p>
        </w:tc>
        <w:tc>
          <w:tcPr>
            <w:tcW w:w="944" w:type="dxa"/>
            <w:shd w:val="clear" w:color="auto" w:fill="auto"/>
            <w:vAlign w:val="bottom"/>
          </w:tcPr>
          <w:p w:rsidR="001F40DC" w:rsidRPr="00DE475B" w:rsidRDefault="001F40DC" w:rsidP="005554A8">
            <w:pPr>
              <w:jc w:val="right"/>
              <w:rPr>
                <w:rFonts w:ascii="Arial" w:hAnsi="Arial" w:cs="Arial"/>
                <w:b/>
                <w:bCs/>
                <w:sz w:val="20"/>
                <w:szCs w:val="20"/>
              </w:rPr>
            </w:pPr>
            <w:r w:rsidRPr="00DE475B">
              <w:rPr>
                <w:rFonts w:ascii="Arial" w:hAnsi="Arial" w:cs="Arial"/>
                <w:b/>
                <w:bCs/>
                <w:sz w:val="20"/>
                <w:szCs w:val="20"/>
              </w:rPr>
              <w:t>$'000</w:t>
            </w:r>
          </w:p>
        </w:tc>
        <w:tc>
          <w:tcPr>
            <w:tcW w:w="944" w:type="dxa"/>
            <w:shd w:val="clear" w:color="auto" w:fill="auto"/>
            <w:vAlign w:val="bottom"/>
          </w:tcPr>
          <w:p w:rsidR="001F40DC" w:rsidRPr="00DE475B" w:rsidRDefault="001F40DC" w:rsidP="005554A8">
            <w:pPr>
              <w:jc w:val="right"/>
              <w:rPr>
                <w:rFonts w:ascii="Arial" w:hAnsi="Arial" w:cs="Arial"/>
                <w:b/>
                <w:bCs/>
                <w:sz w:val="20"/>
                <w:szCs w:val="20"/>
              </w:rPr>
            </w:pPr>
            <w:r w:rsidRPr="00DE475B">
              <w:rPr>
                <w:rFonts w:ascii="Arial" w:hAnsi="Arial" w:cs="Arial"/>
                <w:b/>
                <w:bCs/>
                <w:sz w:val="20"/>
                <w:szCs w:val="20"/>
              </w:rPr>
              <w:t>$'000</w:t>
            </w:r>
          </w:p>
        </w:tc>
        <w:tc>
          <w:tcPr>
            <w:tcW w:w="944" w:type="dxa"/>
            <w:shd w:val="clear" w:color="auto" w:fill="auto"/>
            <w:vAlign w:val="bottom"/>
          </w:tcPr>
          <w:p w:rsidR="001F40DC" w:rsidRPr="00DE475B" w:rsidRDefault="001F40DC" w:rsidP="005554A8">
            <w:pPr>
              <w:jc w:val="right"/>
              <w:rPr>
                <w:rFonts w:ascii="Arial" w:hAnsi="Arial" w:cs="Arial"/>
                <w:b/>
                <w:bCs/>
                <w:sz w:val="20"/>
                <w:szCs w:val="20"/>
              </w:rPr>
            </w:pPr>
            <w:r w:rsidRPr="00DE475B">
              <w:rPr>
                <w:rFonts w:ascii="Arial" w:hAnsi="Arial" w:cs="Arial"/>
                <w:b/>
                <w:bCs/>
                <w:sz w:val="20"/>
                <w:szCs w:val="20"/>
              </w:rPr>
              <w:t>$'000</w:t>
            </w:r>
          </w:p>
        </w:tc>
      </w:tr>
      <w:tr w:rsidR="00FA340E" w:rsidRPr="00DE475B" w:rsidTr="00C04E06">
        <w:trPr>
          <w:trHeight w:val="284"/>
        </w:trPr>
        <w:tc>
          <w:tcPr>
            <w:tcW w:w="3986" w:type="dxa"/>
            <w:gridSpan w:val="4"/>
            <w:shd w:val="clear" w:color="auto" w:fill="auto"/>
            <w:vAlign w:val="bottom"/>
          </w:tcPr>
          <w:p w:rsidR="00FA340E" w:rsidRPr="00DE475B" w:rsidRDefault="00FA340E" w:rsidP="005554A8">
            <w:pPr>
              <w:snapToGrid w:val="0"/>
              <w:rPr>
                <w:rFonts w:ascii="Arial" w:hAnsi="Arial" w:cs="Arial"/>
                <w:sz w:val="20"/>
                <w:szCs w:val="20"/>
              </w:rPr>
            </w:pPr>
            <w:r w:rsidRPr="00DE475B">
              <w:rPr>
                <w:rFonts w:ascii="Arial" w:hAnsi="Arial" w:cs="Arial"/>
                <w:sz w:val="20"/>
                <w:szCs w:val="20"/>
              </w:rPr>
              <w:t>The Library Shop</w:t>
            </w:r>
          </w:p>
        </w:tc>
        <w:tc>
          <w:tcPr>
            <w:tcW w:w="885" w:type="dxa"/>
            <w:shd w:val="clear" w:color="auto" w:fill="auto"/>
            <w:vAlign w:val="bottom"/>
          </w:tcPr>
          <w:p w:rsidR="00FA340E" w:rsidRPr="00DE475B" w:rsidRDefault="00FA340E" w:rsidP="005554A8">
            <w:pPr>
              <w:snapToGrid w:val="0"/>
              <w:rPr>
                <w:rFonts w:ascii="Arial" w:hAnsi="Arial" w:cs="Arial"/>
                <w:sz w:val="20"/>
                <w:szCs w:val="20"/>
              </w:rPr>
            </w:pPr>
          </w:p>
        </w:tc>
        <w:tc>
          <w:tcPr>
            <w:tcW w:w="944" w:type="dxa"/>
            <w:shd w:val="clear" w:color="auto" w:fill="auto"/>
            <w:vAlign w:val="center"/>
          </w:tcPr>
          <w:p w:rsidR="00FA340E" w:rsidRPr="00DE475B" w:rsidRDefault="003A7735" w:rsidP="00B4647C">
            <w:pPr>
              <w:jc w:val="right"/>
              <w:rPr>
                <w:rFonts w:ascii="Arial" w:hAnsi="Arial" w:cs="Arial"/>
                <w:sz w:val="20"/>
                <w:szCs w:val="20"/>
              </w:rPr>
            </w:pPr>
            <w:r>
              <w:rPr>
                <w:rFonts w:ascii="Arial" w:hAnsi="Arial" w:cs="Arial"/>
                <w:sz w:val="20"/>
                <w:szCs w:val="20"/>
              </w:rPr>
              <w:t>697</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672 </w:t>
            </w:r>
          </w:p>
        </w:tc>
        <w:tc>
          <w:tcPr>
            <w:tcW w:w="944" w:type="dxa"/>
            <w:shd w:val="clear" w:color="auto" w:fill="auto"/>
            <w:vAlign w:val="center"/>
          </w:tcPr>
          <w:p w:rsidR="00FA340E" w:rsidRPr="00DE475B" w:rsidRDefault="003A7735" w:rsidP="001F339E">
            <w:pPr>
              <w:jc w:val="right"/>
              <w:rPr>
                <w:rFonts w:ascii="Arial" w:hAnsi="Arial" w:cs="Arial"/>
                <w:sz w:val="20"/>
                <w:szCs w:val="20"/>
              </w:rPr>
            </w:pPr>
            <w:r>
              <w:rPr>
                <w:rFonts w:ascii="Arial" w:hAnsi="Arial" w:cs="Arial"/>
                <w:sz w:val="20"/>
                <w:szCs w:val="20"/>
              </w:rPr>
              <w:t>697</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672 </w:t>
            </w:r>
          </w:p>
        </w:tc>
      </w:tr>
      <w:tr w:rsidR="00FA340E" w:rsidRPr="00DE475B" w:rsidTr="00C04E06">
        <w:trPr>
          <w:trHeight w:val="284"/>
        </w:trPr>
        <w:tc>
          <w:tcPr>
            <w:tcW w:w="3986" w:type="dxa"/>
            <w:gridSpan w:val="4"/>
            <w:shd w:val="clear" w:color="auto" w:fill="auto"/>
            <w:vAlign w:val="bottom"/>
          </w:tcPr>
          <w:p w:rsidR="00FA340E" w:rsidRPr="00DE475B" w:rsidRDefault="00FA340E" w:rsidP="005554A8">
            <w:pPr>
              <w:snapToGrid w:val="0"/>
              <w:rPr>
                <w:rFonts w:ascii="Arial" w:hAnsi="Arial" w:cs="Arial"/>
                <w:sz w:val="20"/>
                <w:szCs w:val="20"/>
              </w:rPr>
            </w:pPr>
            <w:r w:rsidRPr="00DE475B">
              <w:rPr>
                <w:rFonts w:ascii="Arial" w:hAnsi="Arial" w:cs="Arial"/>
                <w:sz w:val="20"/>
                <w:szCs w:val="20"/>
              </w:rPr>
              <w:t>Building rentals</w:t>
            </w:r>
          </w:p>
        </w:tc>
        <w:tc>
          <w:tcPr>
            <w:tcW w:w="885" w:type="dxa"/>
            <w:shd w:val="clear" w:color="auto" w:fill="auto"/>
            <w:vAlign w:val="bottom"/>
          </w:tcPr>
          <w:p w:rsidR="00FA340E" w:rsidRPr="00DE475B" w:rsidRDefault="00FA340E" w:rsidP="005554A8">
            <w:pPr>
              <w:snapToGrid w:val="0"/>
              <w:rPr>
                <w:rFonts w:ascii="Arial" w:hAnsi="Arial" w:cs="Arial"/>
                <w:sz w:val="20"/>
                <w:szCs w:val="20"/>
              </w:rPr>
            </w:pPr>
          </w:p>
        </w:tc>
        <w:tc>
          <w:tcPr>
            <w:tcW w:w="944" w:type="dxa"/>
            <w:shd w:val="clear" w:color="auto" w:fill="auto"/>
            <w:vAlign w:val="center"/>
          </w:tcPr>
          <w:p w:rsidR="00FA340E" w:rsidRPr="00DE475B" w:rsidRDefault="003A7735" w:rsidP="00B4647C">
            <w:pPr>
              <w:jc w:val="right"/>
              <w:rPr>
                <w:rFonts w:ascii="Arial" w:hAnsi="Arial" w:cs="Arial"/>
                <w:sz w:val="20"/>
                <w:szCs w:val="20"/>
              </w:rPr>
            </w:pPr>
            <w:r>
              <w:rPr>
                <w:rFonts w:ascii="Arial" w:hAnsi="Arial" w:cs="Arial"/>
                <w:sz w:val="20"/>
                <w:szCs w:val="20"/>
              </w:rPr>
              <w:t>357</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323 </w:t>
            </w:r>
          </w:p>
        </w:tc>
        <w:tc>
          <w:tcPr>
            <w:tcW w:w="944" w:type="dxa"/>
            <w:shd w:val="clear" w:color="auto" w:fill="auto"/>
            <w:vAlign w:val="center"/>
          </w:tcPr>
          <w:p w:rsidR="00FA340E" w:rsidRPr="00DE475B" w:rsidRDefault="003A7735" w:rsidP="001F339E">
            <w:pPr>
              <w:jc w:val="right"/>
              <w:rPr>
                <w:rFonts w:ascii="Arial" w:hAnsi="Arial" w:cs="Arial"/>
                <w:sz w:val="20"/>
                <w:szCs w:val="20"/>
              </w:rPr>
            </w:pPr>
            <w:r>
              <w:rPr>
                <w:rFonts w:ascii="Arial" w:hAnsi="Arial" w:cs="Arial"/>
                <w:sz w:val="20"/>
                <w:szCs w:val="20"/>
              </w:rPr>
              <w:t>357</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323 </w:t>
            </w:r>
          </w:p>
        </w:tc>
      </w:tr>
      <w:tr w:rsidR="00FA340E" w:rsidRPr="00DE475B" w:rsidTr="00C04E06">
        <w:trPr>
          <w:trHeight w:val="284"/>
        </w:trPr>
        <w:tc>
          <w:tcPr>
            <w:tcW w:w="3986" w:type="dxa"/>
            <w:gridSpan w:val="4"/>
            <w:shd w:val="clear" w:color="auto" w:fill="auto"/>
            <w:vAlign w:val="bottom"/>
          </w:tcPr>
          <w:p w:rsidR="00FA340E" w:rsidRPr="00DE475B" w:rsidRDefault="00FA340E" w:rsidP="005554A8">
            <w:pPr>
              <w:snapToGrid w:val="0"/>
              <w:rPr>
                <w:rFonts w:ascii="Arial" w:hAnsi="Arial" w:cs="Arial"/>
                <w:sz w:val="20"/>
                <w:szCs w:val="20"/>
              </w:rPr>
            </w:pPr>
            <w:r>
              <w:rPr>
                <w:rFonts w:ascii="Arial" w:hAnsi="Arial" w:cs="Arial"/>
                <w:sz w:val="20"/>
                <w:szCs w:val="20"/>
              </w:rPr>
              <w:t>R</w:t>
            </w:r>
            <w:r w:rsidRPr="00DE475B">
              <w:rPr>
                <w:rFonts w:ascii="Arial" w:hAnsi="Arial" w:cs="Arial"/>
                <w:sz w:val="20"/>
                <w:szCs w:val="20"/>
              </w:rPr>
              <w:t>esearch service</w:t>
            </w:r>
          </w:p>
        </w:tc>
        <w:tc>
          <w:tcPr>
            <w:tcW w:w="885" w:type="dxa"/>
            <w:shd w:val="clear" w:color="auto" w:fill="auto"/>
            <w:vAlign w:val="bottom"/>
          </w:tcPr>
          <w:p w:rsidR="00FA340E" w:rsidRPr="00DE475B" w:rsidRDefault="00FA340E" w:rsidP="005554A8">
            <w:pPr>
              <w:snapToGrid w:val="0"/>
              <w:rPr>
                <w:rFonts w:ascii="Arial" w:hAnsi="Arial" w:cs="Arial"/>
                <w:sz w:val="20"/>
                <w:szCs w:val="20"/>
              </w:rPr>
            </w:pPr>
          </w:p>
        </w:tc>
        <w:tc>
          <w:tcPr>
            <w:tcW w:w="944" w:type="dxa"/>
            <w:shd w:val="clear" w:color="auto" w:fill="auto"/>
            <w:vAlign w:val="center"/>
          </w:tcPr>
          <w:p w:rsidR="00FA340E" w:rsidRPr="00DE475B" w:rsidRDefault="003A7735" w:rsidP="00B4647C">
            <w:pPr>
              <w:jc w:val="right"/>
              <w:rPr>
                <w:rFonts w:ascii="Arial" w:hAnsi="Arial" w:cs="Arial"/>
                <w:sz w:val="20"/>
                <w:szCs w:val="20"/>
              </w:rPr>
            </w:pPr>
            <w:r>
              <w:rPr>
                <w:rFonts w:ascii="Arial" w:hAnsi="Arial" w:cs="Arial"/>
                <w:sz w:val="20"/>
                <w:szCs w:val="20"/>
              </w:rPr>
              <w:t>1,254</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1,220 </w:t>
            </w:r>
          </w:p>
        </w:tc>
        <w:tc>
          <w:tcPr>
            <w:tcW w:w="944" w:type="dxa"/>
            <w:shd w:val="clear" w:color="auto" w:fill="auto"/>
            <w:vAlign w:val="center"/>
          </w:tcPr>
          <w:p w:rsidR="00FA340E" w:rsidRPr="00DE475B" w:rsidRDefault="003A7735" w:rsidP="001F339E">
            <w:pPr>
              <w:jc w:val="right"/>
              <w:rPr>
                <w:rFonts w:ascii="Arial" w:hAnsi="Arial" w:cs="Arial"/>
                <w:sz w:val="20"/>
                <w:szCs w:val="20"/>
              </w:rPr>
            </w:pPr>
            <w:r>
              <w:rPr>
                <w:rFonts w:ascii="Arial" w:hAnsi="Arial" w:cs="Arial"/>
                <w:sz w:val="20"/>
                <w:szCs w:val="20"/>
              </w:rPr>
              <w:t>1,254</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1,220 </w:t>
            </w:r>
          </w:p>
        </w:tc>
      </w:tr>
      <w:tr w:rsidR="00FA340E" w:rsidRPr="00DE475B" w:rsidTr="00C04E06">
        <w:trPr>
          <w:trHeight w:val="284"/>
        </w:trPr>
        <w:tc>
          <w:tcPr>
            <w:tcW w:w="3986" w:type="dxa"/>
            <w:gridSpan w:val="4"/>
            <w:shd w:val="clear" w:color="auto" w:fill="auto"/>
            <w:vAlign w:val="bottom"/>
          </w:tcPr>
          <w:p w:rsidR="00FA340E" w:rsidRPr="00DE475B" w:rsidRDefault="00FA340E" w:rsidP="005554A8">
            <w:pPr>
              <w:snapToGrid w:val="0"/>
              <w:rPr>
                <w:rFonts w:ascii="Arial" w:hAnsi="Arial" w:cs="Arial"/>
                <w:sz w:val="20"/>
                <w:szCs w:val="20"/>
              </w:rPr>
            </w:pPr>
            <w:r w:rsidRPr="00DE475B">
              <w:rPr>
                <w:rFonts w:ascii="Arial" w:hAnsi="Arial" w:cs="Arial"/>
                <w:sz w:val="20"/>
                <w:szCs w:val="20"/>
              </w:rPr>
              <w:t>Network and internet services</w:t>
            </w:r>
          </w:p>
        </w:tc>
        <w:tc>
          <w:tcPr>
            <w:tcW w:w="885" w:type="dxa"/>
            <w:shd w:val="clear" w:color="auto" w:fill="auto"/>
            <w:vAlign w:val="bottom"/>
          </w:tcPr>
          <w:p w:rsidR="00FA340E" w:rsidRPr="00DE475B" w:rsidRDefault="00FA340E" w:rsidP="005554A8">
            <w:pPr>
              <w:snapToGrid w:val="0"/>
              <w:rPr>
                <w:rFonts w:ascii="Arial" w:hAnsi="Arial" w:cs="Arial"/>
                <w:sz w:val="20"/>
                <w:szCs w:val="20"/>
              </w:rPr>
            </w:pPr>
          </w:p>
        </w:tc>
        <w:tc>
          <w:tcPr>
            <w:tcW w:w="944" w:type="dxa"/>
            <w:shd w:val="clear" w:color="auto" w:fill="auto"/>
            <w:vAlign w:val="center"/>
          </w:tcPr>
          <w:p w:rsidR="00FA340E" w:rsidRPr="00DE475B" w:rsidRDefault="003A7735" w:rsidP="00B4647C">
            <w:pPr>
              <w:jc w:val="right"/>
              <w:rPr>
                <w:rFonts w:ascii="Arial" w:hAnsi="Arial" w:cs="Arial"/>
                <w:sz w:val="20"/>
                <w:szCs w:val="20"/>
              </w:rPr>
            </w:pPr>
            <w:r>
              <w:rPr>
                <w:rFonts w:ascii="Arial" w:hAnsi="Arial" w:cs="Arial"/>
                <w:sz w:val="20"/>
                <w:szCs w:val="20"/>
              </w:rPr>
              <w:t>239</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301 </w:t>
            </w:r>
          </w:p>
        </w:tc>
        <w:tc>
          <w:tcPr>
            <w:tcW w:w="944" w:type="dxa"/>
            <w:shd w:val="clear" w:color="auto" w:fill="auto"/>
            <w:vAlign w:val="center"/>
          </w:tcPr>
          <w:p w:rsidR="00FA340E" w:rsidRPr="00DE475B" w:rsidRDefault="003A7735" w:rsidP="001F339E">
            <w:pPr>
              <w:jc w:val="right"/>
              <w:rPr>
                <w:rFonts w:ascii="Arial" w:hAnsi="Arial" w:cs="Arial"/>
                <w:sz w:val="20"/>
                <w:szCs w:val="20"/>
              </w:rPr>
            </w:pPr>
            <w:r>
              <w:rPr>
                <w:rFonts w:ascii="Arial" w:hAnsi="Arial" w:cs="Arial"/>
                <w:sz w:val="20"/>
                <w:szCs w:val="20"/>
              </w:rPr>
              <w:t>239</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301 </w:t>
            </w:r>
          </w:p>
        </w:tc>
      </w:tr>
      <w:tr w:rsidR="00FA340E" w:rsidRPr="00DE475B" w:rsidTr="00C04E06">
        <w:trPr>
          <w:trHeight w:val="284"/>
        </w:trPr>
        <w:tc>
          <w:tcPr>
            <w:tcW w:w="3986" w:type="dxa"/>
            <w:gridSpan w:val="4"/>
            <w:shd w:val="clear" w:color="auto" w:fill="auto"/>
            <w:vAlign w:val="bottom"/>
          </w:tcPr>
          <w:p w:rsidR="00FA340E" w:rsidRPr="00DE475B" w:rsidRDefault="00FA340E" w:rsidP="005554A8">
            <w:pPr>
              <w:snapToGrid w:val="0"/>
              <w:rPr>
                <w:rFonts w:ascii="Arial" w:hAnsi="Arial" w:cs="Arial"/>
                <w:sz w:val="20"/>
                <w:szCs w:val="20"/>
              </w:rPr>
            </w:pPr>
            <w:r w:rsidRPr="00DE475B">
              <w:rPr>
                <w:rFonts w:ascii="Arial" w:hAnsi="Arial" w:cs="Arial"/>
                <w:sz w:val="20"/>
                <w:szCs w:val="20"/>
              </w:rPr>
              <w:t>First 5 Forever sales</w:t>
            </w:r>
          </w:p>
        </w:tc>
        <w:tc>
          <w:tcPr>
            <w:tcW w:w="885" w:type="dxa"/>
            <w:shd w:val="clear" w:color="auto" w:fill="auto"/>
            <w:vAlign w:val="bottom"/>
          </w:tcPr>
          <w:p w:rsidR="00FA340E" w:rsidRPr="00DE475B" w:rsidRDefault="00FA340E" w:rsidP="005554A8">
            <w:pPr>
              <w:snapToGrid w:val="0"/>
              <w:rPr>
                <w:rFonts w:ascii="Arial" w:hAnsi="Arial" w:cs="Arial"/>
                <w:sz w:val="20"/>
                <w:szCs w:val="20"/>
              </w:rPr>
            </w:pPr>
          </w:p>
        </w:tc>
        <w:tc>
          <w:tcPr>
            <w:tcW w:w="944" w:type="dxa"/>
            <w:shd w:val="clear" w:color="auto" w:fill="auto"/>
            <w:vAlign w:val="center"/>
          </w:tcPr>
          <w:p w:rsidR="00FA340E" w:rsidRPr="00DE475B" w:rsidRDefault="003A7735" w:rsidP="00B4647C">
            <w:pPr>
              <w:jc w:val="right"/>
              <w:rPr>
                <w:rFonts w:ascii="Arial" w:hAnsi="Arial" w:cs="Arial"/>
                <w:sz w:val="20"/>
                <w:szCs w:val="20"/>
              </w:rPr>
            </w:pPr>
            <w:r>
              <w:rPr>
                <w:rFonts w:ascii="Arial" w:hAnsi="Arial" w:cs="Arial"/>
                <w:sz w:val="20"/>
                <w:szCs w:val="20"/>
              </w:rPr>
              <w:t>615</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424 </w:t>
            </w:r>
          </w:p>
        </w:tc>
        <w:tc>
          <w:tcPr>
            <w:tcW w:w="944" w:type="dxa"/>
            <w:shd w:val="clear" w:color="auto" w:fill="auto"/>
            <w:vAlign w:val="center"/>
          </w:tcPr>
          <w:p w:rsidR="00FA340E" w:rsidRPr="00DE475B" w:rsidRDefault="003A7735" w:rsidP="001F339E">
            <w:pPr>
              <w:jc w:val="right"/>
              <w:rPr>
                <w:rFonts w:ascii="Arial" w:hAnsi="Arial" w:cs="Arial"/>
                <w:sz w:val="20"/>
                <w:szCs w:val="20"/>
              </w:rPr>
            </w:pPr>
            <w:r>
              <w:rPr>
                <w:rFonts w:ascii="Arial" w:hAnsi="Arial" w:cs="Arial"/>
                <w:sz w:val="20"/>
                <w:szCs w:val="20"/>
              </w:rPr>
              <w:t>615</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424 </w:t>
            </w:r>
          </w:p>
        </w:tc>
      </w:tr>
      <w:tr w:rsidR="00FA340E" w:rsidRPr="00DE475B" w:rsidTr="00C04E06">
        <w:trPr>
          <w:trHeight w:val="284"/>
        </w:trPr>
        <w:tc>
          <w:tcPr>
            <w:tcW w:w="3986" w:type="dxa"/>
            <w:gridSpan w:val="4"/>
            <w:shd w:val="clear" w:color="auto" w:fill="auto"/>
            <w:vAlign w:val="bottom"/>
          </w:tcPr>
          <w:p w:rsidR="00FA340E" w:rsidRPr="00DE475B" w:rsidRDefault="00FA340E" w:rsidP="005554A8">
            <w:pPr>
              <w:snapToGrid w:val="0"/>
              <w:rPr>
                <w:rFonts w:ascii="Arial" w:hAnsi="Arial" w:cs="Arial"/>
                <w:sz w:val="20"/>
                <w:szCs w:val="20"/>
              </w:rPr>
            </w:pPr>
            <w:r w:rsidRPr="00DE475B">
              <w:rPr>
                <w:rFonts w:ascii="Arial" w:hAnsi="Arial" w:cs="Arial"/>
                <w:sz w:val="20"/>
                <w:szCs w:val="20"/>
              </w:rPr>
              <w:t>Preservation services</w:t>
            </w:r>
          </w:p>
        </w:tc>
        <w:tc>
          <w:tcPr>
            <w:tcW w:w="885" w:type="dxa"/>
            <w:shd w:val="clear" w:color="auto" w:fill="auto"/>
            <w:vAlign w:val="bottom"/>
          </w:tcPr>
          <w:p w:rsidR="00FA340E" w:rsidRPr="00DE475B" w:rsidRDefault="00FA340E" w:rsidP="005554A8">
            <w:pPr>
              <w:snapToGrid w:val="0"/>
              <w:rPr>
                <w:rFonts w:ascii="Arial" w:hAnsi="Arial" w:cs="Arial"/>
                <w:sz w:val="20"/>
                <w:szCs w:val="20"/>
              </w:rPr>
            </w:pPr>
          </w:p>
        </w:tc>
        <w:tc>
          <w:tcPr>
            <w:tcW w:w="944" w:type="dxa"/>
            <w:shd w:val="clear" w:color="auto" w:fill="auto"/>
            <w:vAlign w:val="center"/>
          </w:tcPr>
          <w:p w:rsidR="00FA340E" w:rsidRPr="00DE475B" w:rsidRDefault="003A7735" w:rsidP="00B4647C">
            <w:pPr>
              <w:jc w:val="right"/>
              <w:rPr>
                <w:rFonts w:ascii="Arial" w:hAnsi="Arial" w:cs="Arial"/>
                <w:sz w:val="20"/>
                <w:szCs w:val="20"/>
              </w:rPr>
            </w:pPr>
            <w:r>
              <w:rPr>
                <w:rFonts w:ascii="Arial" w:hAnsi="Arial" w:cs="Arial"/>
                <w:sz w:val="20"/>
                <w:szCs w:val="20"/>
              </w:rPr>
              <w:t>14</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69 </w:t>
            </w:r>
          </w:p>
        </w:tc>
        <w:tc>
          <w:tcPr>
            <w:tcW w:w="944" w:type="dxa"/>
            <w:shd w:val="clear" w:color="auto" w:fill="auto"/>
            <w:vAlign w:val="center"/>
          </w:tcPr>
          <w:p w:rsidR="00FA340E" w:rsidRPr="00DE475B" w:rsidRDefault="003A7735" w:rsidP="001F339E">
            <w:pPr>
              <w:jc w:val="right"/>
              <w:rPr>
                <w:rFonts w:ascii="Arial" w:hAnsi="Arial" w:cs="Arial"/>
                <w:sz w:val="20"/>
                <w:szCs w:val="20"/>
              </w:rPr>
            </w:pPr>
            <w:r>
              <w:rPr>
                <w:rFonts w:ascii="Arial" w:hAnsi="Arial" w:cs="Arial"/>
                <w:sz w:val="20"/>
                <w:szCs w:val="20"/>
              </w:rPr>
              <w:t>14</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69 </w:t>
            </w:r>
          </w:p>
        </w:tc>
      </w:tr>
      <w:tr w:rsidR="00FA340E" w:rsidRPr="00DE475B" w:rsidTr="00C04E06">
        <w:trPr>
          <w:trHeight w:val="284"/>
        </w:trPr>
        <w:tc>
          <w:tcPr>
            <w:tcW w:w="3986" w:type="dxa"/>
            <w:gridSpan w:val="4"/>
            <w:shd w:val="clear" w:color="auto" w:fill="auto"/>
            <w:vAlign w:val="bottom"/>
          </w:tcPr>
          <w:p w:rsidR="00FA340E" w:rsidRPr="00DE475B" w:rsidRDefault="00FA340E" w:rsidP="005554A8">
            <w:pPr>
              <w:snapToGrid w:val="0"/>
              <w:rPr>
                <w:rFonts w:ascii="Arial" w:hAnsi="Arial" w:cs="Arial"/>
                <w:sz w:val="20"/>
                <w:szCs w:val="20"/>
              </w:rPr>
            </w:pPr>
            <w:r w:rsidRPr="00DE475B">
              <w:rPr>
                <w:rFonts w:ascii="Arial" w:hAnsi="Arial" w:cs="Arial"/>
                <w:sz w:val="20"/>
                <w:szCs w:val="20"/>
              </w:rPr>
              <w:t>Reproduction services</w:t>
            </w:r>
          </w:p>
        </w:tc>
        <w:tc>
          <w:tcPr>
            <w:tcW w:w="885" w:type="dxa"/>
            <w:shd w:val="clear" w:color="auto" w:fill="auto"/>
            <w:vAlign w:val="bottom"/>
          </w:tcPr>
          <w:p w:rsidR="00FA340E" w:rsidRPr="00DE475B" w:rsidRDefault="00FA340E" w:rsidP="005554A8">
            <w:pPr>
              <w:snapToGrid w:val="0"/>
              <w:rPr>
                <w:rFonts w:ascii="Arial" w:hAnsi="Arial" w:cs="Arial"/>
                <w:sz w:val="20"/>
                <w:szCs w:val="20"/>
              </w:rPr>
            </w:pPr>
          </w:p>
        </w:tc>
        <w:tc>
          <w:tcPr>
            <w:tcW w:w="944" w:type="dxa"/>
            <w:shd w:val="clear" w:color="auto" w:fill="auto"/>
            <w:vAlign w:val="center"/>
          </w:tcPr>
          <w:p w:rsidR="00FA340E" w:rsidRPr="00DE475B" w:rsidRDefault="003A7735" w:rsidP="00B4647C">
            <w:pPr>
              <w:jc w:val="right"/>
              <w:rPr>
                <w:rFonts w:ascii="Arial" w:hAnsi="Arial" w:cs="Arial"/>
                <w:sz w:val="20"/>
                <w:szCs w:val="20"/>
              </w:rPr>
            </w:pPr>
            <w:r>
              <w:rPr>
                <w:rFonts w:ascii="Arial" w:hAnsi="Arial" w:cs="Arial"/>
                <w:sz w:val="20"/>
                <w:szCs w:val="20"/>
              </w:rPr>
              <w:t>55</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57 </w:t>
            </w:r>
          </w:p>
        </w:tc>
        <w:tc>
          <w:tcPr>
            <w:tcW w:w="944" w:type="dxa"/>
            <w:shd w:val="clear" w:color="auto" w:fill="auto"/>
            <w:vAlign w:val="center"/>
          </w:tcPr>
          <w:p w:rsidR="00FA340E" w:rsidRPr="00DE475B" w:rsidRDefault="003A7735" w:rsidP="001F339E">
            <w:pPr>
              <w:jc w:val="right"/>
              <w:rPr>
                <w:rFonts w:ascii="Arial" w:hAnsi="Arial" w:cs="Arial"/>
                <w:sz w:val="20"/>
                <w:szCs w:val="20"/>
              </w:rPr>
            </w:pPr>
            <w:r>
              <w:rPr>
                <w:rFonts w:ascii="Arial" w:hAnsi="Arial" w:cs="Arial"/>
                <w:sz w:val="20"/>
                <w:szCs w:val="20"/>
              </w:rPr>
              <w:t>55</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57 </w:t>
            </w:r>
          </w:p>
        </w:tc>
      </w:tr>
      <w:tr w:rsidR="00FA340E" w:rsidRPr="00DE475B" w:rsidTr="00C04E06">
        <w:trPr>
          <w:trHeight w:val="284"/>
        </w:trPr>
        <w:tc>
          <w:tcPr>
            <w:tcW w:w="3986" w:type="dxa"/>
            <w:gridSpan w:val="4"/>
            <w:shd w:val="clear" w:color="auto" w:fill="auto"/>
            <w:vAlign w:val="bottom"/>
          </w:tcPr>
          <w:p w:rsidR="00FA340E" w:rsidRPr="00DE475B" w:rsidRDefault="00FA340E" w:rsidP="005554A8">
            <w:pPr>
              <w:rPr>
                <w:rFonts w:ascii="Arial" w:hAnsi="Arial" w:cs="Arial"/>
                <w:sz w:val="20"/>
                <w:szCs w:val="20"/>
              </w:rPr>
            </w:pPr>
            <w:r w:rsidRPr="00DE475B">
              <w:rPr>
                <w:rFonts w:ascii="Arial" w:hAnsi="Arial" w:cs="Arial"/>
                <w:sz w:val="20"/>
                <w:szCs w:val="20"/>
              </w:rPr>
              <w:t>Ticket sales</w:t>
            </w:r>
          </w:p>
        </w:tc>
        <w:tc>
          <w:tcPr>
            <w:tcW w:w="885" w:type="dxa"/>
            <w:shd w:val="clear" w:color="auto" w:fill="auto"/>
            <w:vAlign w:val="bottom"/>
          </w:tcPr>
          <w:p w:rsidR="00FA340E" w:rsidRPr="00DE475B" w:rsidRDefault="00FA340E" w:rsidP="005554A8">
            <w:pPr>
              <w:snapToGrid w:val="0"/>
              <w:rPr>
                <w:rFonts w:ascii="Arial" w:hAnsi="Arial" w:cs="Arial"/>
                <w:sz w:val="20"/>
                <w:szCs w:val="20"/>
              </w:rPr>
            </w:pPr>
          </w:p>
        </w:tc>
        <w:tc>
          <w:tcPr>
            <w:tcW w:w="944" w:type="dxa"/>
            <w:shd w:val="clear" w:color="auto" w:fill="auto"/>
            <w:vAlign w:val="center"/>
          </w:tcPr>
          <w:p w:rsidR="00FA340E" w:rsidRPr="00DE475B" w:rsidRDefault="003A7735" w:rsidP="00B4647C">
            <w:pPr>
              <w:jc w:val="right"/>
              <w:rPr>
                <w:rFonts w:ascii="Arial" w:hAnsi="Arial" w:cs="Arial"/>
                <w:sz w:val="20"/>
                <w:szCs w:val="20"/>
              </w:rPr>
            </w:pPr>
            <w:r>
              <w:rPr>
                <w:rFonts w:ascii="Arial" w:hAnsi="Arial" w:cs="Arial"/>
                <w:sz w:val="20"/>
                <w:szCs w:val="20"/>
              </w:rPr>
              <w:t>88</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83 </w:t>
            </w:r>
          </w:p>
        </w:tc>
        <w:tc>
          <w:tcPr>
            <w:tcW w:w="944" w:type="dxa"/>
            <w:shd w:val="clear" w:color="auto" w:fill="auto"/>
            <w:vAlign w:val="center"/>
          </w:tcPr>
          <w:p w:rsidR="00FA340E" w:rsidRPr="00DE475B" w:rsidRDefault="003A7735" w:rsidP="001F339E">
            <w:pPr>
              <w:jc w:val="right"/>
              <w:rPr>
                <w:rFonts w:ascii="Arial" w:hAnsi="Arial" w:cs="Arial"/>
                <w:sz w:val="20"/>
                <w:szCs w:val="20"/>
              </w:rPr>
            </w:pPr>
            <w:r>
              <w:rPr>
                <w:rFonts w:ascii="Arial" w:hAnsi="Arial" w:cs="Arial"/>
                <w:sz w:val="20"/>
                <w:szCs w:val="20"/>
              </w:rPr>
              <w:t>85</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83 </w:t>
            </w:r>
          </w:p>
        </w:tc>
      </w:tr>
      <w:tr w:rsidR="00FA340E" w:rsidRPr="00DE475B" w:rsidTr="00C04E06">
        <w:trPr>
          <w:trHeight w:val="284"/>
        </w:trPr>
        <w:tc>
          <w:tcPr>
            <w:tcW w:w="3986" w:type="dxa"/>
            <w:gridSpan w:val="4"/>
            <w:shd w:val="clear" w:color="auto" w:fill="auto"/>
            <w:vAlign w:val="bottom"/>
          </w:tcPr>
          <w:p w:rsidR="00FA340E" w:rsidRPr="00DE475B" w:rsidRDefault="00FA340E" w:rsidP="005554A8">
            <w:pPr>
              <w:snapToGrid w:val="0"/>
              <w:rPr>
                <w:rFonts w:ascii="Arial" w:hAnsi="Arial" w:cs="Arial"/>
                <w:sz w:val="20"/>
                <w:szCs w:val="20"/>
              </w:rPr>
            </w:pPr>
            <w:r w:rsidRPr="00DE475B">
              <w:rPr>
                <w:rFonts w:ascii="Arial" w:hAnsi="Arial" w:cs="Arial"/>
                <w:sz w:val="20"/>
                <w:szCs w:val="20"/>
              </w:rPr>
              <w:t>Venue hire</w:t>
            </w:r>
          </w:p>
        </w:tc>
        <w:tc>
          <w:tcPr>
            <w:tcW w:w="885" w:type="dxa"/>
            <w:shd w:val="clear" w:color="auto" w:fill="auto"/>
            <w:vAlign w:val="bottom"/>
          </w:tcPr>
          <w:p w:rsidR="00FA340E" w:rsidRPr="00DE475B" w:rsidRDefault="00FA340E" w:rsidP="005554A8">
            <w:pPr>
              <w:snapToGrid w:val="0"/>
              <w:rPr>
                <w:rFonts w:ascii="Arial" w:hAnsi="Arial" w:cs="Arial"/>
                <w:sz w:val="20"/>
                <w:szCs w:val="20"/>
              </w:rPr>
            </w:pPr>
          </w:p>
        </w:tc>
        <w:tc>
          <w:tcPr>
            <w:tcW w:w="944" w:type="dxa"/>
            <w:shd w:val="clear" w:color="auto" w:fill="auto"/>
            <w:vAlign w:val="center"/>
          </w:tcPr>
          <w:p w:rsidR="00FA340E" w:rsidRPr="00DE475B" w:rsidRDefault="003A7735" w:rsidP="00B4647C">
            <w:pPr>
              <w:jc w:val="right"/>
              <w:rPr>
                <w:rFonts w:ascii="Arial" w:hAnsi="Arial" w:cs="Arial"/>
                <w:sz w:val="20"/>
                <w:szCs w:val="20"/>
              </w:rPr>
            </w:pPr>
            <w:r>
              <w:rPr>
                <w:rFonts w:ascii="Arial" w:hAnsi="Arial" w:cs="Arial"/>
                <w:sz w:val="20"/>
                <w:szCs w:val="20"/>
              </w:rPr>
              <w:t>868</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717 </w:t>
            </w:r>
          </w:p>
        </w:tc>
        <w:tc>
          <w:tcPr>
            <w:tcW w:w="944" w:type="dxa"/>
            <w:shd w:val="clear" w:color="auto" w:fill="auto"/>
            <w:vAlign w:val="center"/>
          </w:tcPr>
          <w:p w:rsidR="00FA340E" w:rsidRPr="00DE475B" w:rsidRDefault="003A7735" w:rsidP="001F339E">
            <w:pPr>
              <w:jc w:val="right"/>
              <w:rPr>
                <w:rFonts w:ascii="Arial" w:hAnsi="Arial" w:cs="Arial"/>
                <w:sz w:val="20"/>
                <w:szCs w:val="20"/>
              </w:rPr>
            </w:pPr>
            <w:r>
              <w:rPr>
                <w:rFonts w:ascii="Arial" w:hAnsi="Arial" w:cs="Arial"/>
                <w:sz w:val="20"/>
                <w:szCs w:val="20"/>
              </w:rPr>
              <w:t>868</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717 </w:t>
            </w:r>
          </w:p>
        </w:tc>
      </w:tr>
      <w:tr w:rsidR="00FA340E" w:rsidRPr="00DE475B" w:rsidTr="00C04E06">
        <w:trPr>
          <w:trHeight w:val="284"/>
        </w:trPr>
        <w:tc>
          <w:tcPr>
            <w:tcW w:w="3986" w:type="dxa"/>
            <w:gridSpan w:val="4"/>
            <w:shd w:val="clear" w:color="auto" w:fill="auto"/>
            <w:vAlign w:val="bottom"/>
          </w:tcPr>
          <w:p w:rsidR="00FA340E" w:rsidRPr="00DE475B" w:rsidRDefault="00FA340E" w:rsidP="005554A8">
            <w:pPr>
              <w:snapToGrid w:val="0"/>
              <w:rPr>
                <w:rFonts w:ascii="Arial" w:hAnsi="Arial" w:cs="Arial"/>
                <w:sz w:val="20"/>
                <w:szCs w:val="20"/>
              </w:rPr>
            </w:pPr>
            <w:r w:rsidRPr="00DE475B">
              <w:rPr>
                <w:rFonts w:ascii="Arial" w:hAnsi="Arial" w:cs="Arial"/>
                <w:sz w:val="20"/>
                <w:szCs w:val="20"/>
              </w:rPr>
              <w:t>Other</w:t>
            </w:r>
          </w:p>
        </w:tc>
        <w:tc>
          <w:tcPr>
            <w:tcW w:w="885" w:type="dxa"/>
            <w:shd w:val="clear" w:color="auto" w:fill="auto"/>
            <w:vAlign w:val="bottom"/>
          </w:tcPr>
          <w:p w:rsidR="00FA340E" w:rsidRPr="00DE475B" w:rsidRDefault="00FA340E" w:rsidP="005554A8">
            <w:pPr>
              <w:snapToGrid w:val="0"/>
              <w:rPr>
                <w:rFonts w:ascii="Arial" w:hAnsi="Arial" w:cs="Arial"/>
                <w:sz w:val="20"/>
                <w:szCs w:val="20"/>
              </w:rPr>
            </w:pPr>
          </w:p>
        </w:tc>
        <w:tc>
          <w:tcPr>
            <w:tcW w:w="944" w:type="dxa"/>
            <w:shd w:val="clear" w:color="auto" w:fill="auto"/>
            <w:vAlign w:val="center"/>
          </w:tcPr>
          <w:p w:rsidR="00FA340E" w:rsidRPr="00DE475B" w:rsidRDefault="003A7735" w:rsidP="00B4647C">
            <w:pPr>
              <w:jc w:val="right"/>
              <w:rPr>
                <w:rFonts w:ascii="Arial" w:hAnsi="Arial" w:cs="Arial"/>
                <w:sz w:val="20"/>
                <w:szCs w:val="20"/>
              </w:rPr>
            </w:pPr>
            <w:r>
              <w:rPr>
                <w:rFonts w:ascii="Arial" w:hAnsi="Arial" w:cs="Arial"/>
                <w:sz w:val="20"/>
                <w:szCs w:val="20"/>
              </w:rPr>
              <w:t>218</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317 </w:t>
            </w:r>
          </w:p>
        </w:tc>
        <w:tc>
          <w:tcPr>
            <w:tcW w:w="944" w:type="dxa"/>
            <w:shd w:val="clear" w:color="auto" w:fill="auto"/>
            <w:vAlign w:val="center"/>
          </w:tcPr>
          <w:p w:rsidR="00FA340E" w:rsidRPr="00DE475B" w:rsidRDefault="003A7735" w:rsidP="001F339E">
            <w:pPr>
              <w:jc w:val="right"/>
              <w:rPr>
                <w:rFonts w:ascii="Arial" w:hAnsi="Arial" w:cs="Arial"/>
                <w:sz w:val="20"/>
                <w:szCs w:val="20"/>
              </w:rPr>
            </w:pPr>
            <w:r>
              <w:rPr>
                <w:rFonts w:ascii="Arial" w:hAnsi="Arial" w:cs="Arial"/>
                <w:sz w:val="20"/>
                <w:szCs w:val="20"/>
              </w:rPr>
              <w:t>218</w:t>
            </w:r>
          </w:p>
        </w:tc>
        <w:tc>
          <w:tcPr>
            <w:tcW w:w="944" w:type="dxa"/>
            <w:shd w:val="clear" w:color="auto" w:fill="auto"/>
            <w:vAlign w:val="center"/>
          </w:tcPr>
          <w:p w:rsidR="00FA340E" w:rsidRPr="00DE475B" w:rsidRDefault="00FA340E" w:rsidP="001F339E">
            <w:pPr>
              <w:jc w:val="right"/>
              <w:rPr>
                <w:rFonts w:ascii="Arial" w:hAnsi="Arial" w:cs="Arial"/>
                <w:sz w:val="20"/>
                <w:szCs w:val="20"/>
              </w:rPr>
            </w:pPr>
            <w:r w:rsidRPr="00DE475B">
              <w:rPr>
                <w:rFonts w:ascii="Arial" w:hAnsi="Arial" w:cs="Arial"/>
                <w:sz w:val="20"/>
                <w:szCs w:val="20"/>
              </w:rPr>
              <w:t xml:space="preserve">317 </w:t>
            </w:r>
          </w:p>
        </w:tc>
      </w:tr>
      <w:tr w:rsidR="00FA340E" w:rsidRPr="00DE475B" w:rsidTr="00C04E06">
        <w:trPr>
          <w:trHeight w:val="199"/>
        </w:trPr>
        <w:tc>
          <w:tcPr>
            <w:tcW w:w="8647" w:type="dxa"/>
            <w:gridSpan w:val="9"/>
            <w:shd w:val="clear" w:color="auto" w:fill="auto"/>
            <w:vAlign w:val="bottom"/>
          </w:tcPr>
          <w:p w:rsidR="00FA340E" w:rsidRPr="00DE475B" w:rsidRDefault="00FA340E" w:rsidP="005554A8">
            <w:pPr>
              <w:rPr>
                <w:rFonts w:ascii="Arial" w:hAnsi="Arial" w:cs="Arial"/>
                <w:b/>
                <w:bCs/>
                <w:sz w:val="16"/>
                <w:szCs w:val="16"/>
              </w:rPr>
            </w:pPr>
          </w:p>
        </w:tc>
      </w:tr>
      <w:tr w:rsidR="00FA340E" w:rsidRPr="00DE475B" w:rsidTr="00C04E06">
        <w:trPr>
          <w:trHeight w:val="284"/>
        </w:trPr>
        <w:tc>
          <w:tcPr>
            <w:tcW w:w="1554" w:type="dxa"/>
            <w:gridSpan w:val="2"/>
            <w:shd w:val="clear" w:color="auto" w:fill="auto"/>
            <w:vAlign w:val="bottom"/>
          </w:tcPr>
          <w:p w:rsidR="00FA340E" w:rsidRPr="00DE475B" w:rsidRDefault="00FA340E" w:rsidP="005554A8">
            <w:pPr>
              <w:rPr>
                <w:rFonts w:ascii="Arial" w:hAnsi="Arial" w:cs="Arial"/>
                <w:sz w:val="20"/>
                <w:szCs w:val="20"/>
              </w:rPr>
            </w:pPr>
            <w:r w:rsidRPr="00DE475B">
              <w:rPr>
                <w:rFonts w:ascii="Arial" w:hAnsi="Arial" w:cs="Arial"/>
                <w:b/>
                <w:bCs/>
                <w:sz w:val="20"/>
                <w:szCs w:val="20"/>
              </w:rPr>
              <w:t>Total</w:t>
            </w:r>
          </w:p>
        </w:tc>
        <w:tc>
          <w:tcPr>
            <w:tcW w:w="954" w:type="dxa"/>
            <w:shd w:val="clear" w:color="auto" w:fill="auto"/>
            <w:vAlign w:val="bottom"/>
          </w:tcPr>
          <w:p w:rsidR="00FA340E" w:rsidRPr="00DE475B" w:rsidRDefault="00FA340E" w:rsidP="005554A8">
            <w:pPr>
              <w:snapToGrid w:val="0"/>
              <w:rPr>
                <w:rFonts w:ascii="Arial" w:hAnsi="Arial" w:cs="Arial"/>
                <w:sz w:val="20"/>
                <w:szCs w:val="20"/>
              </w:rPr>
            </w:pPr>
          </w:p>
        </w:tc>
        <w:tc>
          <w:tcPr>
            <w:tcW w:w="1478" w:type="dxa"/>
            <w:shd w:val="clear" w:color="auto" w:fill="auto"/>
            <w:vAlign w:val="bottom"/>
          </w:tcPr>
          <w:p w:rsidR="00FA340E" w:rsidRPr="00DE475B" w:rsidRDefault="00FA340E" w:rsidP="005554A8">
            <w:pPr>
              <w:snapToGrid w:val="0"/>
              <w:rPr>
                <w:rFonts w:ascii="Arial" w:hAnsi="Arial" w:cs="Arial"/>
                <w:sz w:val="20"/>
                <w:szCs w:val="20"/>
              </w:rPr>
            </w:pPr>
          </w:p>
        </w:tc>
        <w:tc>
          <w:tcPr>
            <w:tcW w:w="885" w:type="dxa"/>
            <w:shd w:val="clear" w:color="auto" w:fill="auto"/>
            <w:vAlign w:val="bottom"/>
          </w:tcPr>
          <w:p w:rsidR="00FA340E" w:rsidRPr="00DE475B" w:rsidRDefault="00FA340E" w:rsidP="005554A8">
            <w:pPr>
              <w:snapToGrid w:val="0"/>
              <w:rPr>
                <w:rFonts w:ascii="Arial" w:hAnsi="Arial" w:cs="Arial"/>
                <w:sz w:val="20"/>
                <w:szCs w:val="20"/>
              </w:rPr>
            </w:pPr>
          </w:p>
        </w:tc>
        <w:tc>
          <w:tcPr>
            <w:tcW w:w="944" w:type="dxa"/>
            <w:tcBorders>
              <w:top w:val="single" w:sz="8" w:space="0" w:color="000000"/>
              <w:bottom w:val="single" w:sz="8" w:space="0" w:color="000000"/>
            </w:tcBorders>
            <w:shd w:val="clear" w:color="auto" w:fill="auto"/>
            <w:vAlign w:val="bottom"/>
          </w:tcPr>
          <w:p w:rsidR="00FA340E" w:rsidRPr="00DE475B" w:rsidRDefault="003A7735" w:rsidP="005554A8">
            <w:pPr>
              <w:jc w:val="right"/>
              <w:rPr>
                <w:rFonts w:ascii="Arial" w:hAnsi="Arial" w:cs="Arial"/>
                <w:sz w:val="20"/>
                <w:szCs w:val="20"/>
              </w:rPr>
            </w:pPr>
            <w:r>
              <w:rPr>
                <w:rFonts w:ascii="Arial" w:hAnsi="Arial" w:cs="Arial"/>
                <w:sz w:val="20"/>
                <w:szCs w:val="20"/>
              </w:rPr>
              <w:t>4,405</w:t>
            </w:r>
          </w:p>
        </w:tc>
        <w:tc>
          <w:tcPr>
            <w:tcW w:w="944" w:type="dxa"/>
            <w:tcBorders>
              <w:top w:val="single" w:sz="8" w:space="0" w:color="000000"/>
              <w:bottom w:val="single" w:sz="8" w:space="0" w:color="000000"/>
            </w:tcBorders>
            <w:shd w:val="clear" w:color="auto" w:fill="auto"/>
            <w:vAlign w:val="bottom"/>
          </w:tcPr>
          <w:p w:rsidR="00FA340E" w:rsidRPr="00DE475B" w:rsidRDefault="00FA340E" w:rsidP="001F339E">
            <w:pPr>
              <w:jc w:val="right"/>
              <w:rPr>
                <w:rFonts w:ascii="Arial" w:hAnsi="Arial" w:cs="Arial"/>
                <w:sz w:val="20"/>
                <w:szCs w:val="20"/>
              </w:rPr>
            </w:pPr>
            <w:r w:rsidRPr="00DE475B">
              <w:rPr>
                <w:rFonts w:ascii="Arial" w:hAnsi="Arial" w:cs="Arial"/>
                <w:sz w:val="20"/>
                <w:szCs w:val="20"/>
              </w:rPr>
              <w:t>4,183</w:t>
            </w:r>
          </w:p>
        </w:tc>
        <w:tc>
          <w:tcPr>
            <w:tcW w:w="944" w:type="dxa"/>
            <w:tcBorders>
              <w:top w:val="single" w:sz="8" w:space="0" w:color="000000"/>
              <w:bottom w:val="single" w:sz="8" w:space="0" w:color="000000"/>
            </w:tcBorders>
            <w:shd w:val="clear" w:color="auto" w:fill="auto"/>
            <w:vAlign w:val="bottom"/>
          </w:tcPr>
          <w:p w:rsidR="00FA340E" w:rsidRPr="00DE475B" w:rsidRDefault="003A7735" w:rsidP="001F339E">
            <w:pPr>
              <w:jc w:val="right"/>
              <w:rPr>
                <w:rFonts w:ascii="Arial" w:hAnsi="Arial" w:cs="Arial"/>
                <w:sz w:val="20"/>
                <w:szCs w:val="20"/>
              </w:rPr>
            </w:pPr>
            <w:r>
              <w:rPr>
                <w:rFonts w:ascii="Arial" w:hAnsi="Arial" w:cs="Arial"/>
                <w:sz w:val="20"/>
                <w:szCs w:val="20"/>
              </w:rPr>
              <w:t>4,402</w:t>
            </w:r>
          </w:p>
        </w:tc>
        <w:tc>
          <w:tcPr>
            <w:tcW w:w="944" w:type="dxa"/>
            <w:tcBorders>
              <w:top w:val="single" w:sz="8" w:space="0" w:color="000000"/>
              <w:bottom w:val="single" w:sz="8" w:space="0" w:color="000000"/>
            </w:tcBorders>
            <w:shd w:val="clear" w:color="auto" w:fill="auto"/>
            <w:vAlign w:val="bottom"/>
          </w:tcPr>
          <w:p w:rsidR="00FA340E" w:rsidRPr="00DE475B" w:rsidRDefault="00FA340E" w:rsidP="001F339E">
            <w:pPr>
              <w:jc w:val="right"/>
              <w:rPr>
                <w:rFonts w:ascii="Arial" w:hAnsi="Arial" w:cs="Arial"/>
                <w:sz w:val="20"/>
                <w:szCs w:val="20"/>
              </w:rPr>
            </w:pPr>
            <w:r w:rsidRPr="00DE475B">
              <w:rPr>
                <w:rFonts w:ascii="Arial" w:hAnsi="Arial" w:cs="Arial"/>
                <w:sz w:val="20"/>
                <w:szCs w:val="20"/>
              </w:rPr>
              <w:t>4,183</w:t>
            </w:r>
          </w:p>
        </w:tc>
      </w:tr>
    </w:tbl>
    <w:p w:rsidR="00FA340E" w:rsidRPr="00DE475B" w:rsidRDefault="00FA340E" w:rsidP="002C04F6">
      <w:pPr>
        <w:spacing w:before="240"/>
        <w:rPr>
          <w:rFonts w:ascii="Arial" w:hAnsi="Arial" w:cs="Arial"/>
          <w:i/>
          <w:iCs/>
          <w:sz w:val="20"/>
          <w:szCs w:val="20"/>
        </w:rPr>
      </w:pPr>
      <w:r w:rsidRPr="00DE475B">
        <w:rPr>
          <w:rFonts w:ascii="Arial" w:hAnsi="Arial" w:cs="Arial"/>
          <w:i/>
          <w:iCs/>
          <w:sz w:val="20"/>
          <w:szCs w:val="20"/>
        </w:rPr>
        <w:t>Accounting policy — user charges</w:t>
      </w:r>
    </w:p>
    <w:p w:rsidR="00BA7995" w:rsidRDefault="00BA7995" w:rsidP="00FA340E">
      <w:pPr>
        <w:pStyle w:val="ARbodytext"/>
        <w:rPr>
          <w:rFonts w:eastAsia="Times New Roman"/>
        </w:rPr>
      </w:pPr>
      <w:r w:rsidRPr="00BA7995">
        <w:rPr>
          <w:rFonts w:eastAsia="Times New Roman"/>
        </w:rPr>
        <w:t>User charges controlled by the Library Board are recognised as revenue when the revenue has been earned and can be measured reliably. This occurs when invoices for the related services are issued or when services have been provided. User charges are controlled by the Library Board where they can be deployed for the achievement of the Library Board's objectives.</w:t>
      </w:r>
    </w:p>
    <w:p w:rsidR="00BA7995" w:rsidRDefault="00BA7995" w:rsidP="00FA340E">
      <w:pPr>
        <w:pStyle w:val="ARbodytext"/>
        <w:rPr>
          <w:rFonts w:eastAsia="Times New Roman"/>
        </w:rPr>
      </w:pPr>
    </w:p>
    <w:p w:rsidR="00BA7995" w:rsidRPr="00DE475B" w:rsidRDefault="00BA7995" w:rsidP="00BA7995">
      <w:pPr>
        <w:tabs>
          <w:tab w:val="left" w:pos="284"/>
          <w:tab w:val="left" w:pos="5878"/>
          <w:tab w:val="left" w:pos="8548"/>
          <w:tab w:val="left" w:pos="8770"/>
          <w:tab w:val="left" w:pos="10266"/>
          <w:tab w:val="left" w:pos="11702"/>
        </w:tabs>
        <w:rPr>
          <w:rFonts w:ascii="Arial" w:hAnsi="Arial" w:cs="Arial"/>
          <w:sz w:val="20"/>
          <w:szCs w:val="20"/>
        </w:rPr>
      </w:pPr>
      <w:r w:rsidRPr="00DE475B">
        <w:rPr>
          <w:rFonts w:ascii="Arial" w:hAnsi="Arial" w:cs="Arial"/>
          <w:b/>
          <w:bCs/>
          <w:sz w:val="20"/>
          <w:szCs w:val="20"/>
        </w:rPr>
        <w:t>B1-2 Grants and contributions</w:t>
      </w:r>
    </w:p>
    <w:p w:rsidR="00BA7995" w:rsidRPr="00DE475B" w:rsidRDefault="00BA7995" w:rsidP="00BA7995">
      <w:pPr>
        <w:rPr>
          <w:rFonts w:ascii="Arial" w:hAnsi="Arial" w:cs="Arial"/>
          <w:i/>
          <w:iCs/>
          <w:sz w:val="20"/>
          <w:szCs w:val="20"/>
        </w:rPr>
      </w:pPr>
      <w:r w:rsidRPr="00DE475B">
        <w:rPr>
          <w:rFonts w:ascii="Arial" w:hAnsi="Arial" w:cs="Arial"/>
          <w:i/>
          <w:iCs/>
          <w:sz w:val="20"/>
          <w:szCs w:val="20"/>
        </w:rPr>
        <w:t>Accounting policy — grants and contributions</w:t>
      </w:r>
    </w:p>
    <w:p w:rsidR="00BA7995" w:rsidRPr="00BA7995" w:rsidRDefault="00BA7995" w:rsidP="002C04F6">
      <w:pPr>
        <w:pStyle w:val="ARbodytext"/>
        <w:spacing w:after="120"/>
        <w:rPr>
          <w:rFonts w:eastAsia="Times New Roman"/>
        </w:rPr>
      </w:pPr>
      <w:r w:rsidRPr="00BA7995">
        <w:rPr>
          <w:rFonts w:eastAsia="Times New Roman"/>
        </w:rPr>
        <w:t>Grants, contributions, donations and gifts are non-reciprocal in nature so do not require any goods or services to be provided in return. Corresponding revenue is recognised in the year in which the Library Board obtains control over the grant/contribution/donation (control is generally obtained at the time of receipt).</w:t>
      </w:r>
    </w:p>
    <w:p w:rsidR="00BA7995" w:rsidRPr="007B20B7" w:rsidRDefault="00BA7995" w:rsidP="007B20B7">
      <w:pPr>
        <w:pStyle w:val="ARbodytext"/>
        <w:spacing w:after="120"/>
        <w:rPr>
          <w:rFonts w:eastAsia="Times New Roman"/>
        </w:rPr>
      </w:pPr>
      <w:r w:rsidRPr="00BA7995">
        <w:rPr>
          <w:rFonts w:eastAsia="Times New Roman"/>
        </w:rPr>
        <w:t xml:space="preserve">Contributed assets are recognised at their fair value. </w:t>
      </w:r>
    </w:p>
    <w:tbl>
      <w:tblPr>
        <w:tblW w:w="9020" w:type="dxa"/>
        <w:tblInd w:w="108" w:type="dxa"/>
        <w:tblLook w:val="0000" w:firstRow="0" w:lastRow="0" w:firstColumn="0" w:lastColumn="0" w:noHBand="0" w:noVBand="0"/>
      </w:tblPr>
      <w:tblGrid>
        <w:gridCol w:w="488"/>
        <w:gridCol w:w="1131"/>
        <w:gridCol w:w="995"/>
        <w:gridCol w:w="995"/>
        <w:gridCol w:w="1471"/>
        <w:gridCol w:w="985"/>
        <w:gridCol w:w="985"/>
        <w:gridCol w:w="985"/>
        <w:gridCol w:w="985"/>
      </w:tblGrid>
      <w:tr w:rsidR="00BA7995" w:rsidRPr="00DE475B" w:rsidTr="00BA7995">
        <w:trPr>
          <w:trHeight w:val="255"/>
        </w:trPr>
        <w:tc>
          <w:tcPr>
            <w:tcW w:w="5080" w:type="dxa"/>
            <w:gridSpan w:val="5"/>
            <w:shd w:val="clear" w:color="auto" w:fill="auto"/>
            <w:vAlign w:val="bottom"/>
          </w:tcPr>
          <w:p w:rsidR="00BA7995" w:rsidRPr="00DE475B" w:rsidRDefault="00BA7995" w:rsidP="001F339E">
            <w:pPr>
              <w:snapToGrid w:val="0"/>
              <w:rPr>
                <w:rFonts w:ascii="Arial" w:hAnsi="Arial" w:cs="Arial"/>
                <w:sz w:val="20"/>
                <w:szCs w:val="20"/>
              </w:rPr>
            </w:pPr>
          </w:p>
        </w:tc>
        <w:tc>
          <w:tcPr>
            <w:tcW w:w="1970" w:type="dxa"/>
            <w:gridSpan w:val="2"/>
            <w:shd w:val="clear" w:color="auto" w:fill="auto"/>
            <w:vAlign w:val="bottom"/>
          </w:tcPr>
          <w:p w:rsidR="00BA7995" w:rsidRPr="00DE475B" w:rsidRDefault="00BA7995" w:rsidP="001F339E">
            <w:pPr>
              <w:jc w:val="center"/>
              <w:rPr>
                <w:rFonts w:ascii="Arial" w:hAnsi="Arial" w:cs="Arial"/>
                <w:b/>
                <w:bCs/>
                <w:sz w:val="20"/>
                <w:szCs w:val="20"/>
              </w:rPr>
            </w:pPr>
            <w:r w:rsidRPr="00DE475B">
              <w:rPr>
                <w:rFonts w:ascii="Arial" w:hAnsi="Arial" w:cs="Arial"/>
                <w:b/>
                <w:bCs/>
                <w:sz w:val="20"/>
                <w:szCs w:val="20"/>
              </w:rPr>
              <w:t>Economic Entity</w:t>
            </w:r>
          </w:p>
        </w:tc>
        <w:tc>
          <w:tcPr>
            <w:tcW w:w="1970" w:type="dxa"/>
            <w:gridSpan w:val="2"/>
            <w:shd w:val="clear" w:color="auto" w:fill="auto"/>
            <w:vAlign w:val="bottom"/>
          </w:tcPr>
          <w:p w:rsidR="00BA7995" w:rsidRPr="00DE475B" w:rsidRDefault="00BA7995" w:rsidP="001F339E">
            <w:pPr>
              <w:jc w:val="center"/>
              <w:rPr>
                <w:rFonts w:ascii="Arial" w:hAnsi="Arial" w:cs="Arial"/>
                <w:b/>
                <w:bCs/>
                <w:sz w:val="20"/>
                <w:szCs w:val="20"/>
              </w:rPr>
            </w:pPr>
            <w:r w:rsidRPr="00DE475B">
              <w:rPr>
                <w:rFonts w:ascii="Arial" w:hAnsi="Arial" w:cs="Arial"/>
                <w:b/>
                <w:bCs/>
                <w:sz w:val="20"/>
                <w:szCs w:val="20"/>
              </w:rPr>
              <w:t>Parent Entity</w:t>
            </w:r>
          </w:p>
        </w:tc>
      </w:tr>
      <w:tr w:rsidR="00BA7995" w:rsidRPr="00DE475B" w:rsidTr="00BA7995">
        <w:trPr>
          <w:trHeight w:val="255"/>
        </w:trPr>
        <w:tc>
          <w:tcPr>
            <w:tcW w:w="5080" w:type="dxa"/>
            <w:gridSpan w:val="5"/>
            <w:shd w:val="clear" w:color="auto" w:fill="auto"/>
            <w:vAlign w:val="bottom"/>
          </w:tcPr>
          <w:p w:rsidR="00BA7995" w:rsidRPr="00DE475B" w:rsidRDefault="00BA7995" w:rsidP="001F339E">
            <w:pPr>
              <w:snapToGrid w:val="0"/>
              <w:rPr>
                <w:rFonts w:ascii="Arial" w:hAnsi="Arial" w:cs="Arial"/>
                <w:sz w:val="20"/>
                <w:szCs w:val="20"/>
              </w:rPr>
            </w:pPr>
          </w:p>
        </w:tc>
        <w:tc>
          <w:tcPr>
            <w:tcW w:w="985" w:type="dxa"/>
            <w:shd w:val="clear" w:color="auto" w:fill="auto"/>
            <w:vAlign w:val="bottom"/>
          </w:tcPr>
          <w:p w:rsidR="00BA7995" w:rsidRPr="00DE475B" w:rsidRDefault="00BA7995" w:rsidP="00BA7995">
            <w:pPr>
              <w:jc w:val="right"/>
              <w:rPr>
                <w:rFonts w:ascii="Arial" w:hAnsi="Arial" w:cs="Arial"/>
                <w:b/>
                <w:bCs/>
                <w:sz w:val="20"/>
                <w:szCs w:val="20"/>
              </w:rPr>
            </w:pPr>
            <w:r w:rsidRPr="00DE475B">
              <w:rPr>
                <w:rFonts w:ascii="Arial" w:hAnsi="Arial" w:cs="Arial"/>
                <w:b/>
                <w:bCs/>
                <w:sz w:val="20"/>
                <w:szCs w:val="20"/>
              </w:rPr>
              <w:t>201</w:t>
            </w:r>
            <w:r>
              <w:rPr>
                <w:rFonts w:ascii="Arial" w:hAnsi="Arial" w:cs="Arial"/>
                <w:b/>
                <w:bCs/>
                <w:sz w:val="20"/>
                <w:szCs w:val="20"/>
              </w:rPr>
              <w:t>7</w:t>
            </w:r>
          </w:p>
        </w:tc>
        <w:tc>
          <w:tcPr>
            <w:tcW w:w="985" w:type="dxa"/>
            <w:shd w:val="clear" w:color="auto" w:fill="auto"/>
            <w:vAlign w:val="bottom"/>
          </w:tcPr>
          <w:p w:rsidR="00BA7995" w:rsidRPr="00DE475B" w:rsidRDefault="00BA7995" w:rsidP="00BA7995">
            <w:pPr>
              <w:jc w:val="right"/>
              <w:rPr>
                <w:rFonts w:ascii="Arial" w:hAnsi="Arial" w:cs="Arial"/>
                <w:b/>
                <w:bCs/>
                <w:sz w:val="20"/>
                <w:szCs w:val="20"/>
              </w:rPr>
            </w:pPr>
            <w:r w:rsidRPr="00DE475B">
              <w:rPr>
                <w:rFonts w:ascii="Arial" w:hAnsi="Arial" w:cs="Arial"/>
                <w:b/>
                <w:bCs/>
                <w:sz w:val="20"/>
                <w:szCs w:val="20"/>
              </w:rPr>
              <w:t>201</w:t>
            </w:r>
            <w:r>
              <w:rPr>
                <w:rFonts w:ascii="Arial" w:hAnsi="Arial" w:cs="Arial"/>
                <w:b/>
                <w:bCs/>
                <w:sz w:val="20"/>
                <w:szCs w:val="20"/>
              </w:rPr>
              <w:t>6</w:t>
            </w:r>
          </w:p>
        </w:tc>
        <w:tc>
          <w:tcPr>
            <w:tcW w:w="985" w:type="dxa"/>
            <w:shd w:val="clear" w:color="auto" w:fill="auto"/>
            <w:vAlign w:val="bottom"/>
          </w:tcPr>
          <w:p w:rsidR="00BA7995" w:rsidRPr="00DE475B" w:rsidRDefault="00BA7995" w:rsidP="00BA7995">
            <w:pPr>
              <w:jc w:val="right"/>
              <w:rPr>
                <w:rFonts w:ascii="Arial" w:hAnsi="Arial" w:cs="Arial"/>
                <w:b/>
                <w:bCs/>
                <w:sz w:val="20"/>
                <w:szCs w:val="20"/>
              </w:rPr>
            </w:pPr>
            <w:r w:rsidRPr="00DE475B">
              <w:rPr>
                <w:rFonts w:ascii="Arial" w:hAnsi="Arial" w:cs="Arial"/>
                <w:b/>
                <w:bCs/>
                <w:sz w:val="20"/>
                <w:szCs w:val="20"/>
              </w:rPr>
              <w:t>201</w:t>
            </w:r>
            <w:r>
              <w:rPr>
                <w:rFonts w:ascii="Arial" w:hAnsi="Arial" w:cs="Arial"/>
                <w:b/>
                <w:bCs/>
                <w:sz w:val="20"/>
                <w:szCs w:val="20"/>
              </w:rPr>
              <w:t>7</w:t>
            </w:r>
          </w:p>
        </w:tc>
        <w:tc>
          <w:tcPr>
            <w:tcW w:w="985" w:type="dxa"/>
            <w:shd w:val="clear" w:color="auto" w:fill="auto"/>
            <w:vAlign w:val="bottom"/>
          </w:tcPr>
          <w:p w:rsidR="00BA7995" w:rsidRPr="00DE475B" w:rsidRDefault="00BA7995" w:rsidP="00BA7995">
            <w:pPr>
              <w:jc w:val="right"/>
              <w:rPr>
                <w:rFonts w:ascii="Arial" w:hAnsi="Arial" w:cs="Arial"/>
                <w:b/>
                <w:bCs/>
                <w:sz w:val="20"/>
                <w:szCs w:val="20"/>
              </w:rPr>
            </w:pPr>
            <w:r w:rsidRPr="00DE475B">
              <w:rPr>
                <w:rFonts w:ascii="Arial" w:hAnsi="Arial" w:cs="Arial"/>
                <w:b/>
                <w:bCs/>
                <w:sz w:val="20"/>
                <w:szCs w:val="20"/>
              </w:rPr>
              <w:t>201</w:t>
            </w:r>
            <w:r>
              <w:rPr>
                <w:rFonts w:ascii="Arial" w:hAnsi="Arial" w:cs="Arial"/>
                <w:b/>
                <w:bCs/>
                <w:sz w:val="20"/>
                <w:szCs w:val="20"/>
              </w:rPr>
              <w:t>6</w:t>
            </w:r>
          </w:p>
        </w:tc>
      </w:tr>
      <w:tr w:rsidR="00BA7995" w:rsidRPr="00DE475B" w:rsidTr="00BA7995">
        <w:trPr>
          <w:trHeight w:val="255"/>
        </w:trPr>
        <w:tc>
          <w:tcPr>
            <w:tcW w:w="5080" w:type="dxa"/>
            <w:gridSpan w:val="5"/>
            <w:shd w:val="clear" w:color="auto" w:fill="auto"/>
            <w:vAlign w:val="bottom"/>
          </w:tcPr>
          <w:p w:rsidR="00BA7995" w:rsidRPr="00DE475B" w:rsidRDefault="00BA7995" w:rsidP="001F339E">
            <w:pPr>
              <w:snapToGrid w:val="0"/>
              <w:rPr>
                <w:rFonts w:ascii="Arial" w:hAnsi="Arial" w:cs="Arial"/>
                <w:sz w:val="20"/>
                <w:szCs w:val="20"/>
              </w:rPr>
            </w:pPr>
          </w:p>
        </w:tc>
        <w:tc>
          <w:tcPr>
            <w:tcW w:w="985" w:type="dxa"/>
            <w:shd w:val="clear" w:color="auto" w:fill="auto"/>
            <w:vAlign w:val="bottom"/>
          </w:tcPr>
          <w:p w:rsidR="00BA7995" w:rsidRPr="00DE475B" w:rsidRDefault="00BA7995" w:rsidP="001F339E">
            <w:pPr>
              <w:jc w:val="right"/>
              <w:rPr>
                <w:rFonts w:ascii="Arial" w:hAnsi="Arial" w:cs="Arial"/>
                <w:b/>
                <w:bCs/>
                <w:sz w:val="20"/>
                <w:szCs w:val="20"/>
              </w:rPr>
            </w:pPr>
            <w:r w:rsidRPr="00DE475B">
              <w:rPr>
                <w:rFonts w:ascii="Arial" w:hAnsi="Arial" w:cs="Arial"/>
                <w:b/>
                <w:bCs/>
                <w:sz w:val="20"/>
                <w:szCs w:val="20"/>
              </w:rPr>
              <w:t>$'000</w:t>
            </w:r>
          </w:p>
        </w:tc>
        <w:tc>
          <w:tcPr>
            <w:tcW w:w="985" w:type="dxa"/>
            <w:shd w:val="clear" w:color="auto" w:fill="auto"/>
            <w:vAlign w:val="bottom"/>
          </w:tcPr>
          <w:p w:rsidR="00BA7995" w:rsidRPr="00DE475B" w:rsidRDefault="00BA7995" w:rsidP="001F339E">
            <w:pPr>
              <w:jc w:val="right"/>
              <w:rPr>
                <w:rFonts w:ascii="Arial" w:hAnsi="Arial" w:cs="Arial"/>
                <w:b/>
                <w:bCs/>
                <w:sz w:val="20"/>
                <w:szCs w:val="20"/>
              </w:rPr>
            </w:pPr>
            <w:r w:rsidRPr="00DE475B">
              <w:rPr>
                <w:rFonts w:ascii="Arial" w:hAnsi="Arial" w:cs="Arial"/>
                <w:b/>
                <w:bCs/>
                <w:sz w:val="20"/>
                <w:szCs w:val="20"/>
              </w:rPr>
              <w:t>$'000</w:t>
            </w:r>
          </w:p>
        </w:tc>
        <w:tc>
          <w:tcPr>
            <w:tcW w:w="985" w:type="dxa"/>
            <w:shd w:val="clear" w:color="auto" w:fill="auto"/>
            <w:vAlign w:val="bottom"/>
          </w:tcPr>
          <w:p w:rsidR="00BA7995" w:rsidRPr="00DE475B" w:rsidRDefault="00BA7995" w:rsidP="001F339E">
            <w:pPr>
              <w:jc w:val="right"/>
              <w:rPr>
                <w:rFonts w:ascii="Arial" w:hAnsi="Arial" w:cs="Arial"/>
                <w:b/>
                <w:bCs/>
                <w:sz w:val="20"/>
                <w:szCs w:val="20"/>
              </w:rPr>
            </w:pPr>
            <w:r w:rsidRPr="00DE475B">
              <w:rPr>
                <w:rFonts w:ascii="Arial" w:hAnsi="Arial" w:cs="Arial"/>
                <w:b/>
                <w:bCs/>
                <w:sz w:val="20"/>
                <w:szCs w:val="20"/>
              </w:rPr>
              <w:t>$'000</w:t>
            </w:r>
          </w:p>
        </w:tc>
        <w:tc>
          <w:tcPr>
            <w:tcW w:w="985" w:type="dxa"/>
            <w:shd w:val="clear" w:color="auto" w:fill="auto"/>
            <w:vAlign w:val="bottom"/>
          </w:tcPr>
          <w:p w:rsidR="00BA7995" w:rsidRPr="00DE475B" w:rsidRDefault="00BA7995" w:rsidP="001F339E">
            <w:pPr>
              <w:jc w:val="right"/>
              <w:rPr>
                <w:rFonts w:ascii="Arial" w:hAnsi="Arial" w:cs="Arial"/>
                <w:b/>
                <w:bCs/>
                <w:sz w:val="20"/>
                <w:szCs w:val="20"/>
              </w:rPr>
            </w:pPr>
            <w:r w:rsidRPr="00DE475B">
              <w:rPr>
                <w:rFonts w:ascii="Arial" w:hAnsi="Arial" w:cs="Arial"/>
                <w:b/>
                <w:bCs/>
                <w:sz w:val="20"/>
                <w:szCs w:val="20"/>
              </w:rPr>
              <w:t>$'000</w:t>
            </w:r>
          </w:p>
        </w:tc>
      </w:tr>
      <w:tr w:rsidR="00BA7995" w:rsidRPr="00DE475B" w:rsidTr="00BA7995">
        <w:trPr>
          <w:trHeight w:val="104"/>
        </w:trPr>
        <w:tc>
          <w:tcPr>
            <w:tcW w:w="5080" w:type="dxa"/>
            <w:gridSpan w:val="5"/>
            <w:shd w:val="clear" w:color="auto" w:fill="auto"/>
            <w:vAlign w:val="bottom"/>
          </w:tcPr>
          <w:p w:rsidR="00BA7995" w:rsidRPr="002C04F6" w:rsidRDefault="00BA7995" w:rsidP="001F339E">
            <w:pPr>
              <w:snapToGrid w:val="0"/>
              <w:rPr>
                <w:rFonts w:ascii="Arial" w:hAnsi="Arial" w:cs="Arial"/>
                <w:sz w:val="16"/>
                <w:szCs w:val="16"/>
              </w:rPr>
            </w:pPr>
          </w:p>
        </w:tc>
        <w:tc>
          <w:tcPr>
            <w:tcW w:w="985" w:type="dxa"/>
            <w:shd w:val="clear" w:color="auto" w:fill="auto"/>
            <w:vAlign w:val="center"/>
          </w:tcPr>
          <w:p w:rsidR="00BA7995" w:rsidRPr="002C04F6" w:rsidRDefault="00BA7995" w:rsidP="001F339E">
            <w:pPr>
              <w:jc w:val="right"/>
              <w:rPr>
                <w:rFonts w:ascii="Arial" w:hAnsi="Arial" w:cs="Arial"/>
                <w:sz w:val="16"/>
                <w:szCs w:val="16"/>
              </w:rPr>
            </w:pPr>
          </w:p>
        </w:tc>
        <w:tc>
          <w:tcPr>
            <w:tcW w:w="985" w:type="dxa"/>
            <w:shd w:val="clear" w:color="auto" w:fill="auto"/>
            <w:vAlign w:val="center"/>
          </w:tcPr>
          <w:p w:rsidR="00BA7995" w:rsidRPr="002C04F6" w:rsidRDefault="00BA7995" w:rsidP="001F339E">
            <w:pPr>
              <w:jc w:val="right"/>
              <w:rPr>
                <w:rFonts w:ascii="Arial" w:hAnsi="Arial" w:cs="Arial"/>
                <w:sz w:val="16"/>
                <w:szCs w:val="16"/>
              </w:rPr>
            </w:pPr>
          </w:p>
        </w:tc>
        <w:tc>
          <w:tcPr>
            <w:tcW w:w="985" w:type="dxa"/>
            <w:shd w:val="clear" w:color="auto" w:fill="auto"/>
            <w:vAlign w:val="center"/>
          </w:tcPr>
          <w:p w:rsidR="00BA7995" w:rsidRPr="002C04F6" w:rsidRDefault="00BA7995" w:rsidP="001F339E">
            <w:pPr>
              <w:jc w:val="right"/>
              <w:rPr>
                <w:rFonts w:ascii="Arial" w:hAnsi="Arial" w:cs="Arial"/>
                <w:sz w:val="16"/>
                <w:szCs w:val="16"/>
              </w:rPr>
            </w:pPr>
          </w:p>
        </w:tc>
        <w:tc>
          <w:tcPr>
            <w:tcW w:w="985" w:type="dxa"/>
            <w:shd w:val="clear" w:color="auto" w:fill="auto"/>
            <w:vAlign w:val="center"/>
          </w:tcPr>
          <w:p w:rsidR="00BA7995" w:rsidRPr="002C04F6" w:rsidRDefault="00BA7995" w:rsidP="001F339E">
            <w:pPr>
              <w:jc w:val="right"/>
              <w:rPr>
                <w:rFonts w:ascii="Arial" w:hAnsi="Arial" w:cs="Arial"/>
                <w:sz w:val="16"/>
                <w:szCs w:val="16"/>
              </w:rPr>
            </w:pPr>
          </w:p>
        </w:tc>
      </w:tr>
      <w:tr w:rsidR="00BA7995" w:rsidRPr="00DE475B" w:rsidTr="00BA7995">
        <w:trPr>
          <w:trHeight w:val="255"/>
        </w:trPr>
        <w:tc>
          <w:tcPr>
            <w:tcW w:w="5080" w:type="dxa"/>
            <w:gridSpan w:val="5"/>
            <w:shd w:val="clear" w:color="auto" w:fill="auto"/>
            <w:vAlign w:val="bottom"/>
          </w:tcPr>
          <w:p w:rsidR="00BA7995" w:rsidRPr="00DE475B" w:rsidRDefault="00BA7995" w:rsidP="001F339E">
            <w:pPr>
              <w:snapToGrid w:val="0"/>
              <w:rPr>
                <w:rFonts w:ascii="Arial" w:hAnsi="Arial" w:cs="Arial"/>
                <w:sz w:val="20"/>
                <w:szCs w:val="20"/>
              </w:rPr>
            </w:pPr>
            <w:r w:rsidRPr="00DE475B">
              <w:rPr>
                <w:rFonts w:ascii="Arial" w:hAnsi="Arial" w:cs="Arial"/>
                <w:sz w:val="20"/>
                <w:szCs w:val="20"/>
              </w:rPr>
              <w:t>Recurrent grants</w:t>
            </w:r>
          </w:p>
        </w:tc>
        <w:tc>
          <w:tcPr>
            <w:tcW w:w="985" w:type="dxa"/>
            <w:shd w:val="clear" w:color="auto" w:fill="auto"/>
            <w:vAlign w:val="center"/>
          </w:tcPr>
          <w:p w:rsidR="00BA7995" w:rsidRPr="00DE475B" w:rsidRDefault="003A7735" w:rsidP="001F339E">
            <w:pPr>
              <w:jc w:val="right"/>
              <w:rPr>
                <w:rFonts w:ascii="Arial" w:hAnsi="Arial" w:cs="Arial"/>
                <w:sz w:val="20"/>
                <w:szCs w:val="20"/>
              </w:rPr>
            </w:pPr>
            <w:r>
              <w:rPr>
                <w:rFonts w:ascii="Arial" w:hAnsi="Arial" w:cs="Arial"/>
                <w:sz w:val="20"/>
                <w:szCs w:val="20"/>
              </w:rPr>
              <w:t>62,683</w:t>
            </w:r>
          </w:p>
        </w:tc>
        <w:tc>
          <w:tcPr>
            <w:tcW w:w="985" w:type="dxa"/>
            <w:shd w:val="clear" w:color="auto" w:fill="auto"/>
            <w:vAlign w:val="center"/>
          </w:tcPr>
          <w:p w:rsidR="00BA7995" w:rsidRPr="00DE475B" w:rsidRDefault="00BA7995" w:rsidP="001F339E">
            <w:pPr>
              <w:jc w:val="right"/>
              <w:rPr>
                <w:rFonts w:ascii="Arial" w:hAnsi="Arial" w:cs="Arial"/>
                <w:sz w:val="20"/>
                <w:szCs w:val="20"/>
              </w:rPr>
            </w:pPr>
            <w:r w:rsidRPr="00DE475B">
              <w:rPr>
                <w:rFonts w:ascii="Arial" w:hAnsi="Arial" w:cs="Arial"/>
                <w:sz w:val="20"/>
                <w:szCs w:val="20"/>
              </w:rPr>
              <w:t>62,740</w:t>
            </w:r>
          </w:p>
        </w:tc>
        <w:tc>
          <w:tcPr>
            <w:tcW w:w="985" w:type="dxa"/>
            <w:shd w:val="clear" w:color="auto" w:fill="auto"/>
            <w:vAlign w:val="center"/>
          </w:tcPr>
          <w:p w:rsidR="00BA7995" w:rsidRPr="00DE475B" w:rsidRDefault="003A7735" w:rsidP="001F339E">
            <w:pPr>
              <w:jc w:val="right"/>
              <w:rPr>
                <w:rFonts w:ascii="Arial" w:hAnsi="Arial" w:cs="Arial"/>
                <w:sz w:val="20"/>
                <w:szCs w:val="20"/>
              </w:rPr>
            </w:pPr>
            <w:r>
              <w:rPr>
                <w:rFonts w:ascii="Arial" w:hAnsi="Arial" w:cs="Arial"/>
                <w:sz w:val="20"/>
                <w:szCs w:val="20"/>
              </w:rPr>
              <w:t>62,676</w:t>
            </w:r>
          </w:p>
        </w:tc>
        <w:tc>
          <w:tcPr>
            <w:tcW w:w="985" w:type="dxa"/>
            <w:shd w:val="clear" w:color="auto" w:fill="auto"/>
            <w:vAlign w:val="center"/>
          </w:tcPr>
          <w:p w:rsidR="00BA7995" w:rsidRPr="00DE475B" w:rsidRDefault="00BA7995" w:rsidP="001F339E">
            <w:pPr>
              <w:jc w:val="right"/>
              <w:rPr>
                <w:rFonts w:ascii="Arial" w:hAnsi="Arial" w:cs="Arial"/>
                <w:sz w:val="20"/>
                <w:szCs w:val="20"/>
              </w:rPr>
            </w:pPr>
            <w:r w:rsidRPr="00DE475B">
              <w:rPr>
                <w:rFonts w:ascii="Arial" w:hAnsi="Arial" w:cs="Arial"/>
                <w:sz w:val="20"/>
                <w:szCs w:val="20"/>
              </w:rPr>
              <w:t>62,740</w:t>
            </w:r>
          </w:p>
        </w:tc>
      </w:tr>
      <w:tr w:rsidR="00BA7995" w:rsidRPr="00DE475B" w:rsidTr="00BA7995">
        <w:trPr>
          <w:trHeight w:val="255"/>
        </w:trPr>
        <w:tc>
          <w:tcPr>
            <w:tcW w:w="5080" w:type="dxa"/>
            <w:gridSpan w:val="5"/>
            <w:shd w:val="clear" w:color="auto" w:fill="auto"/>
            <w:vAlign w:val="bottom"/>
          </w:tcPr>
          <w:p w:rsidR="00BA7995" w:rsidRPr="00DE475B" w:rsidRDefault="00BA7995" w:rsidP="001F339E">
            <w:pPr>
              <w:snapToGrid w:val="0"/>
              <w:rPr>
                <w:rFonts w:ascii="Arial" w:hAnsi="Arial" w:cs="Arial"/>
                <w:sz w:val="20"/>
                <w:szCs w:val="20"/>
              </w:rPr>
            </w:pPr>
            <w:r w:rsidRPr="00DE475B">
              <w:rPr>
                <w:rFonts w:ascii="Arial" w:hAnsi="Arial" w:cs="Arial"/>
                <w:sz w:val="20"/>
                <w:szCs w:val="20"/>
              </w:rPr>
              <w:t>Commonwealth grants</w:t>
            </w:r>
          </w:p>
        </w:tc>
        <w:tc>
          <w:tcPr>
            <w:tcW w:w="985" w:type="dxa"/>
            <w:shd w:val="clear" w:color="auto" w:fill="auto"/>
            <w:vAlign w:val="center"/>
          </w:tcPr>
          <w:p w:rsidR="00BA7995" w:rsidRPr="00DE475B" w:rsidRDefault="003A7735" w:rsidP="001F339E">
            <w:pPr>
              <w:jc w:val="right"/>
              <w:rPr>
                <w:rFonts w:ascii="Arial" w:hAnsi="Arial" w:cs="Arial"/>
                <w:sz w:val="20"/>
                <w:szCs w:val="20"/>
              </w:rPr>
            </w:pPr>
            <w:r>
              <w:rPr>
                <w:rFonts w:ascii="Arial" w:hAnsi="Arial" w:cs="Arial"/>
                <w:sz w:val="20"/>
                <w:szCs w:val="20"/>
              </w:rPr>
              <w:t>150</w:t>
            </w:r>
          </w:p>
        </w:tc>
        <w:tc>
          <w:tcPr>
            <w:tcW w:w="985" w:type="dxa"/>
            <w:shd w:val="clear" w:color="auto" w:fill="auto"/>
            <w:vAlign w:val="center"/>
          </w:tcPr>
          <w:p w:rsidR="00BA7995" w:rsidRPr="00DE475B" w:rsidRDefault="00BA7995" w:rsidP="001F339E">
            <w:pPr>
              <w:jc w:val="right"/>
              <w:rPr>
                <w:rFonts w:ascii="Arial" w:hAnsi="Arial" w:cs="Arial"/>
                <w:sz w:val="20"/>
                <w:szCs w:val="20"/>
              </w:rPr>
            </w:pPr>
            <w:r w:rsidRPr="00DE475B">
              <w:rPr>
                <w:rFonts w:ascii="Arial" w:hAnsi="Arial" w:cs="Arial"/>
                <w:sz w:val="20"/>
                <w:szCs w:val="20"/>
              </w:rPr>
              <w:t>65</w:t>
            </w:r>
          </w:p>
        </w:tc>
        <w:tc>
          <w:tcPr>
            <w:tcW w:w="985" w:type="dxa"/>
            <w:shd w:val="clear" w:color="auto" w:fill="auto"/>
            <w:vAlign w:val="center"/>
          </w:tcPr>
          <w:p w:rsidR="00BA7995" w:rsidRPr="00DE475B" w:rsidRDefault="003A7735" w:rsidP="001F339E">
            <w:pPr>
              <w:jc w:val="right"/>
              <w:rPr>
                <w:rFonts w:ascii="Arial" w:hAnsi="Arial" w:cs="Arial"/>
                <w:sz w:val="20"/>
                <w:szCs w:val="20"/>
              </w:rPr>
            </w:pPr>
            <w:r>
              <w:rPr>
                <w:rFonts w:ascii="Arial" w:hAnsi="Arial" w:cs="Arial"/>
                <w:sz w:val="20"/>
                <w:szCs w:val="20"/>
              </w:rPr>
              <w:t>150</w:t>
            </w:r>
          </w:p>
        </w:tc>
        <w:tc>
          <w:tcPr>
            <w:tcW w:w="985" w:type="dxa"/>
            <w:shd w:val="clear" w:color="auto" w:fill="auto"/>
            <w:vAlign w:val="center"/>
          </w:tcPr>
          <w:p w:rsidR="00BA7995" w:rsidRPr="00DE475B" w:rsidRDefault="00BA7995" w:rsidP="001F339E">
            <w:pPr>
              <w:jc w:val="right"/>
              <w:rPr>
                <w:rFonts w:ascii="Arial" w:hAnsi="Arial" w:cs="Arial"/>
                <w:sz w:val="20"/>
                <w:szCs w:val="20"/>
              </w:rPr>
            </w:pPr>
            <w:r w:rsidRPr="00DE475B">
              <w:rPr>
                <w:rFonts w:ascii="Arial" w:hAnsi="Arial" w:cs="Arial"/>
                <w:sz w:val="20"/>
                <w:szCs w:val="20"/>
              </w:rPr>
              <w:t>65</w:t>
            </w:r>
          </w:p>
        </w:tc>
      </w:tr>
      <w:tr w:rsidR="00BA7995" w:rsidRPr="00DE475B" w:rsidTr="00BA7995">
        <w:trPr>
          <w:trHeight w:val="255"/>
        </w:trPr>
        <w:tc>
          <w:tcPr>
            <w:tcW w:w="5080" w:type="dxa"/>
            <w:gridSpan w:val="5"/>
            <w:shd w:val="clear" w:color="auto" w:fill="auto"/>
            <w:vAlign w:val="bottom"/>
          </w:tcPr>
          <w:p w:rsidR="00BA7995" w:rsidRPr="00DE475B" w:rsidRDefault="00BA7995" w:rsidP="001F339E">
            <w:pPr>
              <w:rPr>
                <w:rFonts w:ascii="Arial" w:hAnsi="Arial" w:cs="Arial"/>
                <w:sz w:val="20"/>
                <w:szCs w:val="20"/>
              </w:rPr>
            </w:pPr>
            <w:r w:rsidRPr="00DE475B">
              <w:rPr>
                <w:rFonts w:ascii="Arial" w:hAnsi="Arial" w:cs="Arial"/>
                <w:sz w:val="20"/>
                <w:szCs w:val="20"/>
              </w:rPr>
              <w:t>Queensland Library Foundation projects</w:t>
            </w:r>
          </w:p>
        </w:tc>
        <w:tc>
          <w:tcPr>
            <w:tcW w:w="985" w:type="dxa"/>
            <w:shd w:val="clear" w:color="auto" w:fill="auto"/>
            <w:vAlign w:val="center"/>
          </w:tcPr>
          <w:p w:rsidR="00BA7995" w:rsidRPr="00DE475B" w:rsidRDefault="003A7735" w:rsidP="001F339E">
            <w:pPr>
              <w:jc w:val="right"/>
              <w:rPr>
                <w:rFonts w:ascii="Arial" w:hAnsi="Arial" w:cs="Arial"/>
                <w:sz w:val="20"/>
                <w:szCs w:val="20"/>
              </w:rPr>
            </w:pPr>
            <w:r>
              <w:rPr>
                <w:rFonts w:ascii="Arial" w:hAnsi="Arial" w:cs="Arial"/>
                <w:sz w:val="20"/>
                <w:szCs w:val="20"/>
              </w:rPr>
              <w:t>-</w:t>
            </w:r>
          </w:p>
        </w:tc>
        <w:tc>
          <w:tcPr>
            <w:tcW w:w="985" w:type="dxa"/>
            <w:shd w:val="clear" w:color="auto" w:fill="auto"/>
            <w:vAlign w:val="center"/>
          </w:tcPr>
          <w:p w:rsidR="00BA7995" w:rsidRPr="00DE475B" w:rsidRDefault="00BA7995" w:rsidP="001F339E">
            <w:pPr>
              <w:jc w:val="right"/>
              <w:rPr>
                <w:rFonts w:ascii="Arial" w:hAnsi="Arial" w:cs="Arial"/>
                <w:sz w:val="20"/>
                <w:szCs w:val="20"/>
              </w:rPr>
            </w:pPr>
            <w:r w:rsidRPr="00DE475B">
              <w:rPr>
                <w:rFonts w:ascii="Arial" w:hAnsi="Arial" w:cs="Arial"/>
                <w:sz w:val="20"/>
                <w:szCs w:val="20"/>
              </w:rPr>
              <w:t>-</w:t>
            </w:r>
          </w:p>
        </w:tc>
        <w:tc>
          <w:tcPr>
            <w:tcW w:w="985" w:type="dxa"/>
            <w:shd w:val="clear" w:color="auto" w:fill="auto"/>
            <w:vAlign w:val="center"/>
          </w:tcPr>
          <w:p w:rsidR="00BA7995" w:rsidRPr="00DE475B" w:rsidRDefault="003A7735" w:rsidP="001F339E">
            <w:pPr>
              <w:jc w:val="right"/>
              <w:rPr>
                <w:rFonts w:ascii="Arial" w:hAnsi="Arial" w:cs="Arial"/>
                <w:sz w:val="20"/>
                <w:szCs w:val="20"/>
              </w:rPr>
            </w:pPr>
            <w:r>
              <w:rPr>
                <w:rFonts w:ascii="Arial" w:hAnsi="Arial" w:cs="Arial"/>
                <w:sz w:val="20"/>
                <w:szCs w:val="20"/>
              </w:rPr>
              <w:t>1,074</w:t>
            </w:r>
          </w:p>
        </w:tc>
        <w:tc>
          <w:tcPr>
            <w:tcW w:w="985" w:type="dxa"/>
            <w:shd w:val="clear" w:color="auto" w:fill="auto"/>
            <w:vAlign w:val="center"/>
          </w:tcPr>
          <w:p w:rsidR="00BA7995" w:rsidRPr="00DE475B" w:rsidRDefault="00BA7995" w:rsidP="001F339E">
            <w:pPr>
              <w:jc w:val="right"/>
              <w:rPr>
                <w:rFonts w:ascii="Arial" w:hAnsi="Arial" w:cs="Arial"/>
                <w:sz w:val="20"/>
                <w:szCs w:val="20"/>
              </w:rPr>
            </w:pPr>
            <w:r w:rsidRPr="00DE475B">
              <w:rPr>
                <w:rFonts w:ascii="Arial" w:hAnsi="Arial" w:cs="Arial"/>
                <w:sz w:val="20"/>
                <w:szCs w:val="20"/>
              </w:rPr>
              <w:t>1,057</w:t>
            </w:r>
          </w:p>
        </w:tc>
      </w:tr>
      <w:tr w:rsidR="00BA7995" w:rsidRPr="00DE475B" w:rsidTr="00BA7995">
        <w:trPr>
          <w:trHeight w:val="255"/>
        </w:trPr>
        <w:tc>
          <w:tcPr>
            <w:tcW w:w="5080" w:type="dxa"/>
            <w:gridSpan w:val="5"/>
            <w:shd w:val="clear" w:color="auto" w:fill="auto"/>
            <w:vAlign w:val="bottom"/>
          </w:tcPr>
          <w:p w:rsidR="00BA7995" w:rsidRPr="00DE475B" w:rsidRDefault="00BA7995" w:rsidP="001F339E">
            <w:pPr>
              <w:snapToGrid w:val="0"/>
              <w:rPr>
                <w:rFonts w:ascii="Arial" w:hAnsi="Arial" w:cs="Arial"/>
                <w:sz w:val="20"/>
                <w:szCs w:val="20"/>
              </w:rPr>
            </w:pPr>
            <w:r w:rsidRPr="00DE475B">
              <w:rPr>
                <w:rFonts w:ascii="Arial" w:hAnsi="Arial" w:cs="Arial"/>
                <w:sz w:val="20"/>
                <w:szCs w:val="20"/>
              </w:rPr>
              <w:t>Endowments</w:t>
            </w:r>
          </w:p>
        </w:tc>
        <w:tc>
          <w:tcPr>
            <w:tcW w:w="985" w:type="dxa"/>
            <w:shd w:val="clear" w:color="auto" w:fill="auto"/>
            <w:vAlign w:val="center"/>
          </w:tcPr>
          <w:p w:rsidR="00BA7995" w:rsidRPr="00DE475B" w:rsidRDefault="003A7735" w:rsidP="001F339E">
            <w:pPr>
              <w:jc w:val="right"/>
              <w:rPr>
                <w:rFonts w:ascii="Arial" w:hAnsi="Arial" w:cs="Arial"/>
                <w:sz w:val="20"/>
                <w:szCs w:val="20"/>
              </w:rPr>
            </w:pPr>
            <w:r>
              <w:rPr>
                <w:rFonts w:ascii="Arial" w:hAnsi="Arial" w:cs="Arial"/>
                <w:sz w:val="20"/>
                <w:szCs w:val="20"/>
              </w:rPr>
              <w:t>-</w:t>
            </w:r>
          </w:p>
        </w:tc>
        <w:tc>
          <w:tcPr>
            <w:tcW w:w="985" w:type="dxa"/>
            <w:shd w:val="clear" w:color="auto" w:fill="auto"/>
            <w:vAlign w:val="center"/>
          </w:tcPr>
          <w:p w:rsidR="00BA7995" w:rsidRPr="00DE475B" w:rsidRDefault="00BA7995" w:rsidP="001F339E">
            <w:pPr>
              <w:jc w:val="right"/>
              <w:rPr>
                <w:rFonts w:ascii="Arial" w:hAnsi="Arial" w:cs="Arial"/>
                <w:sz w:val="20"/>
                <w:szCs w:val="20"/>
              </w:rPr>
            </w:pPr>
            <w:r w:rsidRPr="00DE475B">
              <w:rPr>
                <w:rFonts w:ascii="Arial" w:hAnsi="Arial" w:cs="Arial"/>
                <w:sz w:val="20"/>
                <w:szCs w:val="20"/>
              </w:rPr>
              <w:t>50</w:t>
            </w:r>
          </w:p>
        </w:tc>
        <w:tc>
          <w:tcPr>
            <w:tcW w:w="985" w:type="dxa"/>
            <w:shd w:val="clear" w:color="auto" w:fill="auto"/>
            <w:vAlign w:val="center"/>
          </w:tcPr>
          <w:p w:rsidR="00BA7995" w:rsidRPr="00DE475B" w:rsidRDefault="003A7735" w:rsidP="001F339E">
            <w:pPr>
              <w:jc w:val="right"/>
              <w:rPr>
                <w:rFonts w:ascii="Arial" w:hAnsi="Arial" w:cs="Arial"/>
                <w:sz w:val="20"/>
                <w:szCs w:val="20"/>
              </w:rPr>
            </w:pPr>
            <w:r>
              <w:rPr>
                <w:rFonts w:ascii="Arial" w:hAnsi="Arial" w:cs="Arial"/>
                <w:sz w:val="20"/>
                <w:szCs w:val="20"/>
              </w:rPr>
              <w:t>-</w:t>
            </w:r>
          </w:p>
        </w:tc>
        <w:tc>
          <w:tcPr>
            <w:tcW w:w="985" w:type="dxa"/>
            <w:shd w:val="clear" w:color="auto" w:fill="auto"/>
            <w:vAlign w:val="center"/>
          </w:tcPr>
          <w:p w:rsidR="00BA7995" w:rsidRPr="00DE475B" w:rsidRDefault="00BA7995" w:rsidP="001F339E">
            <w:pPr>
              <w:jc w:val="right"/>
              <w:rPr>
                <w:rFonts w:ascii="Arial" w:hAnsi="Arial" w:cs="Arial"/>
                <w:sz w:val="20"/>
                <w:szCs w:val="20"/>
              </w:rPr>
            </w:pPr>
            <w:r w:rsidRPr="00DE475B">
              <w:rPr>
                <w:rFonts w:ascii="Arial" w:hAnsi="Arial" w:cs="Arial"/>
                <w:sz w:val="20"/>
                <w:szCs w:val="20"/>
              </w:rPr>
              <w:t>-</w:t>
            </w:r>
          </w:p>
        </w:tc>
      </w:tr>
      <w:tr w:rsidR="00BA7995" w:rsidRPr="00DE475B" w:rsidTr="00BA7995">
        <w:trPr>
          <w:trHeight w:val="255"/>
        </w:trPr>
        <w:tc>
          <w:tcPr>
            <w:tcW w:w="5080" w:type="dxa"/>
            <w:gridSpan w:val="5"/>
            <w:shd w:val="clear" w:color="auto" w:fill="auto"/>
            <w:vAlign w:val="bottom"/>
          </w:tcPr>
          <w:p w:rsidR="00BA7995" w:rsidRPr="00DE475B" w:rsidRDefault="00BA7995" w:rsidP="001F339E">
            <w:pPr>
              <w:rPr>
                <w:rFonts w:ascii="Arial" w:hAnsi="Arial" w:cs="Arial"/>
                <w:sz w:val="20"/>
                <w:szCs w:val="20"/>
              </w:rPr>
            </w:pPr>
            <w:r w:rsidRPr="00DE475B">
              <w:rPr>
                <w:rFonts w:ascii="Arial" w:hAnsi="Arial" w:cs="Arial"/>
                <w:sz w:val="20"/>
                <w:szCs w:val="20"/>
              </w:rPr>
              <w:t>Donations and industry contributions</w:t>
            </w:r>
          </w:p>
        </w:tc>
        <w:tc>
          <w:tcPr>
            <w:tcW w:w="985" w:type="dxa"/>
            <w:shd w:val="clear" w:color="auto" w:fill="auto"/>
            <w:vAlign w:val="center"/>
          </w:tcPr>
          <w:p w:rsidR="00BA7995" w:rsidRPr="00DE475B" w:rsidRDefault="003A7735" w:rsidP="001F339E">
            <w:pPr>
              <w:jc w:val="right"/>
              <w:rPr>
                <w:rFonts w:ascii="Arial" w:hAnsi="Arial" w:cs="Arial"/>
                <w:sz w:val="20"/>
                <w:szCs w:val="20"/>
              </w:rPr>
            </w:pPr>
            <w:r>
              <w:rPr>
                <w:rFonts w:ascii="Arial" w:hAnsi="Arial" w:cs="Arial"/>
                <w:sz w:val="20"/>
                <w:szCs w:val="20"/>
              </w:rPr>
              <w:t>2,389</w:t>
            </w:r>
          </w:p>
        </w:tc>
        <w:tc>
          <w:tcPr>
            <w:tcW w:w="985" w:type="dxa"/>
            <w:shd w:val="clear" w:color="auto" w:fill="auto"/>
            <w:vAlign w:val="center"/>
          </w:tcPr>
          <w:p w:rsidR="00BA7995" w:rsidRPr="00DE475B" w:rsidRDefault="00BA7995" w:rsidP="001F339E">
            <w:pPr>
              <w:jc w:val="right"/>
              <w:rPr>
                <w:rFonts w:ascii="Arial" w:hAnsi="Arial" w:cs="Arial"/>
                <w:sz w:val="20"/>
                <w:szCs w:val="20"/>
              </w:rPr>
            </w:pPr>
            <w:r w:rsidRPr="00DE475B">
              <w:rPr>
                <w:rFonts w:ascii="Arial" w:hAnsi="Arial" w:cs="Arial"/>
                <w:sz w:val="20"/>
                <w:szCs w:val="20"/>
              </w:rPr>
              <w:t>2,545</w:t>
            </w:r>
          </w:p>
        </w:tc>
        <w:tc>
          <w:tcPr>
            <w:tcW w:w="985" w:type="dxa"/>
            <w:shd w:val="clear" w:color="auto" w:fill="auto"/>
            <w:vAlign w:val="center"/>
          </w:tcPr>
          <w:p w:rsidR="00BA7995" w:rsidRPr="00DE475B" w:rsidRDefault="003A7735" w:rsidP="001F339E">
            <w:pPr>
              <w:jc w:val="right"/>
              <w:rPr>
                <w:rFonts w:ascii="Arial" w:hAnsi="Arial" w:cs="Arial"/>
                <w:sz w:val="20"/>
                <w:szCs w:val="20"/>
              </w:rPr>
            </w:pPr>
            <w:r>
              <w:rPr>
                <w:rFonts w:ascii="Arial" w:hAnsi="Arial" w:cs="Arial"/>
                <w:sz w:val="20"/>
                <w:szCs w:val="20"/>
              </w:rPr>
              <w:t>1,524</w:t>
            </w:r>
          </w:p>
        </w:tc>
        <w:tc>
          <w:tcPr>
            <w:tcW w:w="985" w:type="dxa"/>
            <w:shd w:val="clear" w:color="auto" w:fill="auto"/>
            <w:vAlign w:val="center"/>
          </w:tcPr>
          <w:p w:rsidR="00BA7995" w:rsidRPr="00DE475B" w:rsidRDefault="00BA7995" w:rsidP="001F339E">
            <w:pPr>
              <w:jc w:val="right"/>
              <w:rPr>
                <w:rFonts w:ascii="Arial" w:hAnsi="Arial" w:cs="Arial"/>
                <w:sz w:val="20"/>
                <w:szCs w:val="20"/>
              </w:rPr>
            </w:pPr>
            <w:r w:rsidRPr="00DE475B">
              <w:rPr>
                <w:rFonts w:ascii="Arial" w:hAnsi="Arial" w:cs="Arial"/>
                <w:sz w:val="20"/>
                <w:szCs w:val="20"/>
              </w:rPr>
              <w:t>1,752</w:t>
            </w:r>
          </w:p>
        </w:tc>
      </w:tr>
      <w:tr w:rsidR="00BA7995" w:rsidRPr="00DE475B" w:rsidTr="00BA7995">
        <w:trPr>
          <w:trHeight w:val="255"/>
        </w:trPr>
        <w:tc>
          <w:tcPr>
            <w:tcW w:w="5080" w:type="dxa"/>
            <w:gridSpan w:val="5"/>
            <w:shd w:val="clear" w:color="auto" w:fill="auto"/>
            <w:vAlign w:val="bottom"/>
          </w:tcPr>
          <w:p w:rsidR="00BA7995" w:rsidRPr="00DE475B" w:rsidRDefault="00BA7995" w:rsidP="001F339E">
            <w:pPr>
              <w:snapToGrid w:val="0"/>
              <w:rPr>
                <w:rFonts w:ascii="Arial" w:hAnsi="Arial" w:cs="Arial"/>
                <w:sz w:val="20"/>
                <w:szCs w:val="20"/>
              </w:rPr>
            </w:pPr>
            <w:r w:rsidRPr="00DE475B">
              <w:rPr>
                <w:rFonts w:ascii="Arial" w:hAnsi="Arial" w:cs="Arial"/>
                <w:sz w:val="20"/>
                <w:szCs w:val="20"/>
              </w:rPr>
              <w:t>Goods received below fair value</w:t>
            </w:r>
          </w:p>
        </w:tc>
        <w:tc>
          <w:tcPr>
            <w:tcW w:w="985" w:type="dxa"/>
            <w:shd w:val="clear" w:color="auto" w:fill="auto"/>
            <w:vAlign w:val="center"/>
          </w:tcPr>
          <w:p w:rsidR="00BA7995" w:rsidRPr="00DE475B" w:rsidRDefault="003A7735" w:rsidP="001F339E">
            <w:pPr>
              <w:jc w:val="right"/>
              <w:rPr>
                <w:rFonts w:ascii="Arial" w:hAnsi="Arial" w:cs="Arial"/>
                <w:sz w:val="20"/>
                <w:szCs w:val="20"/>
              </w:rPr>
            </w:pPr>
            <w:r>
              <w:rPr>
                <w:rFonts w:ascii="Arial" w:hAnsi="Arial" w:cs="Arial"/>
                <w:sz w:val="20"/>
                <w:szCs w:val="20"/>
              </w:rPr>
              <w:t>2,385</w:t>
            </w:r>
          </w:p>
        </w:tc>
        <w:tc>
          <w:tcPr>
            <w:tcW w:w="985" w:type="dxa"/>
            <w:shd w:val="clear" w:color="auto" w:fill="auto"/>
            <w:vAlign w:val="center"/>
          </w:tcPr>
          <w:p w:rsidR="00BA7995" w:rsidRPr="00DE475B" w:rsidRDefault="00BA7995" w:rsidP="001F339E">
            <w:pPr>
              <w:jc w:val="right"/>
              <w:rPr>
                <w:rFonts w:ascii="Arial" w:hAnsi="Arial" w:cs="Arial"/>
                <w:sz w:val="20"/>
                <w:szCs w:val="20"/>
              </w:rPr>
            </w:pPr>
            <w:r w:rsidRPr="00DE475B">
              <w:rPr>
                <w:rFonts w:ascii="Arial" w:hAnsi="Arial" w:cs="Arial"/>
                <w:sz w:val="20"/>
                <w:szCs w:val="20"/>
              </w:rPr>
              <w:t>2,617</w:t>
            </w:r>
          </w:p>
        </w:tc>
        <w:tc>
          <w:tcPr>
            <w:tcW w:w="985" w:type="dxa"/>
            <w:shd w:val="clear" w:color="auto" w:fill="auto"/>
            <w:vAlign w:val="center"/>
          </w:tcPr>
          <w:p w:rsidR="00BA7995" w:rsidRPr="00DE475B" w:rsidRDefault="003A7735" w:rsidP="001F339E">
            <w:pPr>
              <w:jc w:val="right"/>
              <w:rPr>
                <w:rFonts w:ascii="Arial" w:hAnsi="Arial" w:cs="Arial"/>
                <w:sz w:val="20"/>
                <w:szCs w:val="20"/>
              </w:rPr>
            </w:pPr>
            <w:r>
              <w:rPr>
                <w:rFonts w:ascii="Arial" w:hAnsi="Arial" w:cs="Arial"/>
                <w:sz w:val="20"/>
                <w:szCs w:val="20"/>
              </w:rPr>
              <w:t>2,385</w:t>
            </w:r>
          </w:p>
        </w:tc>
        <w:tc>
          <w:tcPr>
            <w:tcW w:w="985" w:type="dxa"/>
            <w:shd w:val="clear" w:color="auto" w:fill="auto"/>
            <w:vAlign w:val="center"/>
          </w:tcPr>
          <w:p w:rsidR="00BA7995" w:rsidRPr="00DE475B" w:rsidRDefault="00BA7995" w:rsidP="001F339E">
            <w:pPr>
              <w:jc w:val="right"/>
              <w:rPr>
                <w:rFonts w:ascii="Arial" w:hAnsi="Arial" w:cs="Arial"/>
                <w:sz w:val="20"/>
                <w:szCs w:val="20"/>
              </w:rPr>
            </w:pPr>
            <w:r w:rsidRPr="00DE475B">
              <w:rPr>
                <w:rFonts w:ascii="Arial" w:hAnsi="Arial" w:cs="Arial"/>
                <w:sz w:val="20"/>
                <w:szCs w:val="20"/>
              </w:rPr>
              <w:t>2,617</w:t>
            </w:r>
          </w:p>
        </w:tc>
      </w:tr>
      <w:tr w:rsidR="00BA7995" w:rsidRPr="00DE475B" w:rsidTr="00BA7995">
        <w:trPr>
          <w:trHeight w:val="255"/>
        </w:trPr>
        <w:tc>
          <w:tcPr>
            <w:tcW w:w="5080" w:type="dxa"/>
            <w:gridSpan w:val="5"/>
            <w:shd w:val="clear" w:color="auto" w:fill="auto"/>
            <w:vAlign w:val="bottom"/>
          </w:tcPr>
          <w:p w:rsidR="00BA7995" w:rsidRPr="00DE475B" w:rsidRDefault="00BA7995" w:rsidP="00BA7995">
            <w:pPr>
              <w:snapToGrid w:val="0"/>
              <w:rPr>
                <w:rFonts w:ascii="Arial" w:hAnsi="Arial" w:cs="Arial"/>
                <w:sz w:val="20"/>
                <w:szCs w:val="20"/>
              </w:rPr>
            </w:pPr>
            <w:r w:rsidRPr="00DE475B">
              <w:rPr>
                <w:rFonts w:ascii="Arial" w:hAnsi="Arial" w:cs="Arial"/>
                <w:sz w:val="20"/>
                <w:szCs w:val="20"/>
              </w:rPr>
              <w:t>Operating lease rental — received below fair value</w:t>
            </w:r>
          </w:p>
        </w:tc>
        <w:tc>
          <w:tcPr>
            <w:tcW w:w="985" w:type="dxa"/>
            <w:shd w:val="clear" w:color="auto" w:fill="auto"/>
            <w:vAlign w:val="center"/>
          </w:tcPr>
          <w:p w:rsidR="00BA7995" w:rsidRPr="00DE475B" w:rsidRDefault="003A7735" w:rsidP="001F339E">
            <w:pPr>
              <w:jc w:val="right"/>
              <w:rPr>
                <w:rFonts w:ascii="Arial" w:hAnsi="Arial" w:cs="Arial"/>
                <w:sz w:val="20"/>
                <w:szCs w:val="20"/>
              </w:rPr>
            </w:pPr>
            <w:r>
              <w:rPr>
                <w:rFonts w:ascii="Arial" w:hAnsi="Arial" w:cs="Arial"/>
                <w:sz w:val="20"/>
                <w:szCs w:val="20"/>
              </w:rPr>
              <w:t>7,178</w:t>
            </w:r>
          </w:p>
        </w:tc>
        <w:tc>
          <w:tcPr>
            <w:tcW w:w="985" w:type="dxa"/>
            <w:shd w:val="clear" w:color="auto" w:fill="auto"/>
            <w:vAlign w:val="center"/>
          </w:tcPr>
          <w:p w:rsidR="00BA7995" w:rsidRPr="00DE475B" w:rsidRDefault="00BA7995" w:rsidP="001F339E">
            <w:pPr>
              <w:jc w:val="right"/>
              <w:rPr>
                <w:rFonts w:ascii="Arial" w:hAnsi="Arial" w:cs="Arial"/>
                <w:sz w:val="20"/>
                <w:szCs w:val="20"/>
              </w:rPr>
            </w:pPr>
            <w:r w:rsidRPr="00DE475B">
              <w:rPr>
                <w:rFonts w:ascii="Arial" w:hAnsi="Arial" w:cs="Arial"/>
                <w:sz w:val="20"/>
                <w:szCs w:val="20"/>
              </w:rPr>
              <w:t xml:space="preserve">7,219 </w:t>
            </w:r>
          </w:p>
        </w:tc>
        <w:tc>
          <w:tcPr>
            <w:tcW w:w="985" w:type="dxa"/>
            <w:shd w:val="clear" w:color="auto" w:fill="auto"/>
            <w:vAlign w:val="center"/>
          </w:tcPr>
          <w:p w:rsidR="00BA7995" w:rsidRPr="00DE475B" w:rsidRDefault="003A7735" w:rsidP="001F339E">
            <w:pPr>
              <w:jc w:val="right"/>
              <w:rPr>
                <w:rFonts w:ascii="Arial" w:hAnsi="Arial" w:cs="Arial"/>
                <w:sz w:val="20"/>
                <w:szCs w:val="20"/>
              </w:rPr>
            </w:pPr>
            <w:r>
              <w:rPr>
                <w:rFonts w:ascii="Arial" w:hAnsi="Arial" w:cs="Arial"/>
                <w:sz w:val="20"/>
                <w:szCs w:val="20"/>
              </w:rPr>
              <w:t>7,178</w:t>
            </w:r>
          </w:p>
        </w:tc>
        <w:tc>
          <w:tcPr>
            <w:tcW w:w="985" w:type="dxa"/>
            <w:shd w:val="clear" w:color="auto" w:fill="auto"/>
            <w:vAlign w:val="center"/>
          </w:tcPr>
          <w:p w:rsidR="00BA7995" w:rsidRPr="00DE475B" w:rsidRDefault="00BA7995" w:rsidP="001F339E">
            <w:pPr>
              <w:jc w:val="right"/>
              <w:rPr>
                <w:rFonts w:ascii="Arial" w:hAnsi="Arial" w:cs="Arial"/>
                <w:sz w:val="20"/>
                <w:szCs w:val="20"/>
              </w:rPr>
            </w:pPr>
            <w:r w:rsidRPr="00DE475B">
              <w:rPr>
                <w:rFonts w:ascii="Arial" w:hAnsi="Arial" w:cs="Arial"/>
                <w:sz w:val="20"/>
                <w:szCs w:val="20"/>
              </w:rPr>
              <w:t xml:space="preserve">7,219 </w:t>
            </w:r>
          </w:p>
        </w:tc>
      </w:tr>
      <w:tr w:rsidR="00BA7995" w:rsidRPr="00DE475B" w:rsidTr="00BA7995">
        <w:trPr>
          <w:trHeight w:val="120"/>
        </w:trPr>
        <w:tc>
          <w:tcPr>
            <w:tcW w:w="488" w:type="dxa"/>
            <w:shd w:val="clear" w:color="auto" w:fill="auto"/>
            <w:vAlign w:val="bottom"/>
          </w:tcPr>
          <w:p w:rsidR="00BA7995" w:rsidRPr="00DE475B" w:rsidRDefault="00BA7995" w:rsidP="001F339E">
            <w:pPr>
              <w:snapToGrid w:val="0"/>
              <w:rPr>
                <w:rFonts w:ascii="Arial" w:hAnsi="Arial" w:cs="Arial"/>
                <w:sz w:val="12"/>
                <w:szCs w:val="12"/>
              </w:rPr>
            </w:pPr>
          </w:p>
        </w:tc>
        <w:tc>
          <w:tcPr>
            <w:tcW w:w="1131" w:type="dxa"/>
            <w:shd w:val="clear" w:color="auto" w:fill="auto"/>
            <w:vAlign w:val="bottom"/>
          </w:tcPr>
          <w:p w:rsidR="00BA7995" w:rsidRPr="00DE475B" w:rsidRDefault="00BA7995" w:rsidP="001F339E">
            <w:pPr>
              <w:snapToGrid w:val="0"/>
              <w:rPr>
                <w:rFonts w:ascii="Arial" w:hAnsi="Arial" w:cs="Arial"/>
                <w:sz w:val="12"/>
                <w:szCs w:val="12"/>
              </w:rPr>
            </w:pPr>
          </w:p>
        </w:tc>
        <w:tc>
          <w:tcPr>
            <w:tcW w:w="995" w:type="dxa"/>
            <w:shd w:val="clear" w:color="auto" w:fill="auto"/>
            <w:vAlign w:val="bottom"/>
          </w:tcPr>
          <w:p w:rsidR="00BA7995" w:rsidRPr="00DE475B" w:rsidRDefault="00BA7995" w:rsidP="001F339E">
            <w:pPr>
              <w:snapToGrid w:val="0"/>
              <w:rPr>
                <w:rFonts w:ascii="Arial" w:hAnsi="Arial" w:cs="Arial"/>
                <w:sz w:val="12"/>
                <w:szCs w:val="12"/>
              </w:rPr>
            </w:pPr>
          </w:p>
        </w:tc>
        <w:tc>
          <w:tcPr>
            <w:tcW w:w="995" w:type="dxa"/>
            <w:shd w:val="clear" w:color="auto" w:fill="auto"/>
            <w:vAlign w:val="bottom"/>
          </w:tcPr>
          <w:p w:rsidR="00BA7995" w:rsidRPr="00DE475B" w:rsidRDefault="00BA7995" w:rsidP="001F339E">
            <w:pPr>
              <w:snapToGrid w:val="0"/>
              <w:rPr>
                <w:rFonts w:ascii="Arial" w:hAnsi="Arial" w:cs="Arial"/>
                <w:sz w:val="12"/>
                <w:szCs w:val="12"/>
              </w:rPr>
            </w:pPr>
          </w:p>
        </w:tc>
        <w:tc>
          <w:tcPr>
            <w:tcW w:w="1471" w:type="dxa"/>
            <w:shd w:val="clear" w:color="auto" w:fill="auto"/>
            <w:vAlign w:val="bottom"/>
          </w:tcPr>
          <w:p w:rsidR="00BA7995" w:rsidRPr="00DE475B" w:rsidRDefault="00BA7995" w:rsidP="001F339E">
            <w:pPr>
              <w:snapToGrid w:val="0"/>
              <w:rPr>
                <w:rFonts w:ascii="Arial" w:hAnsi="Arial" w:cs="Arial"/>
                <w:sz w:val="12"/>
                <w:szCs w:val="12"/>
              </w:rPr>
            </w:pPr>
          </w:p>
        </w:tc>
        <w:tc>
          <w:tcPr>
            <w:tcW w:w="985" w:type="dxa"/>
            <w:tcBorders>
              <w:bottom w:val="single" w:sz="4" w:space="0" w:color="000000"/>
            </w:tcBorders>
            <w:shd w:val="clear" w:color="auto" w:fill="auto"/>
            <w:vAlign w:val="bottom"/>
          </w:tcPr>
          <w:p w:rsidR="00BA7995" w:rsidRPr="00DE475B" w:rsidRDefault="00BA7995" w:rsidP="001F339E">
            <w:pPr>
              <w:rPr>
                <w:rFonts w:ascii="Arial" w:hAnsi="Arial" w:cs="Arial"/>
                <w:sz w:val="12"/>
                <w:szCs w:val="12"/>
              </w:rPr>
            </w:pPr>
            <w:r w:rsidRPr="00DE475B">
              <w:rPr>
                <w:rFonts w:ascii="Arial" w:hAnsi="Arial" w:cs="Arial"/>
                <w:sz w:val="12"/>
                <w:szCs w:val="12"/>
              </w:rPr>
              <w:t> </w:t>
            </w:r>
          </w:p>
        </w:tc>
        <w:tc>
          <w:tcPr>
            <w:tcW w:w="985" w:type="dxa"/>
            <w:tcBorders>
              <w:bottom w:val="single" w:sz="4" w:space="0" w:color="000000"/>
            </w:tcBorders>
            <w:shd w:val="clear" w:color="auto" w:fill="auto"/>
            <w:vAlign w:val="bottom"/>
          </w:tcPr>
          <w:p w:rsidR="00BA7995" w:rsidRPr="00DE475B" w:rsidRDefault="00BA7995" w:rsidP="001F339E">
            <w:pPr>
              <w:rPr>
                <w:rFonts w:ascii="Arial" w:hAnsi="Arial" w:cs="Arial"/>
                <w:sz w:val="12"/>
                <w:szCs w:val="12"/>
              </w:rPr>
            </w:pPr>
            <w:r w:rsidRPr="00DE475B">
              <w:rPr>
                <w:rFonts w:ascii="Arial" w:hAnsi="Arial" w:cs="Arial"/>
                <w:sz w:val="12"/>
                <w:szCs w:val="12"/>
              </w:rPr>
              <w:t> </w:t>
            </w:r>
          </w:p>
        </w:tc>
        <w:tc>
          <w:tcPr>
            <w:tcW w:w="985" w:type="dxa"/>
            <w:tcBorders>
              <w:bottom w:val="single" w:sz="4" w:space="0" w:color="000000"/>
            </w:tcBorders>
            <w:shd w:val="clear" w:color="auto" w:fill="auto"/>
            <w:vAlign w:val="bottom"/>
          </w:tcPr>
          <w:p w:rsidR="00BA7995" w:rsidRPr="00DE475B" w:rsidRDefault="00BA7995" w:rsidP="001F339E">
            <w:pPr>
              <w:rPr>
                <w:rFonts w:ascii="Arial" w:hAnsi="Arial" w:cs="Arial"/>
                <w:sz w:val="12"/>
                <w:szCs w:val="12"/>
              </w:rPr>
            </w:pPr>
            <w:r w:rsidRPr="00DE475B">
              <w:rPr>
                <w:rFonts w:ascii="Arial" w:hAnsi="Arial" w:cs="Arial"/>
                <w:sz w:val="12"/>
                <w:szCs w:val="12"/>
              </w:rPr>
              <w:t> </w:t>
            </w:r>
          </w:p>
        </w:tc>
        <w:tc>
          <w:tcPr>
            <w:tcW w:w="985" w:type="dxa"/>
            <w:tcBorders>
              <w:bottom w:val="single" w:sz="4" w:space="0" w:color="000000"/>
            </w:tcBorders>
            <w:shd w:val="clear" w:color="auto" w:fill="auto"/>
            <w:vAlign w:val="bottom"/>
          </w:tcPr>
          <w:p w:rsidR="00BA7995" w:rsidRPr="00DE475B" w:rsidRDefault="00BA7995" w:rsidP="001F339E">
            <w:pPr>
              <w:rPr>
                <w:rFonts w:ascii="Arial" w:hAnsi="Arial" w:cs="Arial"/>
                <w:b/>
                <w:bCs/>
                <w:sz w:val="12"/>
                <w:szCs w:val="12"/>
              </w:rPr>
            </w:pPr>
            <w:r w:rsidRPr="00DE475B">
              <w:rPr>
                <w:rFonts w:ascii="Arial" w:hAnsi="Arial" w:cs="Arial"/>
                <w:sz w:val="12"/>
                <w:szCs w:val="12"/>
              </w:rPr>
              <w:t> </w:t>
            </w:r>
          </w:p>
        </w:tc>
      </w:tr>
      <w:tr w:rsidR="00BA7995" w:rsidRPr="00DE475B" w:rsidTr="00BA7995">
        <w:trPr>
          <w:trHeight w:val="255"/>
        </w:trPr>
        <w:tc>
          <w:tcPr>
            <w:tcW w:w="1619" w:type="dxa"/>
            <w:gridSpan w:val="2"/>
            <w:shd w:val="clear" w:color="auto" w:fill="auto"/>
            <w:vAlign w:val="bottom"/>
          </w:tcPr>
          <w:p w:rsidR="00BA7995" w:rsidRPr="00DE475B" w:rsidRDefault="00BA7995" w:rsidP="001F339E">
            <w:pPr>
              <w:rPr>
                <w:rFonts w:ascii="Arial" w:hAnsi="Arial" w:cs="Arial"/>
                <w:sz w:val="20"/>
                <w:szCs w:val="20"/>
              </w:rPr>
            </w:pPr>
            <w:r w:rsidRPr="00DE475B">
              <w:rPr>
                <w:rFonts w:ascii="Arial" w:hAnsi="Arial" w:cs="Arial"/>
                <w:b/>
                <w:bCs/>
                <w:sz w:val="20"/>
                <w:szCs w:val="20"/>
              </w:rPr>
              <w:t>Total</w:t>
            </w:r>
          </w:p>
        </w:tc>
        <w:tc>
          <w:tcPr>
            <w:tcW w:w="995" w:type="dxa"/>
            <w:shd w:val="clear" w:color="auto" w:fill="auto"/>
            <w:vAlign w:val="bottom"/>
          </w:tcPr>
          <w:p w:rsidR="00BA7995" w:rsidRPr="00DE475B" w:rsidRDefault="00BA7995" w:rsidP="001F339E">
            <w:pPr>
              <w:snapToGrid w:val="0"/>
              <w:rPr>
                <w:rFonts w:ascii="Arial" w:hAnsi="Arial" w:cs="Arial"/>
                <w:sz w:val="20"/>
                <w:szCs w:val="20"/>
              </w:rPr>
            </w:pPr>
          </w:p>
        </w:tc>
        <w:tc>
          <w:tcPr>
            <w:tcW w:w="995" w:type="dxa"/>
            <w:shd w:val="clear" w:color="auto" w:fill="auto"/>
            <w:vAlign w:val="bottom"/>
          </w:tcPr>
          <w:p w:rsidR="00BA7995" w:rsidRPr="00DE475B" w:rsidRDefault="00BA7995" w:rsidP="001F339E">
            <w:pPr>
              <w:snapToGrid w:val="0"/>
              <w:rPr>
                <w:rFonts w:ascii="Arial" w:hAnsi="Arial" w:cs="Arial"/>
                <w:sz w:val="20"/>
                <w:szCs w:val="20"/>
              </w:rPr>
            </w:pPr>
          </w:p>
        </w:tc>
        <w:tc>
          <w:tcPr>
            <w:tcW w:w="1471" w:type="dxa"/>
            <w:shd w:val="clear" w:color="auto" w:fill="auto"/>
            <w:vAlign w:val="bottom"/>
          </w:tcPr>
          <w:p w:rsidR="00BA7995" w:rsidRPr="00DE475B" w:rsidRDefault="00BA7995" w:rsidP="001F339E">
            <w:pPr>
              <w:snapToGrid w:val="0"/>
              <w:rPr>
                <w:rFonts w:ascii="Arial" w:hAnsi="Arial" w:cs="Arial"/>
                <w:sz w:val="20"/>
                <w:szCs w:val="20"/>
              </w:rPr>
            </w:pPr>
          </w:p>
        </w:tc>
        <w:tc>
          <w:tcPr>
            <w:tcW w:w="985" w:type="dxa"/>
            <w:tcBorders>
              <w:top w:val="single" w:sz="8" w:space="0" w:color="000000"/>
              <w:bottom w:val="single" w:sz="8" w:space="0" w:color="000000"/>
            </w:tcBorders>
            <w:shd w:val="clear" w:color="auto" w:fill="auto"/>
          </w:tcPr>
          <w:p w:rsidR="00BA7995" w:rsidRPr="00DE475B" w:rsidRDefault="003A7735" w:rsidP="001F339E">
            <w:pPr>
              <w:jc w:val="right"/>
              <w:rPr>
                <w:rFonts w:ascii="Arial" w:hAnsi="Arial" w:cs="Arial"/>
                <w:sz w:val="20"/>
                <w:szCs w:val="20"/>
              </w:rPr>
            </w:pPr>
            <w:r>
              <w:rPr>
                <w:rFonts w:ascii="Arial" w:hAnsi="Arial" w:cs="Arial"/>
                <w:sz w:val="20"/>
                <w:szCs w:val="20"/>
              </w:rPr>
              <w:t>74,785</w:t>
            </w:r>
          </w:p>
        </w:tc>
        <w:tc>
          <w:tcPr>
            <w:tcW w:w="985" w:type="dxa"/>
            <w:tcBorders>
              <w:top w:val="single" w:sz="8" w:space="0" w:color="000000"/>
              <w:bottom w:val="single" w:sz="8" w:space="0" w:color="000000"/>
            </w:tcBorders>
            <w:shd w:val="clear" w:color="auto" w:fill="auto"/>
          </w:tcPr>
          <w:p w:rsidR="00BA7995" w:rsidRPr="00DE475B" w:rsidRDefault="00BA7995" w:rsidP="001F339E">
            <w:pPr>
              <w:jc w:val="right"/>
              <w:rPr>
                <w:rFonts w:ascii="Arial" w:hAnsi="Arial" w:cs="Arial"/>
                <w:sz w:val="20"/>
                <w:szCs w:val="20"/>
              </w:rPr>
            </w:pPr>
            <w:r w:rsidRPr="00DE475B">
              <w:rPr>
                <w:rFonts w:ascii="Arial" w:hAnsi="Arial" w:cs="Arial"/>
                <w:sz w:val="20"/>
                <w:szCs w:val="20"/>
              </w:rPr>
              <w:t xml:space="preserve">75,236 </w:t>
            </w:r>
          </w:p>
        </w:tc>
        <w:tc>
          <w:tcPr>
            <w:tcW w:w="985" w:type="dxa"/>
            <w:tcBorders>
              <w:top w:val="single" w:sz="8" w:space="0" w:color="000000"/>
              <w:bottom w:val="single" w:sz="8" w:space="0" w:color="000000"/>
            </w:tcBorders>
            <w:shd w:val="clear" w:color="auto" w:fill="auto"/>
          </w:tcPr>
          <w:p w:rsidR="00BA7995" w:rsidRPr="00DE475B" w:rsidRDefault="003A7735" w:rsidP="001F339E">
            <w:pPr>
              <w:jc w:val="right"/>
              <w:rPr>
                <w:rFonts w:ascii="Arial" w:hAnsi="Arial" w:cs="Arial"/>
                <w:sz w:val="20"/>
                <w:szCs w:val="20"/>
              </w:rPr>
            </w:pPr>
            <w:r>
              <w:rPr>
                <w:rFonts w:ascii="Arial" w:hAnsi="Arial" w:cs="Arial"/>
                <w:sz w:val="20"/>
                <w:szCs w:val="20"/>
              </w:rPr>
              <w:t>74,987</w:t>
            </w:r>
          </w:p>
        </w:tc>
        <w:tc>
          <w:tcPr>
            <w:tcW w:w="985" w:type="dxa"/>
            <w:tcBorders>
              <w:top w:val="single" w:sz="8" w:space="0" w:color="000000"/>
              <w:bottom w:val="single" w:sz="8" w:space="0" w:color="000000"/>
            </w:tcBorders>
            <w:shd w:val="clear" w:color="auto" w:fill="auto"/>
          </w:tcPr>
          <w:p w:rsidR="00BA7995" w:rsidRPr="00DE475B" w:rsidRDefault="00BA7995" w:rsidP="001F339E">
            <w:pPr>
              <w:jc w:val="right"/>
              <w:rPr>
                <w:rFonts w:ascii="Arial" w:hAnsi="Arial" w:cs="Arial"/>
                <w:sz w:val="20"/>
                <w:szCs w:val="20"/>
              </w:rPr>
            </w:pPr>
            <w:r w:rsidRPr="00DE475B">
              <w:rPr>
                <w:rFonts w:ascii="Arial" w:hAnsi="Arial" w:cs="Arial"/>
                <w:sz w:val="20"/>
                <w:szCs w:val="20"/>
              </w:rPr>
              <w:t>75,450</w:t>
            </w:r>
          </w:p>
        </w:tc>
      </w:tr>
    </w:tbl>
    <w:p w:rsidR="002C04F6" w:rsidRDefault="002C04F6" w:rsidP="00FA340E">
      <w:pPr>
        <w:pStyle w:val="ARbodytext"/>
        <w:rPr>
          <w:color w:val="808080"/>
        </w:rPr>
      </w:pPr>
    </w:p>
    <w:p w:rsidR="002C04F6" w:rsidRPr="002C04F6" w:rsidRDefault="002C04F6" w:rsidP="002C04F6">
      <w:pPr>
        <w:rPr>
          <w:rFonts w:ascii="Arial" w:hAnsi="Arial" w:cs="Arial"/>
          <w:i/>
          <w:iCs/>
          <w:sz w:val="20"/>
          <w:szCs w:val="20"/>
        </w:rPr>
      </w:pPr>
      <w:r w:rsidRPr="002C04F6">
        <w:rPr>
          <w:rFonts w:ascii="Arial" w:hAnsi="Arial" w:cs="Arial"/>
          <w:i/>
          <w:iCs/>
          <w:sz w:val="20"/>
          <w:szCs w:val="20"/>
        </w:rPr>
        <w:t>Accounting Policy - Services received below fair value</w:t>
      </w:r>
    </w:p>
    <w:p w:rsidR="001508E4" w:rsidRPr="00DE475B" w:rsidRDefault="002C04F6" w:rsidP="00FA340E">
      <w:pPr>
        <w:pStyle w:val="ARbodytext"/>
        <w:rPr>
          <w:b/>
          <w:bCs/>
        </w:rPr>
      </w:pPr>
      <w:r w:rsidRPr="002C04F6">
        <w:rPr>
          <w:rFonts w:eastAsia="Times New Roman"/>
        </w:rPr>
        <w:t>Contributions of services are recognised only if the services would have been purchased if they had not been donated and their fair value can be measured reliably.  Where this is the case, an equal amount is recognised as revenue and an expense.</w:t>
      </w:r>
      <w:r w:rsidRPr="002C04F6">
        <w:rPr>
          <w:color w:val="808080"/>
        </w:rPr>
        <w:t xml:space="preserve"> </w:t>
      </w:r>
      <w:r w:rsidR="00517A7F" w:rsidRPr="00DE475B">
        <w:rPr>
          <w:color w:val="808080"/>
        </w:rPr>
        <w:br w:type="column"/>
      </w:r>
      <w:r w:rsidR="001508E4" w:rsidRPr="00DE475B">
        <w:rPr>
          <w:b/>
          <w:bCs/>
          <w:i/>
          <w:iCs/>
        </w:rPr>
        <w:lastRenderedPageBreak/>
        <w:t>Library Board of Queensland and controlled entities</w:t>
      </w:r>
    </w:p>
    <w:p w:rsidR="001508E4" w:rsidRPr="00DE475B" w:rsidRDefault="00373FFE" w:rsidP="001508E4">
      <w:pPr>
        <w:rPr>
          <w:rFonts w:ascii="Arial" w:hAnsi="Arial" w:cs="Arial"/>
          <w:b/>
          <w:bCs/>
          <w:sz w:val="20"/>
          <w:szCs w:val="20"/>
        </w:rPr>
      </w:pPr>
      <w:r w:rsidRPr="00DE475B">
        <w:rPr>
          <w:noProof/>
          <w:lang w:eastAsia="en-AU"/>
        </w:rPr>
        <mc:AlternateContent>
          <mc:Choice Requires="wps">
            <w:drawing>
              <wp:anchor distT="0" distB="0" distL="114300" distR="114300" simplePos="0" relativeHeight="251637760" behindDoc="0" locked="0" layoutInCell="1" allowOverlap="1" wp14:anchorId="060B4F02" wp14:editId="7AE2B526">
                <wp:simplePos x="0" y="0"/>
                <wp:positionH relativeFrom="column">
                  <wp:posOffset>-66040</wp:posOffset>
                </wp:positionH>
                <wp:positionV relativeFrom="paragraph">
                  <wp:posOffset>-222250</wp:posOffset>
                </wp:positionV>
                <wp:extent cx="5573395" cy="0"/>
                <wp:effectExtent l="13970" t="9525" r="13335" b="9525"/>
                <wp:wrapNone/>
                <wp:docPr id="62"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TmwIAAHoFAAAOAAAAZHJzL2Uyb0RvYy54bWysVFFvmzAQfp+0/2D5nQKBJASVVC0he+m2&#10;Su20Z8c2wRrYzHZDoqn/fWcnYU33Mk1NJOSz787f3fedr2/2XYt2XBuhZIHjqwgjLqliQm4L/O1p&#10;HWQYGUskI62SvMAHbvDN8uOH66HP+UQ1qmVcI0giTT70BW6s7fMwNLThHTFXqucSDmulO2LB1NuQ&#10;aTJA9q4NJ1E0CwelWa8V5cbA7up4iJc+f11zar/WteEWtQUGbNZ/tf9u3DdcXpN8q0nfCHqCQf4D&#10;RUeEhEvHVCtiCXrW4q9UnaBaGVXbK6q6UNW1oNzXANXE0ZtqHhvSc18LNMf0Y5vM+6WlX3YPGglW&#10;4NkEI0k64OheSI7iReaaM/QmB59SPmhXHt3Lx/5e0R8GSVU2RG65B/l06CEwdhHhRYgzTA9XbIbP&#10;ioEPebbKd2pf686lhB6gvSfkMBLC9xZR2JxO50mymGJEz2chyc+BvTb2E1cdcosCt4DaJya7e2Md&#10;EJKfXdw9Uq1F23q+W4mGAi+SGSiCElCd+ekjjWoFc17O3+jtpmw12hEnHf/z5cHJa7dOWBBwK7oC&#10;Z6MTyRtOWCWZv84S0R7XAKmVLjn30jziBGtvYen3oXAvm1+LaFFlVZYG6WRWBWm0WgW36zINZut4&#10;Pl0lq7JcxS8OdZzmjWCMSwf8LOE4/TeJnIbpKL5RxGOrwsvsvqcA9hLp7XoazdMkC+bzaRKkSRUF&#10;d9m6DG7LeDabV3flXfUGaeWrN+8DdmylQ6WegY3Hhg2ICSeKZLqYxBgMGPnJ/MgPIu0W3ipqNUZa&#10;2e/CNl7DTn0uxwXxWeT+J+LH7MdGnDl01sjCqbY/rQLOz/z60XDTcJyrjWKHB30eGRhwH3R6jNwL&#10;8tqG9esnc/kbAAD//wMAUEsDBBQABgAIAAAAIQDe2Ktn4AAAAAsBAAAPAAAAZHJzL2Rvd25yZXYu&#10;eG1sTI9BS8NAEIXvgv9hGcGLtJuaWEvMpoggHgRpqyjettkxG8zOht1tE/+9Iwh6m5n3ePO9aj25&#10;XhwxxM6TgsU8A4HUeNNRq+Dl+X62AhGTJqN7T6jgCyOs69OTSpfGj7TF4y61gkMollqBTWkopYyN&#10;Rafj3A9IrH344HTiNbTSBD1yuOvlZZYtpdMd8QerB7yz2HzuDk7BUxi7mPKi2GB6f314fLObC7dV&#10;6vxsur0BkXBKf2b4wWd0qJlp7w9kougVzBZZwVYe8isuxY7V8joHsf+9yLqS/zvU3wAAAP//AwBQ&#10;SwECLQAUAAYACAAAACEAtoM4kv4AAADhAQAAEwAAAAAAAAAAAAAAAAAAAAAAW0NvbnRlbnRfVHlw&#10;ZXNdLnhtbFBLAQItABQABgAIAAAAIQA4/SH/1gAAAJQBAAALAAAAAAAAAAAAAAAAAC8BAABfcmVs&#10;cy8ucmVsc1BLAQItABQABgAIAAAAIQB5R/9TmwIAAHoFAAAOAAAAAAAAAAAAAAAAAC4CAABkcnMv&#10;ZTJvRG9jLnhtbFBLAQItABQABgAIAAAAIQDe2Ktn4AAAAAsBAAAPAAAAAAAAAAAAAAAAAPUEAABk&#10;cnMvZG93bnJldi54bWxQSwUGAAAAAAQABADzAAAAAgYAAAAA&#10;" strokeweight=".26mm">
                <v:stroke joinstyle="miter" endcap="square"/>
              </v:line>
            </w:pict>
          </mc:Fallback>
        </mc:AlternateContent>
      </w:r>
      <w:r w:rsidR="001508E4" w:rsidRPr="00DE475B">
        <w:rPr>
          <w:rFonts w:ascii="Arial" w:hAnsi="Arial" w:cs="Arial"/>
          <w:b/>
          <w:bCs/>
          <w:sz w:val="20"/>
          <w:szCs w:val="20"/>
        </w:rPr>
        <w:t>NOTES TO THE FINANCIAL STATEMENTS</w:t>
      </w:r>
    </w:p>
    <w:p w:rsidR="001508E4" w:rsidRPr="00DE475B" w:rsidRDefault="0000213B" w:rsidP="001508E4">
      <w:r>
        <w:rPr>
          <w:rFonts w:ascii="Arial" w:hAnsi="Arial" w:cs="Arial"/>
          <w:b/>
          <w:bCs/>
          <w:sz w:val="20"/>
          <w:szCs w:val="20"/>
        </w:rPr>
        <w:t>For the year ended 30 June 2017</w:t>
      </w:r>
    </w:p>
    <w:p w:rsidR="008F169E" w:rsidRPr="00DE475B" w:rsidRDefault="00373FFE" w:rsidP="00B41E55">
      <w:pPr>
        <w:pStyle w:val="ARbodytext"/>
        <w:rPr>
          <w:color w:val="808080"/>
        </w:rPr>
        <w:sectPr w:rsidR="008F169E" w:rsidRPr="00DE475B" w:rsidSect="00B53922">
          <w:type w:val="continuous"/>
          <w:pgSz w:w="11906" w:h="16838"/>
          <w:pgMar w:top="1440" w:right="1701" w:bottom="1440" w:left="1701" w:header="680" w:footer="680" w:gutter="0"/>
          <w:cols w:space="720"/>
          <w:docGrid w:linePitch="360"/>
        </w:sectPr>
      </w:pPr>
      <w:r w:rsidRPr="00DE475B">
        <w:rPr>
          <w:rFonts w:eastAsia="Times New Roman"/>
          <w:b/>
          <w:bCs/>
          <w:noProof/>
          <w:sz w:val="24"/>
          <w:szCs w:val="24"/>
          <w:lang w:eastAsia="en-AU"/>
        </w:rPr>
        <mc:AlternateContent>
          <mc:Choice Requires="wps">
            <w:drawing>
              <wp:anchor distT="0" distB="0" distL="114300" distR="114300" simplePos="0" relativeHeight="251636736" behindDoc="0" locked="0" layoutInCell="1" allowOverlap="1" wp14:anchorId="664C6033" wp14:editId="1B1365DD">
                <wp:simplePos x="0" y="0"/>
                <wp:positionH relativeFrom="column">
                  <wp:posOffset>-66040</wp:posOffset>
                </wp:positionH>
                <wp:positionV relativeFrom="paragraph">
                  <wp:posOffset>70485</wp:posOffset>
                </wp:positionV>
                <wp:extent cx="5573395" cy="0"/>
                <wp:effectExtent l="13970" t="13335" r="13335" b="5715"/>
                <wp:wrapNone/>
                <wp:docPr id="61"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CPnAIAAHoFAAAOAAAAZHJzL2Uyb0RvYy54bWysVF1vmzAUfZ+0/2D5nQKBhASVVC0he+m2&#10;Su20Z8c2wRrYzHZDoqn/fddOwpruZZqaSMgf18fn3nOur2/2XYt2XBuhZIHjqwgjLqliQm4L/O1p&#10;HcwxMpZIRloleYEP3OCb5ccP10Of84lqVMu4RgAiTT70BW6s7fMwNLThHTFXqucSNmulO2Jhqrch&#10;02QA9K4NJ1E0CwelWa8V5cbA6uq4iZcev645tV/r2nCL2gIDN+u/2n837hsur0m+1aRvBD3RIP/B&#10;oiNCwqUj1IpYgp61+AuqE1Qro2p7RVUXqroWlPscIJs4epPNY0N67nOB4ph+LJN5P1j6ZfegkWAF&#10;nsUYSdKBRvdCchQvMlecoTc5xJTyQbv06F4+9veK/jBIqrIhcss9yadDDwdjdyK8OOImpocrNsNn&#10;xSCGPFvlK7WvdecgoQZo7wU5jILwvUUUFqfTLEkWU4zoeS8k+flgr439xFWH3KDALbD2wGR3b6wj&#10;QvJziLtHqrVoW693K9FQ4EUyA0dQAq4zP/1Jo1rBXJSLN3q7KVuNdsRZx/98erDzOqwTFgzciq7A&#10;8zGI5A0nrJLMX2eJaI9joNRKB869NY88Yba3MPTrkLi3za9FtKjm1TwN0smsCtJotQpu12UazNZx&#10;Nl0lq7JcxS+OdZzmjWCMS0f8bOE4/TeLnJrpaL7RxGOpwkt0X1Mge8n0dj2NsjSZB1k2TYI0qaLg&#10;br4ug9syns2y6q68q94wrXz25n3IjqV0rNQzqPHYsAEx4UyRTBcT8DUT0PKT7KgPIu0W3ipqNUZa&#10;2e/CNt7Dzn0O40L4eeT+J+FH9GMhzhq62ajCKbc/pQLNz/r61nDdcOyrjWKHB31uGWhwf+j0GLkX&#10;5PUcxq+fzOVvAAAA//8DAFBLAwQUAAYACAAAACEA8EBpcd4AAAAJAQAADwAAAGRycy9kb3ducmV2&#10;LnhtbEyPwUrDQBCG74LvsIzgRdpNbKglZlNEEA+CtFUUb9vsmA1mZ8Putolv70gPepz5P/75plpP&#10;rhdHDLHzpCCfZyCQGm86ahW8vjzMViBi0mR07wkVfGOEdX1+VunS+JG2eNylVnAJxVIrsCkNpZSx&#10;seh0nPsBibNPH5xOPIZWmqBHLne9vM6ypXS6I75g9YD3Fpuv3cEpeA5jF9OiKDaYPt4en97t5spt&#10;lbq8mO5uQSSc0h8Mv/qsDjU77f2BTBS9glmeFYxykOcgGFgtbxYg9qeFrCv5/4P6BwAA//8DAFBL&#10;AQItABQABgAIAAAAIQC2gziS/gAAAOEBAAATAAAAAAAAAAAAAAAAAAAAAABbQ29udGVudF9UeXBl&#10;c10ueG1sUEsBAi0AFAAGAAgAAAAhADj9If/WAAAAlAEAAAsAAAAAAAAAAAAAAAAALwEAAF9yZWxz&#10;Ly5yZWxzUEsBAi0AFAAGAAgAAAAhAEqacI+cAgAAegUAAA4AAAAAAAAAAAAAAAAALgIAAGRycy9l&#10;Mm9Eb2MueG1sUEsBAi0AFAAGAAgAAAAhAPBAaXHeAAAACQEAAA8AAAAAAAAAAAAAAAAA9gQAAGRy&#10;cy9kb3ducmV2LnhtbFBLBQYAAAAABAAEAPMAAAABBgAAAAA=&#10;" strokeweight=".26mm">
                <v:stroke joinstyle="miter" endcap="square"/>
              </v:line>
            </w:pict>
          </mc:Fallback>
        </mc:AlternateContent>
      </w:r>
    </w:p>
    <w:p w:rsidR="004C3CAB" w:rsidRPr="00DE475B" w:rsidRDefault="004C3CAB" w:rsidP="003608B5">
      <w:pPr>
        <w:pStyle w:val="ARheading3"/>
        <w:tabs>
          <w:tab w:val="left" w:pos="851"/>
        </w:tabs>
        <w:spacing w:before="240" w:after="120"/>
        <w:rPr>
          <w:color w:val="808080"/>
        </w:rPr>
        <w:sectPr w:rsidR="004C3CAB" w:rsidRPr="00DE475B" w:rsidSect="00B53922">
          <w:type w:val="continuous"/>
          <w:pgSz w:w="11906" w:h="16838"/>
          <w:pgMar w:top="1440" w:right="1701" w:bottom="1440" w:left="1701" w:header="680" w:footer="680" w:gutter="0"/>
          <w:cols w:space="720"/>
          <w:docGrid w:linePitch="360"/>
        </w:sectPr>
      </w:pPr>
      <w:r w:rsidRPr="00DE475B">
        <w:rPr>
          <w:color w:val="808080"/>
        </w:rPr>
        <w:lastRenderedPageBreak/>
        <w:t>B2 Expenses</w:t>
      </w:r>
    </w:p>
    <w:p w:rsidR="00DC2360" w:rsidRPr="00DE475B" w:rsidRDefault="004C3CAB" w:rsidP="00652F6C">
      <w:pPr>
        <w:tabs>
          <w:tab w:val="left" w:pos="284"/>
          <w:tab w:val="left" w:pos="5878"/>
          <w:tab w:val="left" w:pos="8548"/>
          <w:tab w:val="left" w:pos="8770"/>
          <w:tab w:val="left" w:pos="10266"/>
          <w:tab w:val="left" w:pos="11702"/>
        </w:tabs>
        <w:rPr>
          <w:rFonts w:ascii="Arial" w:hAnsi="Arial" w:cs="Arial"/>
          <w:sz w:val="20"/>
          <w:szCs w:val="20"/>
        </w:rPr>
        <w:sectPr w:rsidR="00DC2360" w:rsidRPr="00DE475B" w:rsidSect="00B53922">
          <w:type w:val="continuous"/>
          <w:pgSz w:w="11906" w:h="16838"/>
          <w:pgMar w:top="1440" w:right="1701" w:bottom="1440" w:left="1701" w:header="680" w:footer="680" w:gutter="0"/>
          <w:cols w:space="566"/>
          <w:docGrid w:linePitch="360"/>
        </w:sectPr>
      </w:pPr>
      <w:r w:rsidRPr="00DE475B">
        <w:rPr>
          <w:rFonts w:ascii="Arial" w:hAnsi="Arial" w:cs="Arial"/>
          <w:b/>
          <w:bCs/>
          <w:sz w:val="20"/>
          <w:szCs w:val="20"/>
        </w:rPr>
        <w:lastRenderedPageBreak/>
        <w:t>B2-1 Employee benefits expense</w:t>
      </w:r>
    </w:p>
    <w:p w:rsidR="001508E4" w:rsidRPr="00623332" w:rsidRDefault="001508E4" w:rsidP="001508E4">
      <w:pPr>
        <w:rPr>
          <w:rFonts w:ascii="Arial" w:hAnsi="Arial" w:cs="Arial"/>
          <w:sz w:val="20"/>
          <w:szCs w:val="20"/>
        </w:rPr>
      </w:pPr>
      <w:r w:rsidRPr="00623332">
        <w:rPr>
          <w:rFonts w:ascii="Arial" w:hAnsi="Arial" w:cs="Arial"/>
          <w:i/>
          <w:iCs/>
          <w:sz w:val="20"/>
          <w:szCs w:val="20"/>
        </w:rPr>
        <w:lastRenderedPageBreak/>
        <w:t>Accounting policy — Wa</w:t>
      </w:r>
      <w:r w:rsidR="00623332" w:rsidRPr="00623332">
        <w:rPr>
          <w:rFonts w:ascii="Arial" w:hAnsi="Arial" w:cs="Arial"/>
          <w:i/>
          <w:iCs/>
          <w:sz w:val="20"/>
          <w:szCs w:val="20"/>
        </w:rPr>
        <w:t>ges, Salaries, Recreation Leave</w:t>
      </w:r>
    </w:p>
    <w:p w:rsidR="001508E4" w:rsidRPr="00623332" w:rsidRDefault="001508E4" w:rsidP="001508E4">
      <w:pPr>
        <w:spacing w:after="120"/>
        <w:rPr>
          <w:rFonts w:ascii="Arial" w:hAnsi="Arial" w:cs="Arial"/>
          <w:sz w:val="20"/>
          <w:szCs w:val="20"/>
        </w:rPr>
      </w:pPr>
      <w:r w:rsidRPr="00623332">
        <w:rPr>
          <w:rFonts w:ascii="Arial" w:hAnsi="Arial" w:cs="Arial"/>
          <w:sz w:val="20"/>
          <w:szCs w:val="20"/>
        </w:rPr>
        <w:t>Wages</w:t>
      </w:r>
      <w:r w:rsidR="001F339E" w:rsidRPr="00623332">
        <w:rPr>
          <w:rFonts w:ascii="Arial" w:hAnsi="Arial" w:cs="Arial"/>
          <w:sz w:val="20"/>
          <w:szCs w:val="20"/>
        </w:rPr>
        <w:t xml:space="preserve"> and</w:t>
      </w:r>
      <w:r w:rsidRPr="00623332">
        <w:rPr>
          <w:rFonts w:ascii="Arial" w:hAnsi="Arial" w:cs="Arial"/>
          <w:sz w:val="20"/>
          <w:szCs w:val="20"/>
        </w:rPr>
        <w:t xml:space="preserve"> salaries due but unpaid at reporting date are recognised in the Statements of Financial Position at the current salary rates.</w:t>
      </w:r>
    </w:p>
    <w:p w:rsidR="001508E4" w:rsidRPr="00623332" w:rsidRDefault="001508E4" w:rsidP="001508E4">
      <w:pPr>
        <w:spacing w:after="120"/>
        <w:rPr>
          <w:rFonts w:ascii="Arial" w:hAnsi="Arial" w:cs="Arial"/>
          <w:sz w:val="20"/>
          <w:szCs w:val="20"/>
        </w:rPr>
      </w:pPr>
      <w:r w:rsidRPr="00623332">
        <w:rPr>
          <w:rFonts w:ascii="Arial" w:hAnsi="Arial" w:cs="Arial"/>
          <w:sz w:val="20"/>
          <w:szCs w:val="20"/>
        </w:rPr>
        <w:t xml:space="preserve">For unpaid entitlements expected to be paid within 12 months, the liabilities are recognised at their undiscounted values. </w:t>
      </w:r>
      <w:r w:rsidR="00623332" w:rsidRPr="00623332">
        <w:rPr>
          <w:rFonts w:ascii="Arial" w:hAnsi="Arial" w:cs="Arial"/>
          <w:sz w:val="20"/>
          <w:szCs w:val="20"/>
        </w:rPr>
        <w:t xml:space="preserve">As the Library Board expects such liabilities to be wholly settled within 12 months of reporting date, the liabilities are recognised at undiscounted amounts. </w:t>
      </w:r>
    </w:p>
    <w:p w:rsidR="00623332" w:rsidRPr="00623332" w:rsidRDefault="00623332" w:rsidP="00623332">
      <w:pPr>
        <w:rPr>
          <w:rFonts w:ascii="Arial" w:hAnsi="Arial" w:cs="Arial"/>
          <w:sz w:val="20"/>
          <w:szCs w:val="20"/>
        </w:rPr>
      </w:pPr>
      <w:r w:rsidRPr="00623332">
        <w:rPr>
          <w:rFonts w:ascii="Arial" w:hAnsi="Arial" w:cs="Arial"/>
          <w:i/>
          <w:iCs/>
          <w:sz w:val="20"/>
          <w:szCs w:val="20"/>
        </w:rPr>
        <w:t>Accounting policy —Sick leave</w:t>
      </w:r>
    </w:p>
    <w:p w:rsidR="00623332" w:rsidRPr="00623332" w:rsidRDefault="00623332" w:rsidP="00C83B2B">
      <w:pPr>
        <w:spacing w:after="120"/>
        <w:rPr>
          <w:rFonts w:ascii="Arial" w:hAnsi="Arial" w:cs="Arial"/>
          <w:sz w:val="20"/>
          <w:szCs w:val="20"/>
        </w:rPr>
      </w:pPr>
      <w:r w:rsidRPr="00623332">
        <w:rPr>
          <w:rFonts w:ascii="Arial" w:hAnsi="Arial" w:cs="Arial"/>
          <w:sz w:val="20"/>
          <w:szCs w:val="20"/>
        </w:rPr>
        <w:t>As sick leave is non-vesting, an expense is recognised for this leave as it is taken.</w:t>
      </w:r>
    </w:p>
    <w:p w:rsidR="001508E4" w:rsidRPr="00623332" w:rsidRDefault="001508E4" w:rsidP="00623332">
      <w:pPr>
        <w:rPr>
          <w:rFonts w:ascii="Arial" w:hAnsi="Arial" w:cs="Arial"/>
          <w:sz w:val="20"/>
          <w:szCs w:val="20"/>
        </w:rPr>
      </w:pPr>
      <w:r w:rsidRPr="00623332">
        <w:rPr>
          <w:rFonts w:ascii="Arial" w:hAnsi="Arial" w:cs="Arial"/>
          <w:i/>
          <w:iCs/>
          <w:sz w:val="20"/>
          <w:szCs w:val="20"/>
        </w:rPr>
        <w:t>Accounting policy — Long Service Leave</w:t>
      </w:r>
    </w:p>
    <w:p w:rsidR="00DC2360" w:rsidRPr="00623332" w:rsidRDefault="001508E4" w:rsidP="00623332">
      <w:pPr>
        <w:spacing w:after="120"/>
        <w:rPr>
          <w:rFonts w:ascii="Arial" w:hAnsi="Arial" w:cs="Arial"/>
          <w:sz w:val="20"/>
          <w:szCs w:val="20"/>
        </w:rPr>
      </w:pPr>
      <w:r w:rsidRPr="00623332">
        <w:rPr>
          <w:rFonts w:ascii="Arial" w:hAnsi="Arial" w:cs="Arial"/>
          <w:sz w:val="20"/>
          <w:szCs w:val="20"/>
        </w:rPr>
        <w:t>Under the Queensland Government's long service leave scheme, a levy is made on the Library Board to cover the cost of employees' long service leave. The levies are expensed in the period in which they are payable. Amounts paid to employees for long service leave are claimed from t</w:t>
      </w:r>
      <w:r w:rsidR="00623332" w:rsidRPr="00623332">
        <w:rPr>
          <w:rFonts w:ascii="Arial" w:hAnsi="Arial" w:cs="Arial"/>
          <w:sz w:val="20"/>
          <w:szCs w:val="20"/>
        </w:rPr>
        <w:t>he scheme quarterly in arrears.</w:t>
      </w:r>
    </w:p>
    <w:p w:rsidR="00623332" w:rsidRPr="00623332" w:rsidRDefault="00623332" w:rsidP="00623332">
      <w:pPr>
        <w:rPr>
          <w:rFonts w:ascii="Arial" w:hAnsi="Arial" w:cs="Arial"/>
          <w:i/>
          <w:iCs/>
          <w:sz w:val="20"/>
          <w:szCs w:val="20"/>
        </w:rPr>
      </w:pPr>
      <w:r w:rsidRPr="00623332">
        <w:rPr>
          <w:rFonts w:ascii="Arial" w:hAnsi="Arial" w:cs="Arial"/>
          <w:i/>
          <w:iCs/>
          <w:sz w:val="20"/>
          <w:szCs w:val="20"/>
        </w:rPr>
        <w:t>Accounting policy — Superannuation</w:t>
      </w:r>
    </w:p>
    <w:p w:rsidR="00623332" w:rsidRPr="00623332" w:rsidRDefault="00623332" w:rsidP="009A39B7">
      <w:pPr>
        <w:tabs>
          <w:tab w:val="left" w:pos="284"/>
        </w:tabs>
        <w:rPr>
          <w:rFonts w:ascii="Arial" w:hAnsi="Arial" w:cs="Arial"/>
          <w:sz w:val="20"/>
          <w:szCs w:val="20"/>
        </w:rPr>
      </w:pPr>
      <w:r w:rsidRPr="00623332">
        <w:rPr>
          <w:rFonts w:ascii="Arial" w:hAnsi="Arial" w:cs="Arial"/>
          <w:sz w:val="20"/>
          <w:szCs w:val="20"/>
        </w:rPr>
        <w:t xml:space="preserve">Post-employment benefits for superannuation are provided through defined contribution (accumulation) plans or the Queensland Government's </w:t>
      </w:r>
      <w:proofErr w:type="spellStart"/>
      <w:r w:rsidRPr="00623332">
        <w:rPr>
          <w:rFonts w:ascii="Arial" w:hAnsi="Arial" w:cs="Arial"/>
          <w:sz w:val="20"/>
          <w:szCs w:val="20"/>
        </w:rPr>
        <w:t>QSuper</w:t>
      </w:r>
      <w:proofErr w:type="spellEnd"/>
      <w:r w:rsidRPr="00623332">
        <w:rPr>
          <w:rFonts w:ascii="Arial" w:hAnsi="Arial" w:cs="Arial"/>
          <w:sz w:val="20"/>
          <w:szCs w:val="20"/>
        </w:rPr>
        <w:t xml:space="preserve"> defined benefit plan as determined by the employee's condition of employment.  </w:t>
      </w:r>
    </w:p>
    <w:p w:rsidR="00623332" w:rsidRPr="00623332" w:rsidRDefault="00623332" w:rsidP="00623332">
      <w:pPr>
        <w:tabs>
          <w:tab w:val="left" w:pos="284"/>
        </w:tabs>
        <w:spacing w:after="120"/>
        <w:rPr>
          <w:rFonts w:ascii="Arial" w:hAnsi="Arial" w:cs="Arial"/>
          <w:sz w:val="20"/>
          <w:szCs w:val="20"/>
        </w:rPr>
      </w:pPr>
      <w:r w:rsidRPr="00055037">
        <w:rPr>
          <w:rFonts w:ascii="Arial" w:hAnsi="Arial" w:cs="Arial"/>
          <w:sz w:val="20"/>
          <w:szCs w:val="20"/>
        </w:rPr>
        <w:lastRenderedPageBreak/>
        <w:t>Defined Contribution Plans</w:t>
      </w:r>
      <w:r w:rsidRPr="00623332">
        <w:rPr>
          <w:rFonts w:ascii="Arial" w:hAnsi="Arial" w:cs="Arial"/>
          <w:sz w:val="20"/>
          <w:szCs w:val="20"/>
        </w:rPr>
        <w:t xml:space="preserve"> — Contributions are made to eligible complying superannuation funds based on the rates specified in the relevant </w:t>
      </w:r>
      <w:proofErr w:type="spellStart"/>
      <w:r w:rsidRPr="00623332">
        <w:rPr>
          <w:rFonts w:ascii="Arial" w:hAnsi="Arial" w:cs="Arial"/>
          <w:sz w:val="20"/>
          <w:szCs w:val="20"/>
        </w:rPr>
        <w:t>EBA</w:t>
      </w:r>
      <w:proofErr w:type="spellEnd"/>
      <w:r w:rsidRPr="00623332">
        <w:rPr>
          <w:rFonts w:ascii="Arial" w:hAnsi="Arial" w:cs="Arial"/>
          <w:sz w:val="20"/>
          <w:szCs w:val="20"/>
        </w:rPr>
        <w:t xml:space="preserve"> or other conditions of employment. </w:t>
      </w:r>
      <w:r w:rsidR="002A1D0D">
        <w:rPr>
          <w:rFonts w:ascii="Arial" w:hAnsi="Arial" w:cs="Arial"/>
          <w:sz w:val="20"/>
          <w:szCs w:val="20"/>
        </w:rPr>
        <w:t>C</w:t>
      </w:r>
      <w:r w:rsidRPr="00623332">
        <w:rPr>
          <w:rFonts w:ascii="Arial" w:hAnsi="Arial" w:cs="Arial"/>
          <w:sz w:val="20"/>
          <w:szCs w:val="20"/>
        </w:rPr>
        <w:t xml:space="preserve">ontributions are expensed when they are paid or become payable following completion of the employee's service each pay period.  </w:t>
      </w:r>
    </w:p>
    <w:p w:rsidR="00623332" w:rsidRPr="009A39B7" w:rsidRDefault="00623332" w:rsidP="00623332">
      <w:pPr>
        <w:tabs>
          <w:tab w:val="left" w:pos="284"/>
        </w:tabs>
        <w:spacing w:after="120"/>
        <w:rPr>
          <w:rFonts w:ascii="Arial" w:hAnsi="Arial" w:cs="Arial"/>
          <w:spacing w:val="-4"/>
          <w:sz w:val="20"/>
          <w:szCs w:val="20"/>
        </w:rPr>
      </w:pPr>
      <w:r w:rsidRPr="00055037">
        <w:rPr>
          <w:rFonts w:ascii="Arial" w:hAnsi="Arial" w:cs="Arial"/>
          <w:spacing w:val="-4"/>
          <w:sz w:val="20"/>
          <w:szCs w:val="20"/>
        </w:rPr>
        <w:t>Defined Benefit Plan</w:t>
      </w:r>
      <w:r w:rsidRPr="00623332">
        <w:rPr>
          <w:rFonts w:ascii="Arial" w:hAnsi="Arial" w:cs="Arial"/>
          <w:spacing w:val="-4"/>
          <w:sz w:val="20"/>
          <w:szCs w:val="20"/>
        </w:rPr>
        <w:t xml:space="preserve"> </w:t>
      </w:r>
      <w:r w:rsidRPr="009A39B7">
        <w:rPr>
          <w:rFonts w:ascii="Arial" w:hAnsi="Arial" w:cs="Arial"/>
          <w:spacing w:val="-4"/>
          <w:sz w:val="20"/>
          <w:szCs w:val="20"/>
        </w:rPr>
        <w:t>—</w:t>
      </w:r>
      <w:r w:rsidRPr="00623332">
        <w:rPr>
          <w:rFonts w:ascii="Arial" w:hAnsi="Arial" w:cs="Arial"/>
          <w:spacing w:val="-4"/>
          <w:sz w:val="20"/>
          <w:szCs w:val="20"/>
        </w:rPr>
        <w:t xml:space="preserve"> The liability for defined benefits is held on a whole-of-government basis and reported in those financial statements pursuant to </w:t>
      </w:r>
      <w:proofErr w:type="spellStart"/>
      <w:r w:rsidRPr="00623332">
        <w:rPr>
          <w:rFonts w:ascii="Arial" w:hAnsi="Arial" w:cs="Arial"/>
          <w:spacing w:val="-4"/>
          <w:sz w:val="20"/>
          <w:szCs w:val="20"/>
        </w:rPr>
        <w:t>AASB</w:t>
      </w:r>
      <w:proofErr w:type="spellEnd"/>
      <w:r w:rsidRPr="00623332">
        <w:rPr>
          <w:rFonts w:ascii="Arial" w:hAnsi="Arial" w:cs="Arial"/>
          <w:spacing w:val="-4"/>
          <w:sz w:val="20"/>
          <w:szCs w:val="20"/>
        </w:rPr>
        <w:t xml:space="preserve"> 1049 Whole of Government and General Government</w:t>
      </w:r>
      <w:r w:rsidR="009A39B7" w:rsidRPr="009A39B7">
        <w:rPr>
          <w:rFonts w:ascii="Arial" w:hAnsi="Arial" w:cs="Arial"/>
          <w:spacing w:val="-4"/>
          <w:sz w:val="20"/>
          <w:szCs w:val="20"/>
        </w:rPr>
        <w:t xml:space="preserve"> </w:t>
      </w:r>
      <w:r w:rsidRPr="00623332">
        <w:rPr>
          <w:rFonts w:ascii="Arial" w:hAnsi="Arial" w:cs="Arial"/>
          <w:spacing w:val="-4"/>
          <w:sz w:val="20"/>
          <w:szCs w:val="20"/>
        </w:rPr>
        <w:t xml:space="preserve">Sector Financial Reporting. The amount of contributions for defined benefit plan obligations is based upon the rates determined by the Treasurer on the advice of the State Actuary. Contributions are paid by the Library Board at the specified rate following completion of the employee's service each pay period. The Library Board's obligations are limited to those contributions paid.  </w:t>
      </w:r>
    </w:p>
    <w:p w:rsidR="00623332" w:rsidRPr="00623332" w:rsidRDefault="00623332" w:rsidP="00623332">
      <w:pPr>
        <w:rPr>
          <w:rFonts w:ascii="Arial" w:hAnsi="Arial" w:cs="Arial"/>
          <w:i/>
          <w:iCs/>
          <w:sz w:val="20"/>
          <w:szCs w:val="20"/>
        </w:rPr>
      </w:pPr>
      <w:r w:rsidRPr="00623332">
        <w:rPr>
          <w:rFonts w:ascii="Arial" w:hAnsi="Arial" w:cs="Arial"/>
          <w:i/>
          <w:iCs/>
          <w:sz w:val="20"/>
          <w:szCs w:val="20"/>
        </w:rPr>
        <w:t xml:space="preserve">Accounting Policy </w:t>
      </w:r>
      <w:r>
        <w:rPr>
          <w:rFonts w:ascii="Arial" w:hAnsi="Arial" w:cs="Arial"/>
          <w:i/>
          <w:iCs/>
          <w:sz w:val="20"/>
          <w:szCs w:val="20"/>
        </w:rPr>
        <w:t>—</w:t>
      </w:r>
      <w:r w:rsidRPr="00623332">
        <w:rPr>
          <w:rFonts w:ascii="Arial" w:hAnsi="Arial" w:cs="Arial"/>
          <w:i/>
          <w:iCs/>
          <w:sz w:val="20"/>
          <w:szCs w:val="20"/>
        </w:rPr>
        <w:t xml:space="preserve"> Workers' Compensation Premiums</w:t>
      </w:r>
    </w:p>
    <w:p w:rsidR="00623332" w:rsidRPr="00C83B2B" w:rsidRDefault="00623332" w:rsidP="009A39B7">
      <w:pPr>
        <w:rPr>
          <w:rFonts w:ascii="Arial" w:hAnsi="Arial" w:cs="Arial"/>
          <w:sz w:val="20"/>
          <w:szCs w:val="20"/>
        </w:rPr>
        <w:sectPr w:rsidR="00623332" w:rsidRPr="00C83B2B" w:rsidSect="00B53922">
          <w:type w:val="continuous"/>
          <w:pgSz w:w="11906" w:h="16838"/>
          <w:pgMar w:top="1440" w:right="1701" w:bottom="1440" w:left="1701" w:header="680" w:footer="680" w:gutter="0"/>
          <w:cols w:num="2" w:space="566"/>
          <w:docGrid w:linePitch="360"/>
        </w:sectPr>
      </w:pPr>
      <w:r w:rsidRPr="00623332">
        <w:rPr>
          <w:rFonts w:ascii="Arial" w:hAnsi="Arial" w:cs="Arial"/>
          <w:sz w:val="20"/>
          <w:szCs w:val="20"/>
        </w:rPr>
        <w:t>The Library Board pays premiums to WorkCover Queensland in respect of its obligations for employee compensation.  Workers' compensation insurance is a consequence of employing employees, but is not counted in an employee's total remuneration package. It is not an employee benefit and is recognised separately as employee related expenses.</w:t>
      </w:r>
    </w:p>
    <w:p w:rsidR="001F40DC" w:rsidRPr="002A1D0D" w:rsidRDefault="001F40DC" w:rsidP="002A1D0D">
      <w:pPr>
        <w:rPr>
          <w:rFonts w:ascii="Arial" w:hAnsi="Arial" w:cs="Arial"/>
          <w:i/>
          <w:iCs/>
          <w:spacing w:val="-2"/>
          <w:sz w:val="16"/>
          <w:szCs w:val="16"/>
        </w:rPr>
        <w:sectPr w:rsidR="001F40DC" w:rsidRPr="002A1D0D" w:rsidSect="00B53922">
          <w:type w:val="continuous"/>
          <w:pgSz w:w="11906" w:h="16838"/>
          <w:pgMar w:top="1440" w:right="1701" w:bottom="1440" w:left="1701" w:header="680" w:footer="680" w:gutter="0"/>
          <w:cols w:num="2" w:space="566"/>
          <w:docGrid w:linePitch="360"/>
        </w:sectPr>
      </w:pPr>
    </w:p>
    <w:p w:rsidR="001508E4" w:rsidRPr="00DE475B" w:rsidRDefault="001508E4" w:rsidP="002A1D0D">
      <w:pPr>
        <w:rPr>
          <w:rFonts w:ascii="Arial" w:hAnsi="Arial" w:cs="Arial"/>
          <w:i/>
          <w:iCs/>
          <w:spacing w:val="-2"/>
          <w:sz w:val="20"/>
          <w:szCs w:val="20"/>
        </w:rPr>
        <w:sectPr w:rsidR="001508E4" w:rsidRPr="00DE475B" w:rsidSect="00B53922">
          <w:type w:val="continuous"/>
          <w:pgSz w:w="11906" w:h="16838"/>
          <w:pgMar w:top="1440" w:right="1701" w:bottom="1440" w:left="1701" w:header="680" w:footer="680" w:gutter="0"/>
          <w:cols w:space="566"/>
          <w:docGrid w:linePitch="360"/>
        </w:sectPr>
      </w:pPr>
      <w:r w:rsidRPr="00DE475B">
        <w:rPr>
          <w:rFonts w:ascii="Arial" w:hAnsi="Arial" w:cs="Arial"/>
          <w:spacing w:val="-2"/>
          <w:sz w:val="20"/>
          <w:szCs w:val="20"/>
        </w:rPr>
        <w:lastRenderedPageBreak/>
        <w:t xml:space="preserve">Key Management Personnel and remuneration disclosures </w:t>
      </w:r>
      <w:r w:rsidR="00C83B2B">
        <w:rPr>
          <w:rFonts w:ascii="Arial" w:hAnsi="Arial" w:cs="Arial"/>
          <w:spacing w:val="-2"/>
          <w:sz w:val="20"/>
          <w:szCs w:val="20"/>
        </w:rPr>
        <w:t xml:space="preserve">are </w:t>
      </w:r>
      <w:r w:rsidRPr="00DE475B">
        <w:rPr>
          <w:rFonts w:ascii="Arial" w:hAnsi="Arial" w:cs="Arial"/>
          <w:spacing w:val="-2"/>
          <w:sz w:val="20"/>
          <w:szCs w:val="20"/>
        </w:rPr>
        <w:t>detailed in Note F1</w:t>
      </w:r>
    </w:p>
    <w:tbl>
      <w:tblPr>
        <w:tblW w:w="8647" w:type="dxa"/>
        <w:tblInd w:w="108" w:type="dxa"/>
        <w:tblLayout w:type="fixed"/>
        <w:tblLook w:val="0000" w:firstRow="0" w:lastRow="0" w:firstColumn="0" w:lastColumn="0" w:noHBand="0" w:noVBand="0"/>
      </w:tblPr>
      <w:tblGrid>
        <w:gridCol w:w="482"/>
        <w:gridCol w:w="1111"/>
        <w:gridCol w:w="976"/>
        <w:gridCol w:w="976"/>
        <w:gridCol w:w="990"/>
        <w:gridCol w:w="400"/>
        <w:gridCol w:w="928"/>
        <w:gridCol w:w="928"/>
        <w:gridCol w:w="928"/>
        <w:gridCol w:w="928"/>
      </w:tblGrid>
      <w:tr w:rsidR="00465A27" w:rsidRPr="00DE475B" w:rsidTr="00C01993">
        <w:trPr>
          <w:trHeight w:val="153"/>
        </w:trPr>
        <w:tc>
          <w:tcPr>
            <w:tcW w:w="482" w:type="dxa"/>
            <w:shd w:val="clear" w:color="auto" w:fill="auto"/>
            <w:vAlign w:val="bottom"/>
          </w:tcPr>
          <w:p w:rsidR="00465A27" w:rsidRPr="002A1D0D" w:rsidRDefault="00465A27" w:rsidP="00465A27">
            <w:pPr>
              <w:snapToGrid w:val="0"/>
              <w:spacing w:before="160"/>
              <w:rPr>
                <w:rFonts w:ascii="Arial" w:hAnsi="Arial" w:cs="Arial"/>
                <w:b/>
                <w:bCs/>
                <w:sz w:val="16"/>
                <w:szCs w:val="16"/>
              </w:rPr>
            </w:pPr>
          </w:p>
        </w:tc>
        <w:tc>
          <w:tcPr>
            <w:tcW w:w="1111" w:type="dxa"/>
            <w:shd w:val="clear" w:color="auto" w:fill="auto"/>
            <w:vAlign w:val="bottom"/>
          </w:tcPr>
          <w:p w:rsidR="00465A27" w:rsidRPr="002A1D0D" w:rsidRDefault="00465A27" w:rsidP="00465A27">
            <w:pPr>
              <w:snapToGrid w:val="0"/>
              <w:spacing w:before="160"/>
              <w:rPr>
                <w:rFonts w:ascii="Arial" w:hAnsi="Arial" w:cs="Arial"/>
                <w:b/>
                <w:bCs/>
                <w:sz w:val="16"/>
                <w:szCs w:val="16"/>
              </w:rPr>
            </w:pPr>
          </w:p>
        </w:tc>
        <w:tc>
          <w:tcPr>
            <w:tcW w:w="976" w:type="dxa"/>
            <w:shd w:val="clear" w:color="auto" w:fill="auto"/>
            <w:vAlign w:val="bottom"/>
          </w:tcPr>
          <w:p w:rsidR="00465A27" w:rsidRPr="002A1D0D" w:rsidRDefault="00465A27" w:rsidP="00465A27">
            <w:pPr>
              <w:snapToGrid w:val="0"/>
              <w:spacing w:before="160"/>
              <w:rPr>
                <w:rFonts w:ascii="Arial" w:hAnsi="Arial" w:cs="Arial"/>
                <w:b/>
                <w:bCs/>
                <w:sz w:val="16"/>
                <w:szCs w:val="16"/>
              </w:rPr>
            </w:pPr>
          </w:p>
        </w:tc>
        <w:tc>
          <w:tcPr>
            <w:tcW w:w="1966" w:type="dxa"/>
            <w:gridSpan w:val="2"/>
            <w:shd w:val="clear" w:color="auto" w:fill="auto"/>
            <w:vAlign w:val="bottom"/>
          </w:tcPr>
          <w:p w:rsidR="00465A27" w:rsidRPr="002A1D0D" w:rsidRDefault="00465A27" w:rsidP="00465A27">
            <w:pPr>
              <w:snapToGrid w:val="0"/>
              <w:spacing w:before="160"/>
              <w:rPr>
                <w:rFonts w:ascii="Arial" w:hAnsi="Arial" w:cs="Arial"/>
                <w:b/>
                <w:bCs/>
                <w:sz w:val="16"/>
                <w:szCs w:val="16"/>
              </w:rPr>
            </w:pPr>
          </w:p>
        </w:tc>
        <w:tc>
          <w:tcPr>
            <w:tcW w:w="400" w:type="dxa"/>
            <w:shd w:val="clear" w:color="auto" w:fill="auto"/>
            <w:vAlign w:val="bottom"/>
          </w:tcPr>
          <w:p w:rsidR="00465A27" w:rsidRPr="002A1D0D" w:rsidRDefault="00465A27" w:rsidP="00465A27">
            <w:pPr>
              <w:snapToGrid w:val="0"/>
              <w:spacing w:before="160"/>
              <w:rPr>
                <w:rFonts w:ascii="Arial" w:hAnsi="Arial" w:cs="Arial"/>
                <w:b/>
                <w:bCs/>
                <w:sz w:val="16"/>
                <w:szCs w:val="16"/>
              </w:rPr>
            </w:pPr>
          </w:p>
        </w:tc>
        <w:tc>
          <w:tcPr>
            <w:tcW w:w="1856" w:type="dxa"/>
            <w:gridSpan w:val="2"/>
            <w:shd w:val="clear" w:color="auto" w:fill="auto"/>
            <w:vAlign w:val="bottom"/>
          </w:tcPr>
          <w:p w:rsidR="00465A27" w:rsidRPr="00DE475B" w:rsidRDefault="00465A27" w:rsidP="003A7735">
            <w:pPr>
              <w:spacing w:before="160"/>
              <w:jc w:val="center"/>
              <w:rPr>
                <w:rFonts w:ascii="Arial" w:hAnsi="Arial" w:cs="Arial"/>
                <w:b/>
                <w:bCs/>
                <w:sz w:val="20"/>
                <w:szCs w:val="20"/>
              </w:rPr>
            </w:pPr>
            <w:r w:rsidRPr="00DE475B">
              <w:rPr>
                <w:rFonts w:ascii="Arial" w:hAnsi="Arial" w:cs="Arial"/>
                <w:b/>
                <w:bCs/>
                <w:sz w:val="20"/>
                <w:szCs w:val="20"/>
              </w:rPr>
              <w:t>Economic Entity</w:t>
            </w:r>
          </w:p>
        </w:tc>
        <w:tc>
          <w:tcPr>
            <w:tcW w:w="1856" w:type="dxa"/>
            <w:gridSpan w:val="2"/>
            <w:shd w:val="clear" w:color="auto" w:fill="auto"/>
            <w:vAlign w:val="bottom"/>
          </w:tcPr>
          <w:p w:rsidR="00465A27" w:rsidRPr="00DE475B" w:rsidRDefault="00465A27" w:rsidP="003A7735">
            <w:pPr>
              <w:spacing w:before="160"/>
              <w:jc w:val="center"/>
              <w:rPr>
                <w:rFonts w:ascii="Arial" w:hAnsi="Arial" w:cs="Arial"/>
                <w:b/>
                <w:bCs/>
                <w:sz w:val="20"/>
                <w:szCs w:val="20"/>
              </w:rPr>
            </w:pPr>
            <w:r w:rsidRPr="00DE475B">
              <w:rPr>
                <w:rFonts w:ascii="Arial" w:hAnsi="Arial" w:cs="Arial"/>
                <w:b/>
                <w:bCs/>
                <w:sz w:val="20"/>
                <w:szCs w:val="20"/>
              </w:rPr>
              <w:t>Parent Entity</w:t>
            </w:r>
          </w:p>
        </w:tc>
      </w:tr>
      <w:tr w:rsidR="00465A27" w:rsidRPr="00DE475B" w:rsidTr="00C83B2B">
        <w:trPr>
          <w:trHeight w:val="255"/>
        </w:trPr>
        <w:tc>
          <w:tcPr>
            <w:tcW w:w="482" w:type="dxa"/>
            <w:shd w:val="clear" w:color="auto" w:fill="auto"/>
            <w:vAlign w:val="bottom"/>
          </w:tcPr>
          <w:p w:rsidR="00465A27" w:rsidRPr="00DE475B" w:rsidRDefault="00465A27" w:rsidP="00FB3766">
            <w:pPr>
              <w:snapToGrid w:val="0"/>
              <w:jc w:val="right"/>
              <w:rPr>
                <w:rFonts w:ascii="Arial" w:hAnsi="Arial" w:cs="Arial"/>
                <w:b/>
                <w:bCs/>
                <w:sz w:val="20"/>
                <w:szCs w:val="20"/>
              </w:rPr>
            </w:pPr>
          </w:p>
        </w:tc>
        <w:tc>
          <w:tcPr>
            <w:tcW w:w="1111" w:type="dxa"/>
            <w:shd w:val="clear" w:color="auto" w:fill="auto"/>
            <w:vAlign w:val="bottom"/>
          </w:tcPr>
          <w:p w:rsidR="00465A27" w:rsidRPr="00DE475B" w:rsidRDefault="00465A27" w:rsidP="00FB3766">
            <w:pPr>
              <w:snapToGrid w:val="0"/>
              <w:jc w:val="right"/>
              <w:rPr>
                <w:rFonts w:ascii="Arial" w:hAnsi="Arial" w:cs="Arial"/>
                <w:b/>
                <w:bCs/>
                <w:sz w:val="20"/>
                <w:szCs w:val="20"/>
              </w:rPr>
            </w:pPr>
          </w:p>
        </w:tc>
        <w:tc>
          <w:tcPr>
            <w:tcW w:w="976" w:type="dxa"/>
            <w:shd w:val="clear" w:color="auto" w:fill="auto"/>
            <w:vAlign w:val="bottom"/>
          </w:tcPr>
          <w:p w:rsidR="00465A27" w:rsidRPr="00DE475B" w:rsidRDefault="00465A27" w:rsidP="00FB3766">
            <w:pPr>
              <w:snapToGrid w:val="0"/>
              <w:jc w:val="right"/>
              <w:rPr>
                <w:rFonts w:ascii="Arial" w:hAnsi="Arial" w:cs="Arial"/>
                <w:b/>
                <w:bCs/>
                <w:sz w:val="20"/>
                <w:szCs w:val="20"/>
              </w:rPr>
            </w:pPr>
          </w:p>
        </w:tc>
        <w:tc>
          <w:tcPr>
            <w:tcW w:w="1966" w:type="dxa"/>
            <w:gridSpan w:val="2"/>
            <w:shd w:val="clear" w:color="auto" w:fill="auto"/>
            <w:vAlign w:val="bottom"/>
          </w:tcPr>
          <w:p w:rsidR="00465A27" w:rsidRPr="00DE475B" w:rsidRDefault="00465A27" w:rsidP="00FB3766">
            <w:pPr>
              <w:snapToGrid w:val="0"/>
              <w:jc w:val="right"/>
              <w:rPr>
                <w:rFonts w:ascii="Arial" w:hAnsi="Arial" w:cs="Arial"/>
                <w:b/>
                <w:bCs/>
                <w:sz w:val="20"/>
                <w:szCs w:val="20"/>
              </w:rPr>
            </w:pPr>
          </w:p>
        </w:tc>
        <w:tc>
          <w:tcPr>
            <w:tcW w:w="400" w:type="dxa"/>
            <w:shd w:val="clear" w:color="auto" w:fill="auto"/>
            <w:vAlign w:val="bottom"/>
          </w:tcPr>
          <w:p w:rsidR="00465A27" w:rsidRPr="00DE475B" w:rsidRDefault="00465A27" w:rsidP="00FB3766">
            <w:pPr>
              <w:snapToGrid w:val="0"/>
              <w:jc w:val="right"/>
              <w:rPr>
                <w:rFonts w:ascii="Arial" w:hAnsi="Arial" w:cs="Arial"/>
                <w:b/>
                <w:bCs/>
                <w:sz w:val="20"/>
                <w:szCs w:val="20"/>
              </w:rPr>
            </w:pPr>
          </w:p>
        </w:tc>
        <w:tc>
          <w:tcPr>
            <w:tcW w:w="928" w:type="dxa"/>
            <w:shd w:val="clear" w:color="auto" w:fill="auto"/>
            <w:vAlign w:val="bottom"/>
          </w:tcPr>
          <w:p w:rsidR="00465A27" w:rsidRPr="00DE475B" w:rsidRDefault="002A1D0D" w:rsidP="00FB3766">
            <w:pPr>
              <w:jc w:val="right"/>
              <w:rPr>
                <w:rFonts w:ascii="Arial" w:hAnsi="Arial" w:cs="Arial"/>
                <w:b/>
                <w:bCs/>
                <w:sz w:val="20"/>
                <w:szCs w:val="20"/>
              </w:rPr>
            </w:pPr>
            <w:r>
              <w:rPr>
                <w:rFonts w:ascii="Arial" w:hAnsi="Arial" w:cs="Arial"/>
                <w:b/>
                <w:bCs/>
                <w:sz w:val="20"/>
                <w:szCs w:val="20"/>
              </w:rPr>
              <w:t>2017</w:t>
            </w:r>
          </w:p>
        </w:tc>
        <w:tc>
          <w:tcPr>
            <w:tcW w:w="928" w:type="dxa"/>
            <w:shd w:val="clear" w:color="auto" w:fill="auto"/>
            <w:vAlign w:val="bottom"/>
          </w:tcPr>
          <w:p w:rsidR="00465A27" w:rsidRPr="00DE475B" w:rsidRDefault="002A1D0D" w:rsidP="00FB3766">
            <w:pPr>
              <w:jc w:val="right"/>
              <w:rPr>
                <w:rFonts w:ascii="Arial" w:hAnsi="Arial" w:cs="Arial"/>
                <w:b/>
                <w:bCs/>
                <w:sz w:val="20"/>
                <w:szCs w:val="20"/>
              </w:rPr>
            </w:pPr>
            <w:r>
              <w:rPr>
                <w:rFonts w:ascii="Arial" w:hAnsi="Arial" w:cs="Arial"/>
                <w:b/>
                <w:bCs/>
                <w:sz w:val="20"/>
                <w:szCs w:val="20"/>
              </w:rPr>
              <w:t>2016</w:t>
            </w:r>
          </w:p>
        </w:tc>
        <w:tc>
          <w:tcPr>
            <w:tcW w:w="928" w:type="dxa"/>
            <w:shd w:val="clear" w:color="auto" w:fill="auto"/>
            <w:vAlign w:val="bottom"/>
          </w:tcPr>
          <w:p w:rsidR="00465A27" w:rsidRPr="00DE475B" w:rsidRDefault="002A1D0D" w:rsidP="00FB3766">
            <w:pPr>
              <w:jc w:val="right"/>
              <w:rPr>
                <w:rFonts w:ascii="Arial" w:hAnsi="Arial" w:cs="Arial"/>
                <w:b/>
                <w:bCs/>
                <w:sz w:val="20"/>
                <w:szCs w:val="20"/>
              </w:rPr>
            </w:pPr>
            <w:r>
              <w:rPr>
                <w:rFonts w:ascii="Arial" w:hAnsi="Arial" w:cs="Arial"/>
                <w:b/>
                <w:bCs/>
                <w:sz w:val="20"/>
                <w:szCs w:val="20"/>
              </w:rPr>
              <w:t>2017</w:t>
            </w:r>
          </w:p>
        </w:tc>
        <w:tc>
          <w:tcPr>
            <w:tcW w:w="928" w:type="dxa"/>
            <w:shd w:val="clear" w:color="auto" w:fill="auto"/>
            <w:vAlign w:val="bottom"/>
          </w:tcPr>
          <w:p w:rsidR="00465A27" w:rsidRPr="00DE475B" w:rsidRDefault="002A1D0D" w:rsidP="00FB3766">
            <w:pPr>
              <w:jc w:val="right"/>
              <w:rPr>
                <w:rFonts w:ascii="Arial" w:hAnsi="Arial" w:cs="Arial"/>
                <w:b/>
                <w:bCs/>
                <w:sz w:val="20"/>
                <w:szCs w:val="20"/>
              </w:rPr>
            </w:pPr>
            <w:r>
              <w:rPr>
                <w:rFonts w:ascii="Arial" w:hAnsi="Arial" w:cs="Arial"/>
                <w:b/>
                <w:bCs/>
                <w:sz w:val="20"/>
                <w:szCs w:val="20"/>
              </w:rPr>
              <w:t>2016</w:t>
            </w:r>
          </w:p>
        </w:tc>
      </w:tr>
      <w:tr w:rsidR="00465A27" w:rsidRPr="00DE475B" w:rsidTr="009A39B7">
        <w:trPr>
          <w:trHeight w:val="153"/>
        </w:trPr>
        <w:tc>
          <w:tcPr>
            <w:tcW w:w="482" w:type="dxa"/>
            <w:shd w:val="clear" w:color="auto" w:fill="auto"/>
            <w:vAlign w:val="bottom"/>
          </w:tcPr>
          <w:p w:rsidR="00465A27" w:rsidRPr="00DE475B" w:rsidRDefault="00465A27" w:rsidP="00FB3766">
            <w:pPr>
              <w:snapToGrid w:val="0"/>
              <w:jc w:val="right"/>
              <w:rPr>
                <w:rFonts w:ascii="Arial" w:hAnsi="Arial" w:cs="Arial"/>
                <w:b/>
                <w:bCs/>
                <w:sz w:val="20"/>
                <w:szCs w:val="20"/>
              </w:rPr>
            </w:pPr>
          </w:p>
        </w:tc>
        <w:tc>
          <w:tcPr>
            <w:tcW w:w="1111" w:type="dxa"/>
            <w:shd w:val="clear" w:color="auto" w:fill="auto"/>
            <w:vAlign w:val="bottom"/>
          </w:tcPr>
          <w:p w:rsidR="00465A27" w:rsidRPr="00DE475B" w:rsidRDefault="00465A27" w:rsidP="00FB3766">
            <w:pPr>
              <w:snapToGrid w:val="0"/>
              <w:jc w:val="right"/>
              <w:rPr>
                <w:rFonts w:ascii="Arial" w:hAnsi="Arial" w:cs="Arial"/>
                <w:b/>
                <w:bCs/>
                <w:sz w:val="20"/>
                <w:szCs w:val="20"/>
              </w:rPr>
            </w:pPr>
          </w:p>
        </w:tc>
        <w:tc>
          <w:tcPr>
            <w:tcW w:w="976" w:type="dxa"/>
            <w:shd w:val="clear" w:color="auto" w:fill="auto"/>
            <w:vAlign w:val="bottom"/>
          </w:tcPr>
          <w:p w:rsidR="00465A27" w:rsidRPr="00DE475B" w:rsidRDefault="00465A27" w:rsidP="00FB3766">
            <w:pPr>
              <w:snapToGrid w:val="0"/>
              <w:jc w:val="right"/>
              <w:rPr>
                <w:rFonts w:ascii="Arial" w:hAnsi="Arial" w:cs="Arial"/>
                <w:b/>
                <w:bCs/>
                <w:sz w:val="20"/>
                <w:szCs w:val="20"/>
              </w:rPr>
            </w:pPr>
          </w:p>
        </w:tc>
        <w:tc>
          <w:tcPr>
            <w:tcW w:w="1966" w:type="dxa"/>
            <w:gridSpan w:val="2"/>
            <w:shd w:val="clear" w:color="auto" w:fill="auto"/>
            <w:vAlign w:val="bottom"/>
          </w:tcPr>
          <w:p w:rsidR="00465A27" w:rsidRPr="00DE475B" w:rsidRDefault="00465A27" w:rsidP="00FB3766">
            <w:pPr>
              <w:snapToGrid w:val="0"/>
              <w:jc w:val="right"/>
              <w:rPr>
                <w:rFonts w:ascii="Arial" w:hAnsi="Arial" w:cs="Arial"/>
                <w:b/>
                <w:bCs/>
                <w:sz w:val="20"/>
                <w:szCs w:val="20"/>
              </w:rPr>
            </w:pPr>
          </w:p>
        </w:tc>
        <w:tc>
          <w:tcPr>
            <w:tcW w:w="400" w:type="dxa"/>
            <w:shd w:val="clear" w:color="auto" w:fill="auto"/>
            <w:vAlign w:val="bottom"/>
          </w:tcPr>
          <w:p w:rsidR="00465A27" w:rsidRPr="00DE475B" w:rsidRDefault="00465A27" w:rsidP="00FB3766">
            <w:pPr>
              <w:snapToGrid w:val="0"/>
              <w:jc w:val="right"/>
              <w:rPr>
                <w:rFonts w:ascii="Arial" w:hAnsi="Arial" w:cs="Arial"/>
                <w:b/>
                <w:bCs/>
                <w:sz w:val="20"/>
                <w:szCs w:val="20"/>
              </w:rPr>
            </w:pPr>
          </w:p>
        </w:tc>
        <w:tc>
          <w:tcPr>
            <w:tcW w:w="928" w:type="dxa"/>
            <w:shd w:val="clear" w:color="auto" w:fill="auto"/>
            <w:vAlign w:val="bottom"/>
          </w:tcPr>
          <w:p w:rsidR="00465A27" w:rsidRPr="00DE475B" w:rsidRDefault="00465A27" w:rsidP="00FB3766">
            <w:pPr>
              <w:jc w:val="right"/>
              <w:rPr>
                <w:rFonts w:ascii="Arial" w:hAnsi="Arial" w:cs="Arial"/>
                <w:b/>
                <w:bCs/>
                <w:sz w:val="20"/>
                <w:szCs w:val="20"/>
              </w:rPr>
            </w:pPr>
            <w:r w:rsidRPr="00DE475B">
              <w:rPr>
                <w:rFonts w:ascii="Arial" w:hAnsi="Arial" w:cs="Arial"/>
                <w:b/>
                <w:bCs/>
                <w:sz w:val="20"/>
                <w:szCs w:val="20"/>
              </w:rPr>
              <w:t>$'000</w:t>
            </w:r>
          </w:p>
        </w:tc>
        <w:tc>
          <w:tcPr>
            <w:tcW w:w="928" w:type="dxa"/>
            <w:shd w:val="clear" w:color="auto" w:fill="auto"/>
            <w:vAlign w:val="bottom"/>
          </w:tcPr>
          <w:p w:rsidR="00465A27" w:rsidRPr="00DE475B" w:rsidRDefault="00465A27" w:rsidP="00FB3766">
            <w:pPr>
              <w:jc w:val="right"/>
              <w:rPr>
                <w:rFonts w:ascii="Arial" w:hAnsi="Arial" w:cs="Arial"/>
                <w:b/>
                <w:bCs/>
                <w:sz w:val="20"/>
                <w:szCs w:val="20"/>
              </w:rPr>
            </w:pPr>
            <w:r w:rsidRPr="00DE475B">
              <w:rPr>
                <w:rFonts w:ascii="Arial" w:hAnsi="Arial" w:cs="Arial"/>
                <w:b/>
                <w:bCs/>
                <w:sz w:val="20"/>
                <w:szCs w:val="20"/>
              </w:rPr>
              <w:t>$'000</w:t>
            </w:r>
          </w:p>
        </w:tc>
        <w:tc>
          <w:tcPr>
            <w:tcW w:w="928" w:type="dxa"/>
            <w:shd w:val="clear" w:color="auto" w:fill="auto"/>
            <w:vAlign w:val="bottom"/>
          </w:tcPr>
          <w:p w:rsidR="00465A27" w:rsidRPr="00DE475B" w:rsidRDefault="00465A27" w:rsidP="00FB3766">
            <w:pPr>
              <w:jc w:val="right"/>
              <w:rPr>
                <w:rFonts w:ascii="Arial" w:hAnsi="Arial" w:cs="Arial"/>
                <w:b/>
                <w:bCs/>
                <w:sz w:val="20"/>
                <w:szCs w:val="20"/>
              </w:rPr>
            </w:pPr>
            <w:r w:rsidRPr="00DE475B">
              <w:rPr>
                <w:rFonts w:ascii="Arial" w:hAnsi="Arial" w:cs="Arial"/>
                <w:b/>
                <w:bCs/>
                <w:sz w:val="20"/>
                <w:szCs w:val="20"/>
              </w:rPr>
              <w:t>$'000</w:t>
            </w:r>
          </w:p>
        </w:tc>
        <w:tc>
          <w:tcPr>
            <w:tcW w:w="928" w:type="dxa"/>
            <w:shd w:val="clear" w:color="auto" w:fill="auto"/>
            <w:vAlign w:val="bottom"/>
          </w:tcPr>
          <w:p w:rsidR="00465A27" w:rsidRPr="00DE475B" w:rsidRDefault="00465A27" w:rsidP="00FB3766">
            <w:pPr>
              <w:jc w:val="right"/>
              <w:rPr>
                <w:rFonts w:ascii="Arial" w:hAnsi="Arial" w:cs="Arial"/>
                <w:b/>
                <w:bCs/>
                <w:sz w:val="20"/>
                <w:szCs w:val="20"/>
              </w:rPr>
            </w:pPr>
            <w:r w:rsidRPr="00DE475B">
              <w:rPr>
                <w:rFonts w:ascii="Arial" w:hAnsi="Arial" w:cs="Arial"/>
                <w:b/>
                <w:bCs/>
                <w:sz w:val="20"/>
                <w:szCs w:val="20"/>
              </w:rPr>
              <w:t>$'000</w:t>
            </w:r>
          </w:p>
        </w:tc>
      </w:tr>
      <w:tr w:rsidR="00465A27" w:rsidRPr="00DE475B" w:rsidTr="00C83B2B">
        <w:trPr>
          <w:trHeight w:val="255"/>
        </w:trPr>
        <w:tc>
          <w:tcPr>
            <w:tcW w:w="4535" w:type="dxa"/>
            <w:gridSpan w:val="5"/>
            <w:shd w:val="clear" w:color="auto" w:fill="auto"/>
            <w:vAlign w:val="bottom"/>
          </w:tcPr>
          <w:p w:rsidR="00465A27" w:rsidRPr="00DE475B" w:rsidRDefault="00465A27" w:rsidP="00FB3766">
            <w:pPr>
              <w:rPr>
                <w:rFonts w:ascii="Arial" w:hAnsi="Arial" w:cs="Arial"/>
                <w:sz w:val="20"/>
                <w:szCs w:val="20"/>
              </w:rPr>
            </w:pPr>
            <w:r w:rsidRPr="00DE475B">
              <w:rPr>
                <w:rFonts w:ascii="Arial" w:hAnsi="Arial" w:cs="Arial"/>
                <w:b/>
                <w:bCs/>
                <w:sz w:val="20"/>
                <w:szCs w:val="20"/>
              </w:rPr>
              <w:t>Employee Benefits</w:t>
            </w:r>
          </w:p>
        </w:tc>
        <w:tc>
          <w:tcPr>
            <w:tcW w:w="400" w:type="dxa"/>
            <w:shd w:val="clear" w:color="auto" w:fill="auto"/>
            <w:vAlign w:val="bottom"/>
          </w:tcPr>
          <w:p w:rsidR="00465A27" w:rsidRPr="00DE475B" w:rsidRDefault="00465A27" w:rsidP="00FB3766">
            <w:pPr>
              <w:snapToGrid w:val="0"/>
              <w:jc w:val="center"/>
              <w:rPr>
                <w:rFonts w:ascii="Arial" w:hAnsi="Arial" w:cs="Arial"/>
                <w:sz w:val="20"/>
                <w:szCs w:val="20"/>
              </w:rPr>
            </w:pPr>
          </w:p>
        </w:tc>
        <w:tc>
          <w:tcPr>
            <w:tcW w:w="928" w:type="dxa"/>
            <w:shd w:val="clear" w:color="auto" w:fill="auto"/>
            <w:vAlign w:val="bottom"/>
          </w:tcPr>
          <w:p w:rsidR="00465A27" w:rsidRPr="00DE475B" w:rsidRDefault="00465A27" w:rsidP="00FB3766">
            <w:pPr>
              <w:jc w:val="right"/>
              <w:rPr>
                <w:rFonts w:ascii="Arial" w:hAnsi="Arial" w:cs="Arial"/>
                <w:sz w:val="20"/>
                <w:szCs w:val="20"/>
              </w:rPr>
            </w:pPr>
          </w:p>
        </w:tc>
        <w:tc>
          <w:tcPr>
            <w:tcW w:w="928" w:type="dxa"/>
            <w:shd w:val="clear" w:color="auto" w:fill="auto"/>
            <w:vAlign w:val="bottom"/>
          </w:tcPr>
          <w:p w:rsidR="00465A27" w:rsidRPr="00DE475B" w:rsidRDefault="00465A27" w:rsidP="00FB3766">
            <w:pPr>
              <w:jc w:val="right"/>
              <w:rPr>
                <w:rFonts w:ascii="Arial" w:hAnsi="Arial" w:cs="Arial"/>
                <w:sz w:val="20"/>
                <w:szCs w:val="20"/>
              </w:rPr>
            </w:pPr>
          </w:p>
        </w:tc>
        <w:tc>
          <w:tcPr>
            <w:tcW w:w="928" w:type="dxa"/>
            <w:shd w:val="clear" w:color="auto" w:fill="auto"/>
            <w:vAlign w:val="bottom"/>
          </w:tcPr>
          <w:p w:rsidR="00465A27" w:rsidRPr="00DE475B" w:rsidRDefault="00465A27" w:rsidP="00FB3766">
            <w:pPr>
              <w:jc w:val="right"/>
              <w:rPr>
                <w:rFonts w:ascii="Arial" w:hAnsi="Arial" w:cs="Arial"/>
                <w:sz w:val="20"/>
                <w:szCs w:val="20"/>
              </w:rPr>
            </w:pPr>
          </w:p>
        </w:tc>
        <w:tc>
          <w:tcPr>
            <w:tcW w:w="928" w:type="dxa"/>
            <w:shd w:val="clear" w:color="auto" w:fill="auto"/>
            <w:vAlign w:val="bottom"/>
          </w:tcPr>
          <w:p w:rsidR="00465A27" w:rsidRPr="00DE475B" w:rsidRDefault="00465A27" w:rsidP="00FB3766">
            <w:pPr>
              <w:jc w:val="right"/>
              <w:rPr>
                <w:rFonts w:ascii="Arial" w:hAnsi="Arial" w:cs="Arial"/>
                <w:sz w:val="20"/>
                <w:szCs w:val="20"/>
              </w:rPr>
            </w:pPr>
          </w:p>
        </w:tc>
      </w:tr>
      <w:tr w:rsidR="009A39B7" w:rsidRPr="00DE475B" w:rsidTr="00C83B2B">
        <w:trPr>
          <w:trHeight w:val="255"/>
        </w:trPr>
        <w:tc>
          <w:tcPr>
            <w:tcW w:w="4535" w:type="dxa"/>
            <w:gridSpan w:val="5"/>
            <w:shd w:val="clear" w:color="auto" w:fill="auto"/>
            <w:vAlign w:val="bottom"/>
          </w:tcPr>
          <w:p w:rsidR="009A39B7" w:rsidRPr="00DE475B" w:rsidRDefault="009A39B7" w:rsidP="00FB3766">
            <w:pPr>
              <w:rPr>
                <w:rFonts w:ascii="Arial" w:hAnsi="Arial" w:cs="Arial"/>
                <w:sz w:val="20"/>
                <w:szCs w:val="20"/>
              </w:rPr>
            </w:pPr>
            <w:r w:rsidRPr="00DE475B">
              <w:rPr>
                <w:rFonts w:ascii="Arial" w:hAnsi="Arial" w:cs="Arial"/>
                <w:sz w:val="20"/>
                <w:szCs w:val="20"/>
              </w:rPr>
              <w:t>Wages and salaries</w:t>
            </w:r>
          </w:p>
        </w:tc>
        <w:tc>
          <w:tcPr>
            <w:tcW w:w="400" w:type="dxa"/>
            <w:shd w:val="clear" w:color="auto" w:fill="auto"/>
            <w:vAlign w:val="bottom"/>
          </w:tcPr>
          <w:p w:rsidR="009A39B7" w:rsidRPr="00DE475B" w:rsidRDefault="009A39B7" w:rsidP="00FB3766">
            <w:pPr>
              <w:snapToGrid w:val="0"/>
              <w:jc w:val="center"/>
              <w:rPr>
                <w:rFonts w:ascii="Arial" w:hAnsi="Arial" w:cs="Arial"/>
                <w:sz w:val="20"/>
                <w:szCs w:val="20"/>
              </w:rPr>
            </w:pPr>
          </w:p>
        </w:tc>
        <w:tc>
          <w:tcPr>
            <w:tcW w:w="928" w:type="dxa"/>
            <w:shd w:val="clear" w:color="auto" w:fill="auto"/>
            <w:vAlign w:val="bottom"/>
          </w:tcPr>
          <w:p w:rsidR="009A39B7" w:rsidRPr="00DE475B" w:rsidRDefault="003A7735" w:rsidP="00FB3766">
            <w:pPr>
              <w:jc w:val="right"/>
              <w:rPr>
                <w:rFonts w:ascii="Arial" w:hAnsi="Arial" w:cs="Arial"/>
                <w:sz w:val="20"/>
                <w:szCs w:val="20"/>
              </w:rPr>
            </w:pPr>
            <w:r>
              <w:rPr>
                <w:rFonts w:ascii="Arial" w:hAnsi="Arial" w:cs="Arial"/>
                <w:sz w:val="20"/>
                <w:szCs w:val="20"/>
              </w:rPr>
              <w:t>20,312</w:t>
            </w:r>
          </w:p>
        </w:tc>
        <w:tc>
          <w:tcPr>
            <w:tcW w:w="928" w:type="dxa"/>
            <w:shd w:val="clear" w:color="auto" w:fill="auto"/>
            <w:vAlign w:val="bottom"/>
          </w:tcPr>
          <w:p w:rsidR="009A39B7" w:rsidRPr="00DE475B" w:rsidRDefault="009A39B7" w:rsidP="00A2292F">
            <w:pPr>
              <w:jc w:val="right"/>
              <w:rPr>
                <w:rFonts w:ascii="Arial" w:hAnsi="Arial" w:cs="Arial"/>
                <w:sz w:val="20"/>
                <w:szCs w:val="20"/>
              </w:rPr>
            </w:pPr>
            <w:r w:rsidRPr="00DE475B">
              <w:rPr>
                <w:rFonts w:ascii="Arial" w:hAnsi="Arial" w:cs="Arial"/>
                <w:sz w:val="20"/>
                <w:szCs w:val="20"/>
              </w:rPr>
              <w:t>20,690</w:t>
            </w:r>
          </w:p>
        </w:tc>
        <w:tc>
          <w:tcPr>
            <w:tcW w:w="928" w:type="dxa"/>
            <w:shd w:val="clear" w:color="auto" w:fill="auto"/>
            <w:vAlign w:val="bottom"/>
          </w:tcPr>
          <w:p w:rsidR="009A39B7" w:rsidRPr="00DE475B" w:rsidRDefault="003A7735" w:rsidP="00A2292F">
            <w:pPr>
              <w:jc w:val="right"/>
              <w:rPr>
                <w:rFonts w:ascii="Arial" w:hAnsi="Arial" w:cs="Arial"/>
                <w:sz w:val="20"/>
                <w:szCs w:val="20"/>
              </w:rPr>
            </w:pPr>
            <w:r>
              <w:rPr>
                <w:rFonts w:ascii="Arial" w:hAnsi="Arial" w:cs="Arial"/>
                <w:sz w:val="20"/>
                <w:szCs w:val="20"/>
              </w:rPr>
              <w:t>20,312</w:t>
            </w:r>
          </w:p>
        </w:tc>
        <w:tc>
          <w:tcPr>
            <w:tcW w:w="928" w:type="dxa"/>
            <w:shd w:val="clear" w:color="auto" w:fill="auto"/>
            <w:vAlign w:val="bottom"/>
          </w:tcPr>
          <w:p w:rsidR="009A39B7" w:rsidRPr="00DE475B" w:rsidRDefault="009A39B7" w:rsidP="00A2292F">
            <w:pPr>
              <w:jc w:val="right"/>
              <w:rPr>
                <w:rFonts w:ascii="Arial" w:hAnsi="Arial" w:cs="Arial"/>
                <w:sz w:val="20"/>
                <w:szCs w:val="20"/>
              </w:rPr>
            </w:pPr>
            <w:r w:rsidRPr="00DE475B">
              <w:rPr>
                <w:rFonts w:ascii="Arial" w:hAnsi="Arial" w:cs="Arial"/>
                <w:sz w:val="20"/>
                <w:szCs w:val="20"/>
              </w:rPr>
              <w:t>20,690</w:t>
            </w:r>
          </w:p>
        </w:tc>
      </w:tr>
      <w:tr w:rsidR="009A39B7" w:rsidRPr="00DE475B" w:rsidTr="00C83B2B">
        <w:trPr>
          <w:trHeight w:val="255"/>
        </w:trPr>
        <w:tc>
          <w:tcPr>
            <w:tcW w:w="4535" w:type="dxa"/>
            <w:gridSpan w:val="5"/>
            <w:shd w:val="clear" w:color="auto" w:fill="auto"/>
            <w:vAlign w:val="bottom"/>
          </w:tcPr>
          <w:p w:rsidR="009A39B7" w:rsidRPr="00DE475B" w:rsidRDefault="009A39B7" w:rsidP="00FB3766">
            <w:pPr>
              <w:rPr>
                <w:rFonts w:ascii="Arial" w:hAnsi="Arial" w:cs="Arial"/>
                <w:b/>
                <w:bCs/>
                <w:sz w:val="20"/>
                <w:szCs w:val="20"/>
              </w:rPr>
            </w:pPr>
            <w:r w:rsidRPr="00DE475B">
              <w:rPr>
                <w:rFonts w:ascii="Arial" w:hAnsi="Arial" w:cs="Arial"/>
                <w:spacing w:val="-2"/>
                <w:sz w:val="20"/>
                <w:szCs w:val="20"/>
              </w:rPr>
              <w:t>Employer superannuation contributions</w:t>
            </w:r>
          </w:p>
        </w:tc>
        <w:tc>
          <w:tcPr>
            <w:tcW w:w="400" w:type="dxa"/>
            <w:shd w:val="clear" w:color="auto" w:fill="auto"/>
            <w:vAlign w:val="bottom"/>
          </w:tcPr>
          <w:p w:rsidR="009A39B7" w:rsidRPr="00DE475B" w:rsidRDefault="009A39B7" w:rsidP="00FB3766">
            <w:pPr>
              <w:jc w:val="center"/>
              <w:rPr>
                <w:rFonts w:ascii="Arial" w:hAnsi="Arial" w:cs="Arial"/>
                <w:sz w:val="20"/>
                <w:szCs w:val="20"/>
              </w:rPr>
            </w:pPr>
          </w:p>
        </w:tc>
        <w:tc>
          <w:tcPr>
            <w:tcW w:w="928" w:type="dxa"/>
            <w:shd w:val="clear" w:color="auto" w:fill="auto"/>
            <w:vAlign w:val="bottom"/>
          </w:tcPr>
          <w:p w:rsidR="009A39B7" w:rsidRPr="00DE475B" w:rsidRDefault="003A7735" w:rsidP="00FB3766">
            <w:pPr>
              <w:jc w:val="right"/>
              <w:rPr>
                <w:rFonts w:ascii="Arial" w:hAnsi="Arial" w:cs="Arial"/>
                <w:sz w:val="20"/>
                <w:szCs w:val="20"/>
              </w:rPr>
            </w:pPr>
            <w:r>
              <w:rPr>
                <w:rFonts w:ascii="Arial" w:hAnsi="Arial" w:cs="Arial"/>
                <w:sz w:val="20"/>
                <w:szCs w:val="20"/>
              </w:rPr>
              <w:t>2,739</w:t>
            </w:r>
          </w:p>
        </w:tc>
        <w:tc>
          <w:tcPr>
            <w:tcW w:w="928" w:type="dxa"/>
            <w:shd w:val="clear" w:color="auto" w:fill="auto"/>
            <w:vAlign w:val="bottom"/>
          </w:tcPr>
          <w:p w:rsidR="009A39B7" w:rsidRPr="00DE475B" w:rsidRDefault="009A39B7" w:rsidP="00A2292F">
            <w:pPr>
              <w:jc w:val="right"/>
              <w:rPr>
                <w:rFonts w:ascii="Arial" w:hAnsi="Arial" w:cs="Arial"/>
                <w:sz w:val="20"/>
                <w:szCs w:val="20"/>
              </w:rPr>
            </w:pPr>
            <w:r w:rsidRPr="00DE475B">
              <w:rPr>
                <w:rFonts w:ascii="Arial" w:hAnsi="Arial" w:cs="Arial"/>
                <w:sz w:val="20"/>
                <w:szCs w:val="20"/>
              </w:rPr>
              <w:t>2,732</w:t>
            </w:r>
          </w:p>
        </w:tc>
        <w:tc>
          <w:tcPr>
            <w:tcW w:w="928" w:type="dxa"/>
            <w:shd w:val="clear" w:color="auto" w:fill="auto"/>
            <w:vAlign w:val="bottom"/>
          </w:tcPr>
          <w:p w:rsidR="009A39B7" w:rsidRPr="00DE475B" w:rsidRDefault="003A7735" w:rsidP="00A2292F">
            <w:pPr>
              <w:jc w:val="right"/>
              <w:rPr>
                <w:rFonts w:ascii="Arial" w:hAnsi="Arial" w:cs="Arial"/>
                <w:sz w:val="20"/>
                <w:szCs w:val="20"/>
              </w:rPr>
            </w:pPr>
            <w:r>
              <w:rPr>
                <w:rFonts w:ascii="Arial" w:hAnsi="Arial" w:cs="Arial"/>
                <w:sz w:val="20"/>
                <w:szCs w:val="20"/>
              </w:rPr>
              <w:t>2,739</w:t>
            </w:r>
          </w:p>
        </w:tc>
        <w:tc>
          <w:tcPr>
            <w:tcW w:w="928" w:type="dxa"/>
            <w:shd w:val="clear" w:color="auto" w:fill="auto"/>
            <w:vAlign w:val="bottom"/>
          </w:tcPr>
          <w:p w:rsidR="009A39B7" w:rsidRPr="00DE475B" w:rsidRDefault="009A39B7" w:rsidP="00A2292F">
            <w:pPr>
              <w:jc w:val="right"/>
              <w:rPr>
                <w:rFonts w:ascii="Arial" w:hAnsi="Arial" w:cs="Arial"/>
                <w:sz w:val="20"/>
                <w:szCs w:val="20"/>
              </w:rPr>
            </w:pPr>
            <w:r w:rsidRPr="00DE475B">
              <w:rPr>
                <w:rFonts w:ascii="Arial" w:hAnsi="Arial" w:cs="Arial"/>
                <w:sz w:val="20"/>
                <w:szCs w:val="20"/>
              </w:rPr>
              <w:t>2,732</w:t>
            </w:r>
          </w:p>
        </w:tc>
      </w:tr>
      <w:tr w:rsidR="009A39B7" w:rsidRPr="00DE475B" w:rsidTr="00C83B2B">
        <w:trPr>
          <w:trHeight w:val="255"/>
        </w:trPr>
        <w:tc>
          <w:tcPr>
            <w:tcW w:w="4535" w:type="dxa"/>
            <w:gridSpan w:val="5"/>
            <w:shd w:val="clear" w:color="auto" w:fill="auto"/>
            <w:vAlign w:val="bottom"/>
          </w:tcPr>
          <w:p w:rsidR="009A39B7" w:rsidRPr="00DE475B" w:rsidRDefault="009A39B7" w:rsidP="00FB3766">
            <w:pPr>
              <w:rPr>
                <w:rFonts w:ascii="Arial" w:hAnsi="Arial" w:cs="Arial"/>
                <w:b/>
                <w:bCs/>
                <w:sz w:val="20"/>
                <w:szCs w:val="20"/>
              </w:rPr>
            </w:pPr>
            <w:r w:rsidRPr="00DE475B">
              <w:rPr>
                <w:rFonts w:ascii="Arial" w:hAnsi="Arial" w:cs="Arial"/>
                <w:sz w:val="20"/>
                <w:szCs w:val="20"/>
              </w:rPr>
              <w:t>Long service leave levy</w:t>
            </w:r>
          </w:p>
        </w:tc>
        <w:tc>
          <w:tcPr>
            <w:tcW w:w="400" w:type="dxa"/>
            <w:shd w:val="clear" w:color="auto" w:fill="auto"/>
            <w:vAlign w:val="bottom"/>
          </w:tcPr>
          <w:p w:rsidR="009A39B7" w:rsidRPr="00DE475B" w:rsidRDefault="009A39B7" w:rsidP="00FB3766">
            <w:pPr>
              <w:jc w:val="center"/>
              <w:rPr>
                <w:rFonts w:ascii="Arial" w:hAnsi="Arial" w:cs="Arial"/>
                <w:sz w:val="20"/>
                <w:szCs w:val="20"/>
              </w:rPr>
            </w:pPr>
          </w:p>
        </w:tc>
        <w:tc>
          <w:tcPr>
            <w:tcW w:w="928" w:type="dxa"/>
            <w:shd w:val="clear" w:color="auto" w:fill="auto"/>
            <w:vAlign w:val="bottom"/>
          </w:tcPr>
          <w:p w:rsidR="009A39B7" w:rsidRPr="00DE475B" w:rsidRDefault="003A7735" w:rsidP="00FB3766">
            <w:pPr>
              <w:jc w:val="right"/>
              <w:rPr>
                <w:rFonts w:ascii="Arial" w:hAnsi="Arial" w:cs="Arial"/>
                <w:sz w:val="20"/>
                <w:szCs w:val="20"/>
              </w:rPr>
            </w:pPr>
            <w:r>
              <w:rPr>
                <w:rFonts w:ascii="Arial" w:hAnsi="Arial" w:cs="Arial"/>
                <w:sz w:val="20"/>
                <w:szCs w:val="20"/>
              </w:rPr>
              <w:t>479</w:t>
            </w:r>
          </w:p>
        </w:tc>
        <w:tc>
          <w:tcPr>
            <w:tcW w:w="928" w:type="dxa"/>
            <w:shd w:val="clear" w:color="auto" w:fill="auto"/>
            <w:vAlign w:val="bottom"/>
          </w:tcPr>
          <w:p w:rsidR="009A39B7" w:rsidRPr="00DE475B" w:rsidRDefault="009A39B7" w:rsidP="00A2292F">
            <w:pPr>
              <w:jc w:val="right"/>
              <w:rPr>
                <w:rFonts w:ascii="Arial" w:hAnsi="Arial" w:cs="Arial"/>
                <w:sz w:val="20"/>
                <w:szCs w:val="20"/>
              </w:rPr>
            </w:pPr>
            <w:r w:rsidRPr="00DE475B">
              <w:rPr>
                <w:rFonts w:ascii="Arial" w:hAnsi="Arial" w:cs="Arial"/>
                <w:sz w:val="20"/>
                <w:szCs w:val="20"/>
              </w:rPr>
              <w:t>482</w:t>
            </w:r>
          </w:p>
        </w:tc>
        <w:tc>
          <w:tcPr>
            <w:tcW w:w="928" w:type="dxa"/>
            <w:shd w:val="clear" w:color="auto" w:fill="auto"/>
            <w:vAlign w:val="bottom"/>
          </w:tcPr>
          <w:p w:rsidR="009A39B7" w:rsidRPr="00DE475B" w:rsidRDefault="003A7735" w:rsidP="00A2292F">
            <w:pPr>
              <w:jc w:val="right"/>
              <w:rPr>
                <w:rFonts w:ascii="Arial" w:hAnsi="Arial" w:cs="Arial"/>
                <w:sz w:val="20"/>
                <w:szCs w:val="20"/>
              </w:rPr>
            </w:pPr>
            <w:r>
              <w:rPr>
                <w:rFonts w:ascii="Arial" w:hAnsi="Arial" w:cs="Arial"/>
                <w:sz w:val="20"/>
                <w:szCs w:val="20"/>
              </w:rPr>
              <w:t>479</w:t>
            </w:r>
          </w:p>
        </w:tc>
        <w:tc>
          <w:tcPr>
            <w:tcW w:w="928" w:type="dxa"/>
            <w:shd w:val="clear" w:color="auto" w:fill="auto"/>
            <w:vAlign w:val="bottom"/>
          </w:tcPr>
          <w:p w:rsidR="009A39B7" w:rsidRPr="00DE475B" w:rsidRDefault="009A39B7" w:rsidP="00A2292F">
            <w:pPr>
              <w:jc w:val="right"/>
              <w:rPr>
                <w:rFonts w:ascii="Arial" w:hAnsi="Arial" w:cs="Arial"/>
                <w:sz w:val="20"/>
                <w:szCs w:val="20"/>
              </w:rPr>
            </w:pPr>
            <w:r w:rsidRPr="00DE475B">
              <w:rPr>
                <w:rFonts w:ascii="Arial" w:hAnsi="Arial" w:cs="Arial"/>
                <w:sz w:val="20"/>
                <w:szCs w:val="20"/>
              </w:rPr>
              <w:t>482</w:t>
            </w:r>
          </w:p>
        </w:tc>
      </w:tr>
      <w:tr w:rsidR="009A39B7" w:rsidRPr="00DE475B" w:rsidTr="00C83B2B">
        <w:trPr>
          <w:trHeight w:val="255"/>
        </w:trPr>
        <w:tc>
          <w:tcPr>
            <w:tcW w:w="4535" w:type="dxa"/>
            <w:gridSpan w:val="5"/>
            <w:shd w:val="clear" w:color="auto" w:fill="auto"/>
            <w:vAlign w:val="bottom"/>
          </w:tcPr>
          <w:p w:rsidR="009A39B7" w:rsidRPr="00DE475B" w:rsidRDefault="009A39B7" w:rsidP="00FB3766">
            <w:pPr>
              <w:rPr>
                <w:rFonts w:ascii="Arial" w:hAnsi="Arial" w:cs="Arial"/>
                <w:sz w:val="20"/>
                <w:szCs w:val="20"/>
              </w:rPr>
            </w:pPr>
            <w:r w:rsidRPr="00DE475B">
              <w:rPr>
                <w:rFonts w:ascii="Arial" w:hAnsi="Arial" w:cs="Arial"/>
                <w:sz w:val="20"/>
                <w:szCs w:val="20"/>
              </w:rPr>
              <w:t>Annual leave expenses</w:t>
            </w:r>
          </w:p>
        </w:tc>
        <w:tc>
          <w:tcPr>
            <w:tcW w:w="400" w:type="dxa"/>
            <w:shd w:val="clear" w:color="auto" w:fill="auto"/>
            <w:vAlign w:val="bottom"/>
          </w:tcPr>
          <w:p w:rsidR="009A39B7" w:rsidRPr="00DE475B" w:rsidRDefault="009A39B7" w:rsidP="00FB3766">
            <w:pPr>
              <w:snapToGrid w:val="0"/>
              <w:jc w:val="center"/>
              <w:rPr>
                <w:rFonts w:ascii="Arial" w:hAnsi="Arial" w:cs="Arial"/>
                <w:sz w:val="20"/>
                <w:szCs w:val="20"/>
              </w:rPr>
            </w:pPr>
          </w:p>
        </w:tc>
        <w:tc>
          <w:tcPr>
            <w:tcW w:w="928" w:type="dxa"/>
            <w:shd w:val="clear" w:color="auto" w:fill="auto"/>
            <w:vAlign w:val="bottom"/>
          </w:tcPr>
          <w:p w:rsidR="009A39B7" w:rsidRPr="00DE475B" w:rsidRDefault="003A7735" w:rsidP="00FB3766">
            <w:pPr>
              <w:jc w:val="right"/>
              <w:rPr>
                <w:rFonts w:ascii="Arial" w:hAnsi="Arial" w:cs="Arial"/>
                <w:sz w:val="20"/>
                <w:szCs w:val="20"/>
              </w:rPr>
            </w:pPr>
            <w:r>
              <w:rPr>
                <w:rFonts w:ascii="Arial" w:hAnsi="Arial" w:cs="Arial"/>
                <w:sz w:val="20"/>
                <w:szCs w:val="20"/>
              </w:rPr>
              <w:t>2,066</w:t>
            </w:r>
          </w:p>
        </w:tc>
        <w:tc>
          <w:tcPr>
            <w:tcW w:w="928" w:type="dxa"/>
            <w:shd w:val="clear" w:color="auto" w:fill="auto"/>
            <w:vAlign w:val="bottom"/>
          </w:tcPr>
          <w:p w:rsidR="009A39B7" w:rsidRPr="00DE475B" w:rsidRDefault="009A39B7" w:rsidP="00A2292F">
            <w:pPr>
              <w:jc w:val="right"/>
              <w:rPr>
                <w:rFonts w:ascii="Arial" w:hAnsi="Arial" w:cs="Arial"/>
                <w:sz w:val="20"/>
                <w:szCs w:val="20"/>
              </w:rPr>
            </w:pPr>
            <w:r w:rsidRPr="00DE475B">
              <w:rPr>
                <w:rFonts w:ascii="Arial" w:hAnsi="Arial" w:cs="Arial"/>
                <w:sz w:val="20"/>
                <w:szCs w:val="20"/>
              </w:rPr>
              <w:t>2,080</w:t>
            </w:r>
          </w:p>
        </w:tc>
        <w:tc>
          <w:tcPr>
            <w:tcW w:w="928" w:type="dxa"/>
            <w:shd w:val="clear" w:color="auto" w:fill="auto"/>
            <w:vAlign w:val="bottom"/>
          </w:tcPr>
          <w:p w:rsidR="009A39B7" w:rsidRPr="00DE475B" w:rsidRDefault="003A7735" w:rsidP="00A2292F">
            <w:pPr>
              <w:jc w:val="right"/>
              <w:rPr>
                <w:rFonts w:ascii="Arial" w:hAnsi="Arial" w:cs="Arial"/>
                <w:sz w:val="20"/>
                <w:szCs w:val="20"/>
              </w:rPr>
            </w:pPr>
            <w:r>
              <w:rPr>
                <w:rFonts w:ascii="Arial" w:hAnsi="Arial" w:cs="Arial"/>
                <w:sz w:val="20"/>
                <w:szCs w:val="20"/>
              </w:rPr>
              <w:t>2,066</w:t>
            </w:r>
          </w:p>
        </w:tc>
        <w:tc>
          <w:tcPr>
            <w:tcW w:w="928" w:type="dxa"/>
            <w:shd w:val="clear" w:color="auto" w:fill="auto"/>
            <w:vAlign w:val="bottom"/>
          </w:tcPr>
          <w:p w:rsidR="009A39B7" w:rsidRPr="00DE475B" w:rsidRDefault="009A39B7" w:rsidP="00A2292F">
            <w:pPr>
              <w:jc w:val="right"/>
              <w:rPr>
                <w:rFonts w:ascii="Arial" w:hAnsi="Arial" w:cs="Arial"/>
                <w:sz w:val="20"/>
                <w:szCs w:val="20"/>
              </w:rPr>
            </w:pPr>
            <w:r w:rsidRPr="00DE475B">
              <w:rPr>
                <w:rFonts w:ascii="Arial" w:hAnsi="Arial" w:cs="Arial"/>
                <w:sz w:val="20"/>
                <w:szCs w:val="20"/>
              </w:rPr>
              <w:t>2,080</w:t>
            </w:r>
          </w:p>
        </w:tc>
      </w:tr>
      <w:tr w:rsidR="009A39B7" w:rsidRPr="00DE475B" w:rsidTr="002A1D0D">
        <w:trPr>
          <w:trHeight w:val="66"/>
        </w:trPr>
        <w:tc>
          <w:tcPr>
            <w:tcW w:w="4535" w:type="dxa"/>
            <w:gridSpan w:val="5"/>
            <w:shd w:val="clear" w:color="auto" w:fill="auto"/>
            <w:vAlign w:val="bottom"/>
          </w:tcPr>
          <w:p w:rsidR="009A39B7" w:rsidRPr="009A39B7" w:rsidRDefault="009A39B7" w:rsidP="00FB3766">
            <w:pPr>
              <w:rPr>
                <w:rFonts w:ascii="Arial" w:hAnsi="Arial" w:cs="Arial"/>
                <w:sz w:val="12"/>
                <w:szCs w:val="12"/>
              </w:rPr>
            </w:pPr>
          </w:p>
        </w:tc>
        <w:tc>
          <w:tcPr>
            <w:tcW w:w="400" w:type="dxa"/>
            <w:shd w:val="clear" w:color="auto" w:fill="auto"/>
            <w:vAlign w:val="bottom"/>
          </w:tcPr>
          <w:p w:rsidR="009A39B7" w:rsidRPr="009A39B7" w:rsidRDefault="009A39B7" w:rsidP="00FB3766">
            <w:pPr>
              <w:snapToGrid w:val="0"/>
              <w:jc w:val="center"/>
              <w:rPr>
                <w:rFonts w:ascii="Arial" w:hAnsi="Arial" w:cs="Arial"/>
                <w:sz w:val="12"/>
                <w:szCs w:val="12"/>
              </w:rPr>
            </w:pPr>
          </w:p>
        </w:tc>
        <w:tc>
          <w:tcPr>
            <w:tcW w:w="928" w:type="dxa"/>
            <w:shd w:val="clear" w:color="auto" w:fill="auto"/>
            <w:vAlign w:val="bottom"/>
          </w:tcPr>
          <w:p w:rsidR="009A39B7" w:rsidRPr="009A39B7" w:rsidRDefault="009A39B7" w:rsidP="00FB3766">
            <w:pPr>
              <w:jc w:val="right"/>
              <w:rPr>
                <w:rFonts w:ascii="Arial" w:hAnsi="Arial" w:cs="Arial"/>
                <w:sz w:val="12"/>
                <w:szCs w:val="12"/>
              </w:rPr>
            </w:pPr>
          </w:p>
        </w:tc>
        <w:tc>
          <w:tcPr>
            <w:tcW w:w="928" w:type="dxa"/>
            <w:shd w:val="clear" w:color="auto" w:fill="auto"/>
            <w:vAlign w:val="bottom"/>
          </w:tcPr>
          <w:p w:rsidR="009A39B7" w:rsidRPr="009A39B7" w:rsidRDefault="009A39B7" w:rsidP="00FB3766">
            <w:pPr>
              <w:jc w:val="right"/>
              <w:rPr>
                <w:rFonts w:ascii="Arial" w:hAnsi="Arial" w:cs="Arial"/>
                <w:sz w:val="12"/>
                <w:szCs w:val="12"/>
              </w:rPr>
            </w:pPr>
          </w:p>
        </w:tc>
        <w:tc>
          <w:tcPr>
            <w:tcW w:w="928" w:type="dxa"/>
            <w:shd w:val="clear" w:color="auto" w:fill="auto"/>
            <w:vAlign w:val="bottom"/>
          </w:tcPr>
          <w:p w:rsidR="009A39B7" w:rsidRPr="009A39B7" w:rsidRDefault="009A39B7" w:rsidP="00FB3766">
            <w:pPr>
              <w:jc w:val="right"/>
              <w:rPr>
                <w:rFonts w:ascii="Arial" w:hAnsi="Arial" w:cs="Arial"/>
                <w:sz w:val="12"/>
                <w:szCs w:val="12"/>
              </w:rPr>
            </w:pPr>
          </w:p>
        </w:tc>
        <w:tc>
          <w:tcPr>
            <w:tcW w:w="928" w:type="dxa"/>
            <w:shd w:val="clear" w:color="auto" w:fill="auto"/>
            <w:vAlign w:val="bottom"/>
          </w:tcPr>
          <w:p w:rsidR="009A39B7" w:rsidRPr="009A39B7" w:rsidRDefault="009A39B7" w:rsidP="00FB3766">
            <w:pPr>
              <w:jc w:val="right"/>
              <w:rPr>
                <w:rFonts w:ascii="Arial" w:hAnsi="Arial" w:cs="Arial"/>
                <w:sz w:val="12"/>
                <w:szCs w:val="12"/>
              </w:rPr>
            </w:pPr>
          </w:p>
        </w:tc>
      </w:tr>
      <w:tr w:rsidR="009A39B7" w:rsidRPr="00DE475B" w:rsidTr="00C83B2B">
        <w:trPr>
          <w:trHeight w:val="255"/>
        </w:trPr>
        <w:tc>
          <w:tcPr>
            <w:tcW w:w="4535" w:type="dxa"/>
            <w:gridSpan w:val="5"/>
            <w:shd w:val="clear" w:color="auto" w:fill="auto"/>
            <w:vAlign w:val="bottom"/>
          </w:tcPr>
          <w:p w:rsidR="009A39B7" w:rsidRPr="00DE475B" w:rsidRDefault="009A39B7" w:rsidP="00FB3766">
            <w:pPr>
              <w:snapToGrid w:val="0"/>
              <w:rPr>
                <w:rFonts w:ascii="Arial" w:hAnsi="Arial" w:cs="Arial"/>
                <w:sz w:val="20"/>
                <w:szCs w:val="20"/>
              </w:rPr>
            </w:pPr>
            <w:r w:rsidRPr="00DE475B">
              <w:rPr>
                <w:rFonts w:ascii="Arial" w:hAnsi="Arial" w:cs="Arial"/>
                <w:b/>
                <w:bCs/>
                <w:sz w:val="20"/>
                <w:szCs w:val="20"/>
              </w:rPr>
              <w:t>Employee Related Expenses</w:t>
            </w:r>
          </w:p>
        </w:tc>
        <w:tc>
          <w:tcPr>
            <w:tcW w:w="400" w:type="dxa"/>
            <w:shd w:val="clear" w:color="auto" w:fill="auto"/>
            <w:vAlign w:val="bottom"/>
          </w:tcPr>
          <w:p w:rsidR="009A39B7" w:rsidRPr="00DE475B" w:rsidRDefault="009A39B7" w:rsidP="00FB3766">
            <w:pPr>
              <w:snapToGrid w:val="0"/>
              <w:jc w:val="center"/>
              <w:rPr>
                <w:rFonts w:ascii="Arial" w:hAnsi="Arial" w:cs="Arial"/>
                <w:sz w:val="20"/>
                <w:szCs w:val="20"/>
              </w:rPr>
            </w:pPr>
          </w:p>
        </w:tc>
        <w:tc>
          <w:tcPr>
            <w:tcW w:w="928" w:type="dxa"/>
            <w:shd w:val="clear" w:color="auto" w:fill="auto"/>
            <w:vAlign w:val="bottom"/>
          </w:tcPr>
          <w:p w:rsidR="009A39B7" w:rsidRPr="00DE475B" w:rsidRDefault="009A39B7" w:rsidP="00FB3766">
            <w:pPr>
              <w:jc w:val="right"/>
              <w:rPr>
                <w:rFonts w:ascii="Arial" w:hAnsi="Arial" w:cs="Arial"/>
                <w:sz w:val="20"/>
                <w:szCs w:val="20"/>
              </w:rPr>
            </w:pPr>
          </w:p>
        </w:tc>
        <w:tc>
          <w:tcPr>
            <w:tcW w:w="928" w:type="dxa"/>
            <w:shd w:val="clear" w:color="auto" w:fill="auto"/>
            <w:vAlign w:val="bottom"/>
          </w:tcPr>
          <w:p w:rsidR="009A39B7" w:rsidRPr="00DE475B" w:rsidRDefault="009A39B7" w:rsidP="00FB3766">
            <w:pPr>
              <w:jc w:val="right"/>
              <w:rPr>
                <w:rFonts w:ascii="Arial" w:hAnsi="Arial" w:cs="Arial"/>
                <w:sz w:val="20"/>
                <w:szCs w:val="20"/>
              </w:rPr>
            </w:pPr>
          </w:p>
        </w:tc>
        <w:tc>
          <w:tcPr>
            <w:tcW w:w="928" w:type="dxa"/>
            <w:shd w:val="clear" w:color="auto" w:fill="auto"/>
            <w:vAlign w:val="bottom"/>
          </w:tcPr>
          <w:p w:rsidR="009A39B7" w:rsidRPr="00DE475B" w:rsidRDefault="009A39B7" w:rsidP="00FB3766">
            <w:pPr>
              <w:jc w:val="right"/>
              <w:rPr>
                <w:rFonts w:ascii="Arial" w:hAnsi="Arial" w:cs="Arial"/>
                <w:sz w:val="20"/>
                <w:szCs w:val="20"/>
              </w:rPr>
            </w:pPr>
          </w:p>
        </w:tc>
        <w:tc>
          <w:tcPr>
            <w:tcW w:w="928" w:type="dxa"/>
            <w:shd w:val="clear" w:color="auto" w:fill="auto"/>
            <w:vAlign w:val="bottom"/>
          </w:tcPr>
          <w:p w:rsidR="009A39B7" w:rsidRPr="00DE475B" w:rsidRDefault="009A39B7" w:rsidP="00FB3766">
            <w:pPr>
              <w:jc w:val="right"/>
              <w:rPr>
                <w:rFonts w:ascii="Arial" w:hAnsi="Arial" w:cs="Arial"/>
                <w:sz w:val="20"/>
                <w:szCs w:val="20"/>
              </w:rPr>
            </w:pPr>
          </w:p>
        </w:tc>
      </w:tr>
      <w:tr w:rsidR="009A39B7" w:rsidRPr="00DE475B" w:rsidTr="00C83B2B">
        <w:trPr>
          <w:trHeight w:val="255"/>
        </w:trPr>
        <w:tc>
          <w:tcPr>
            <w:tcW w:w="4535" w:type="dxa"/>
            <w:gridSpan w:val="5"/>
            <w:shd w:val="clear" w:color="auto" w:fill="auto"/>
            <w:vAlign w:val="bottom"/>
          </w:tcPr>
          <w:p w:rsidR="009A39B7" w:rsidRPr="00DE475B" w:rsidRDefault="009A39B7" w:rsidP="00FB3766">
            <w:pPr>
              <w:snapToGrid w:val="0"/>
              <w:rPr>
                <w:rFonts w:ascii="Arial" w:hAnsi="Arial" w:cs="Arial"/>
                <w:sz w:val="20"/>
                <w:szCs w:val="20"/>
              </w:rPr>
            </w:pPr>
            <w:r w:rsidRPr="00DE475B">
              <w:rPr>
                <w:rFonts w:ascii="Arial" w:hAnsi="Arial" w:cs="Arial"/>
                <w:sz w:val="20"/>
                <w:szCs w:val="20"/>
              </w:rPr>
              <w:t>Payroll Tax</w:t>
            </w:r>
          </w:p>
        </w:tc>
        <w:tc>
          <w:tcPr>
            <w:tcW w:w="400" w:type="dxa"/>
            <w:shd w:val="clear" w:color="auto" w:fill="auto"/>
            <w:vAlign w:val="bottom"/>
          </w:tcPr>
          <w:p w:rsidR="009A39B7" w:rsidRPr="00DE475B" w:rsidRDefault="009A39B7" w:rsidP="00FB3766">
            <w:pPr>
              <w:snapToGrid w:val="0"/>
              <w:jc w:val="center"/>
              <w:rPr>
                <w:rFonts w:ascii="Arial" w:hAnsi="Arial" w:cs="Arial"/>
                <w:sz w:val="20"/>
                <w:szCs w:val="20"/>
              </w:rPr>
            </w:pPr>
          </w:p>
        </w:tc>
        <w:tc>
          <w:tcPr>
            <w:tcW w:w="928" w:type="dxa"/>
            <w:shd w:val="clear" w:color="auto" w:fill="auto"/>
            <w:vAlign w:val="bottom"/>
          </w:tcPr>
          <w:p w:rsidR="009A39B7" w:rsidRPr="00DE475B" w:rsidRDefault="003A7735" w:rsidP="00FB3766">
            <w:pPr>
              <w:jc w:val="right"/>
              <w:rPr>
                <w:rFonts w:ascii="Arial" w:hAnsi="Arial" w:cs="Arial"/>
                <w:sz w:val="20"/>
                <w:szCs w:val="20"/>
              </w:rPr>
            </w:pPr>
            <w:r>
              <w:rPr>
                <w:rFonts w:ascii="Arial" w:hAnsi="Arial" w:cs="Arial"/>
                <w:sz w:val="20"/>
                <w:szCs w:val="20"/>
              </w:rPr>
              <w:t>1,232</w:t>
            </w:r>
          </w:p>
        </w:tc>
        <w:tc>
          <w:tcPr>
            <w:tcW w:w="928" w:type="dxa"/>
            <w:shd w:val="clear" w:color="auto" w:fill="auto"/>
            <w:vAlign w:val="bottom"/>
          </w:tcPr>
          <w:p w:rsidR="009A39B7" w:rsidRPr="00DE475B" w:rsidRDefault="009A39B7" w:rsidP="00A2292F">
            <w:pPr>
              <w:jc w:val="right"/>
              <w:rPr>
                <w:rFonts w:ascii="Arial" w:hAnsi="Arial" w:cs="Arial"/>
                <w:sz w:val="20"/>
                <w:szCs w:val="20"/>
              </w:rPr>
            </w:pPr>
            <w:r w:rsidRPr="00DE475B">
              <w:rPr>
                <w:rFonts w:ascii="Arial" w:hAnsi="Arial" w:cs="Arial"/>
                <w:sz w:val="20"/>
                <w:szCs w:val="20"/>
              </w:rPr>
              <w:t>1,261</w:t>
            </w:r>
          </w:p>
        </w:tc>
        <w:tc>
          <w:tcPr>
            <w:tcW w:w="928" w:type="dxa"/>
            <w:shd w:val="clear" w:color="auto" w:fill="auto"/>
            <w:vAlign w:val="bottom"/>
          </w:tcPr>
          <w:p w:rsidR="009A39B7" w:rsidRPr="00DE475B" w:rsidRDefault="003A7735" w:rsidP="00A2292F">
            <w:pPr>
              <w:jc w:val="right"/>
              <w:rPr>
                <w:rFonts w:ascii="Arial" w:hAnsi="Arial" w:cs="Arial"/>
                <w:sz w:val="20"/>
                <w:szCs w:val="20"/>
              </w:rPr>
            </w:pPr>
            <w:r>
              <w:rPr>
                <w:rFonts w:ascii="Arial" w:hAnsi="Arial" w:cs="Arial"/>
                <w:sz w:val="20"/>
                <w:szCs w:val="20"/>
              </w:rPr>
              <w:t>1,232</w:t>
            </w:r>
          </w:p>
        </w:tc>
        <w:tc>
          <w:tcPr>
            <w:tcW w:w="928" w:type="dxa"/>
            <w:shd w:val="clear" w:color="auto" w:fill="auto"/>
            <w:vAlign w:val="bottom"/>
          </w:tcPr>
          <w:p w:rsidR="009A39B7" w:rsidRPr="00DE475B" w:rsidRDefault="009A39B7" w:rsidP="00A2292F">
            <w:pPr>
              <w:jc w:val="right"/>
              <w:rPr>
                <w:rFonts w:ascii="Arial" w:hAnsi="Arial" w:cs="Arial"/>
                <w:sz w:val="20"/>
                <w:szCs w:val="20"/>
              </w:rPr>
            </w:pPr>
            <w:r w:rsidRPr="00DE475B">
              <w:rPr>
                <w:rFonts w:ascii="Arial" w:hAnsi="Arial" w:cs="Arial"/>
                <w:sz w:val="20"/>
                <w:szCs w:val="20"/>
              </w:rPr>
              <w:t>1,261</w:t>
            </w:r>
          </w:p>
        </w:tc>
      </w:tr>
      <w:tr w:rsidR="009A39B7" w:rsidRPr="00DE475B" w:rsidTr="00C83B2B">
        <w:trPr>
          <w:trHeight w:val="255"/>
        </w:trPr>
        <w:tc>
          <w:tcPr>
            <w:tcW w:w="4535" w:type="dxa"/>
            <w:gridSpan w:val="5"/>
            <w:shd w:val="clear" w:color="auto" w:fill="auto"/>
            <w:vAlign w:val="bottom"/>
          </w:tcPr>
          <w:p w:rsidR="009A39B7" w:rsidRPr="00DE475B" w:rsidRDefault="009A39B7" w:rsidP="00FB3766">
            <w:pPr>
              <w:snapToGrid w:val="0"/>
              <w:rPr>
                <w:rFonts w:ascii="Arial" w:hAnsi="Arial" w:cs="Arial"/>
                <w:sz w:val="20"/>
                <w:szCs w:val="20"/>
              </w:rPr>
            </w:pPr>
            <w:r w:rsidRPr="00DE475B">
              <w:rPr>
                <w:rFonts w:ascii="Arial" w:hAnsi="Arial" w:cs="Arial"/>
                <w:sz w:val="20"/>
                <w:szCs w:val="20"/>
              </w:rPr>
              <w:t>Other employee expenses</w:t>
            </w:r>
          </w:p>
        </w:tc>
        <w:tc>
          <w:tcPr>
            <w:tcW w:w="400" w:type="dxa"/>
            <w:shd w:val="clear" w:color="auto" w:fill="auto"/>
            <w:vAlign w:val="bottom"/>
          </w:tcPr>
          <w:p w:rsidR="009A39B7" w:rsidRPr="00DE475B" w:rsidRDefault="009A39B7" w:rsidP="00FB3766">
            <w:pPr>
              <w:snapToGrid w:val="0"/>
              <w:jc w:val="center"/>
              <w:rPr>
                <w:rFonts w:ascii="Arial" w:hAnsi="Arial" w:cs="Arial"/>
                <w:sz w:val="20"/>
                <w:szCs w:val="20"/>
              </w:rPr>
            </w:pPr>
          </w:p>
        </w:tc>
        <w:tc>
          <w:tcPr>
            <w:tcW w:w="928" w:type="dxa"/>
            <w:shd w:val="clear" w:color="auto" w:fill="auto"/>
            <w:vAlign w:val="bottom"/>
          </w:tcPr>
          <w:p w:rsidR="009A39B7" w:rsidRPr="00DE475B" w:rsidRDefault="003A7735" w:rsidP="00FB3766">
            <w:pPr>
              <w:jc w:val="right"/>
              <w:rPr>
                <w:rFonts w:ascii="Arial" w:hAnsi="Arial" w:cs="Arial"/>
                <w:sz w:val="20"/>
                <w:szCs w:val="20"/>
              </w:rPr>
            </w:pPr>
            <w:r>
              <w:rPr>
                <w:rFonts w:ascii="Arial" w:hAnsi="Arial" w:cs="Arial"/>
                <w:sz w:val="20"/>
                <w:szCs w:val="20"/>
              </w:rPr>
              <w:t>862</w:t>
            </w:r>
          </w:p>
        </w:tc>
        <w:tc>
          <w:tcPr>
            <w:tcW w:w="928" w:type="dxa"/>
            <w:shd w:val="clear" w:color="auto" w:fill="auto"/>
            <w:vAlign w:val="bottom"/>
          </w:tcPr>
          <w:p w:rsidR="009A39B7" w:rsidRPr="00DE475B" w:rsidRDefault="009A39B7" w:rsidP="00A2292F">
            <w:pPr>
              <w:jc w:val="right"/>
              <w:rPr>
                <w:rFonts w:ascii="Arial" w:hAnsi="Arial" w:cs="Arial"/>
                <w:sz w:val="20"/>
                <w:szCs w:val="20"/>
              </w:rPr>
            </w:pPr>
            <w:r w:rsidRPr="00DE475B">
              <w:rPr>
                <w:rFonts w:ascii="Arial" w:hAnsi="Arial" w:cs="Arial"/>
                <w:sz w:val="20"/>
                <w:szCs w:val="20"/>
              </w:rPr>
              <w:t>1,024</w:t>
            </w:r>
          </w:p>
        </w:tc>
        <w:tc>
          <w:tcPr>
            <w:tcW w:w="928" w:type="dxa"/>
            <w:shd w:val="clear" w:color="auto" w:fill="auto"/>
            <w:vAlign w:val="bottom"/>
          </w:tcPr>
          <w:p w:rsidR="009A39B7" w:rsidRPr="00DE475B" w:rsidRDefault="003A7735" w:rsidP="00A2292F">
            <w:pPr>
              <w:jc w:val="right"/>
              <w:rPr>
                <w:rFonts w:ascii="Arial" w:hAnsi="Arial" w:cs="Arial"/>
                <w:sz w:val="20"/>
                <w:szCs w:val="20"/>
              </w:rPr>
            </w:pPr>
            <w:r>
              <w:rPr>
                <w:rFonts w:ascii="Arial" w:hAnsi="Arial" w:cs="Arial"/>
                <w:sz w:val="20"/>
                <w:szCs w:val="20"/>
              </w:rPr>
              <w:t>862</w:t>
            </w:r>
          </w:p>
        </w:tc>
        <w:tc>
          <w:tcPr>
            <w:tcW w:w="928" w:type="dxa"/>
            <w:shd w:val="clear" w:color="auto" w:fill="auto"/>
            <w:vAlign w:val="bottom"/>
          </w:tcPr>
          <w:p w:rsidR="009A39B7" w:rsidRPr="00DE475B" w:rsidRDefault="009A39B7" w:rsidP="00A2292F">
            <w:pPr>
              <w:jc w:val="right"/>
              <w:rPr>
                <w:rFonts w:ascii="Arial" w:hAnsi="Arial" w:cs="Arial"/>
                <w:sz w:val="20"/>
                <w:szCs w:val="20"/>
              </w:rPr>
            </w:pPr>
            <w:r w:rsidRPr="00DE475B">
              <w:rPr>
                <w:rFonts w:ascii="Arial" w:hAnsi="Arial" w:cs="Arial"/>
                <w:sz w:val="20"/>
                <w:szCs w:val="20"/>
              </w:rPr>
              <w:t>1,024</w:t>
            </w:r>
          </w:p>
        </w:tc>
      </w:tr>
      <w:tr w:rsidR="009A39B7" w:rsidRPr="00DE475B" w:rsidTr="002A1D0D">
        <w:trPr>
          <w:trHeight w:val="89"/>
        </w:trPr>
        <w:tc>
          <w:tcPr>
            <w:tcW w:w="4535" w:type="dxa"/>
            <w:gridSpan w:val="5"/>
            <w:shd w:val="clear" w:color="auto" w:fill="auto"/>
            <w:vAlign w:val="bottom"/>
          </w:tcPr>
          <w:p w:rsidR="009A39B7" w:rsidRPr="002A1D0D" w:rsidRDefault="009A39B7" w:rsidP="00FB3766">
            <w:pPr>
              <w:snapToGrid w:val="0"/>
              <w:rPr>
                <w:rFonts w:ascii="Arial" w:hAnsi="Arial" w:cs="Arial"/>
                <w:sz w:val="16"/>
                <w:szCs w:val="16"/>
              </w:rPr>
            </w:pPr>
          </w:p>
        </w:tc>
        <w:tc>
          <w:tcPr>
            <w:tcW w:w="400" w:type="dxa"/>
            <w:shd w:val="clear" w:color="auto" w:fill="auto"/>
            <w:vAlign w:val="bottom"/>
          </w:tcPr>
          <w:p w:rsidR="009A39B7" w:rsidRPr="002A1D0D" w:rsidRDefault="009A39B7" w:rsidP="00FB3766">
            <w:pPr>
              <w:snapToGrid w:val="0"/>
              <w:jc w:val="center"/>
              <w:rPr>
                <w:rFonts w:ascii="Arial" w:hAnsi="Arial" w:cs="Arial"/>
                <w:sz w:val="16"/>
                <w:szCs w:val="16"/>
              </w:rPr>
            </w:pPr>
          </w:p>
        </w:tc>
        <w:tc>
          <w:tcPr>
            <w:tcW w:w="928" w:type="dxa"/>
            <w:tcBorders>
              <w:bottom w:val="single" w:sz="8" w:space="0" w:color="000000"/>
            </w:tcBorders>
            <w:shd w:val="clear" w:color="auto" w:fill="auto"/>
            <w:vAlign w:val="bottom"/>
          </w:tcPr>
          <w:p w:rsidR="009A39B7" w:rsidRPr="002A1D0D" w:rsidRDefault="009A39B7" w:rsidP="00FB3766">
            <w:pPr>
              <w:rPr>
                <w:rFonts w:ascii="Arial" w:hAnsi="Arial" w:cs="Arial"/>
                <w:sz w:val="16"/>
                <w:szCs w:val="16"/>
              </w:rPr>
            </w:pPr>
            <w:r w:rsidRPr="002A1D0D">
              <w:rPr>
                <w:rFonts w:ascii="Arial" w:hAnsi="Arial" w:cs="Arial"/>
                <w:sz w:val="16"/>
                <w:szCs w:val="16"/>
              </w:rPr>
              <w:t> </w:t>
            </w:r>
          </w:p>
        </w:tc>
        <w:tc>
          <w:tcPr>
            <w:tcW w:w="928" w:type="dxa"/>
            <w:tcBorders>
              <w:bottom w:val="single" w:sz="8" w:space="0" w:color="000000"/>
            </w:tcBorders>
            <w:shd w:val="clear" w:color="auto" w:fill="auto"/>
            <w:vAlign w:val="bottom"/>
          </w:tcPr>
          <w:p w:rsidR="009A39B7" w:rsidRPr="002A1D0D" w:rsidRDefault="009A39B7" w:rsidP="00FB3766">
            <w:pPr>
              <w:rPr>
                <w:rFonts w:ascii="Arial" w:hAnsi="Arial" w:cs="Arial"/>
                <w:sz w:val="16"/>
                <w:szCs w:val="16"/>
              </w:rPr>
            </w:pPr>
            <w:r w:rsidRPr="002A1D0D">
              <w:rPr>
                <w:rFonts w:ascii="Arial" w:hAnsi="Arial" w:cs="Arial"/>
                <w:sz w:val="16"/>
                <w:szCs w:val="16"/>
              </w:rPr>
              <w:t> </w:t>
            </w:r>
          </w:p>
        </w:tc>
        <w:tc>
          <w:tcPr>
            <w:tcW w:w="928" w:type="dxa"/>
            <w:tcBorders>
              <w:bottom w:val="single" w:sz="8" w:space="0" w:color="000000"/>
            </w:tcBorders>
            <w:shd w:val="clear" w:color="auto" w:fill="auto"/>
            <w:vAlign w:val="bottom"/>
          </w:tcPr>
          <w:p w:rsidR="009A39B7" w:rsidRPr="002A1D0D" w:rsidRDefault="009A39B7" w:rsidP="00FB3766">
            <w:pPr>
              <w:rPr>
                <w:rFonts w:ascii="Arial" w:hAnsi="Arial" w:cs="Arial"/>
                <w:sz w:val="16"/>
                <w:szCs w:val="16"/>
              </w:rPr>
            </w:pPr>
            <w:r w:rsidRPr="002A1D0D">
              <w:rPr>
                <w:rFonts w:ascii="Arial" w:hAnsi="Arial" w:cs="Arial"/>
                <w:sz w:val="16"/>
                <w:szCs w:val="16"/>
              </w:rPr>
              <w:t> </w:t>
            </w:r>
          </w:p>
        </w:tc>
        <w:tc>
          <w:tcPr>
            <w:tcW w:w="928" w:type="dxa"/>
            <w:tcBorders>
              <w:bottom w:val="single" w:sz="8" w:space="0" w:color="000000"/>
            </w:tcBorders>
            <w:shd w:val="clear" w:color="auto" w:fill="auto"/>
            <w:vAlign w:val="bottom"/>
          </w:tcPr>
          <w:p w:rsidR="009A39B7" w:rsidRPr="002A1D0D" w:rsidRDefault="009A39B7" w:rsidP="00FB3766">
            <w:pPr>
              <w:rPr>
                <w:rFonts w:ascii="Arial" w:hAnsi="Arial" w:cs="Arial"/>
                <w:b/>
                <w:bCs/>
                <w:sz w:val="16"/>
                <w:szCs w:val="16"/>
              </w:rPr>
            </w:pPr>
            <w:r w:rsidRPr="002A1D0D">
              <w:rPr>
                <w:rFonts w:ascii="Arial" w:hAnsi="Arial" w:cs="Arial"/>
                <w:sz w:val="16"/>
                <w:szCs w:val="16"/>
              </w:rPr>
              <w:t> </w:t>
            </w:r>
          </w:p>
        </w:tc>
      </w:tr>
      <w:tr w:rsidR="009A39B7" w:rsidRPr="00DE475B" w:rsidTr="00C83B2B">
        <w:trPr>
          <w:trHeight w:val="255"/>
        </w:trPr>
        <w:tc>
          <w:tcPr>
            <w:tcW w:w="4535" w:type="dxa"/>
            <w:gridSpan w:val="5"/>
            <w:shd w:val="clear" w:color="auto" w:fill="auto"/>
            <w:vAlign w:val="bottom"/>
          </w:tcPr>
          <w:p w:rsidR="009A39B7" w:rsidRPr="00DE475B" w:rsidRDefault="009A39B7" w:rsidP="00FB3766">
            <w:pPr>
              <w:rPr>
                <w:rFonts w:ascii="Arial" w:hAnsi="Arial" w:cs="Arial"/>
                <w:sz w:val="20"/>
                <w:szCs w:val="20"/>
              </w:rPr>
            </w:pPr>
            <w:r w:rsidRPr="00DE475B">
              <w:rPr>
                <w:rFonts w:ascii="Arial" w:hAnsi="Arial" w:cs="Arial"/>
                <w:b/>
                <w:bCs/>
                <w:sz w:val="20"/>
                <w:szCs w:val="20"/>
              </w:rPr>
              <w:t>Total</w:t>
            </w:r>
          </w:p>
        </w:tc>
        <w:tc>
          <w:tcPr>
            <w:tcW w:w="400" w:type="dxa"/>
            <w:shd w:val="clear" w:color="auto" w:fill="auto"/>
            <w:vAlign w:val="bottom"/>
          </w:tcPr>
          <w:p w:rsidR="009A39B7" w:rsidRPr="00DE475B" w:rsidRDefault="009A39B7" w:rsidP="00FB3766">
            <w:pPr>
              <w:snapToGrid w:val="0"/>
              <w:rPr>
                <w:rFonts w:ascii="Arial" w:hAnsi="Arial" w:cs="Arial"/>
                <w:sz w:val="20"/>
                <w:szCs w:val="20"/>
              </w:rPr>
            </w:pPr>
          </w:p>
        </w:tc>
        <w:tc>
          <w:tcPr>
            <w:tcW w:w="928" w:type="dxa"/>
            <w:tcBorders>
              <w:top w:val="single" w:sz="8" w:space="0" w:color="000000"/>
              <w:bottom w:val="single" w:sz="8" w:space="0" w:color="000000"/>
            </w:tcBorders>
            <w:shd w:val="clear" w:color="auto" w:fill="auto"/>
            <w:vAlign w:val="bottom"/>
          </w:tcPr>
          <w:p w:rsidR="009A39B7" w:rsidRPr="00DE475B" w:rsidRDefault="003A7735" w:rsidP="00FB3766">
            <w:pPr>
              <w:jc w:val="right"/>
              <w:rPr>
                <w:rFonts w:ascii="Arial" w:hAnsi="Arial" w:cs="Arial"/>
                <w:sz w:val="20"/>
                <w:szCs w:val="20"/>
              </w:rPr>
            </w:pPr>
            <w:r>
              <w:rPr>
                <w:rFonts w:ascii="Arial" w:hAnsi="Arial" w:cs="Arial"/>
                <w:sz w:val="20"/>
                <w:szCs w:val="20"/>
              </w:rPr>
              <w:t>27,690</w:t>
            </w:r>
          </w:p>
        </w:tc>
        <w:tc>
          <w:tcPr>
            <w:tcW w:w="928" w:type="dxa"/>
            <w:tcBorders>
              <w:top w:val="single" w:sz="8" w:space="0" w:color="000000"/>
              <w:bottom w:val="single" w:sz="8" w:space="0" w:color="000000"/>
            </w:tcBorders>
            <w:shd w:val="clear" w:color="auto" w:fill="auto"/>
            <w:vAlign w:val="bottom"/>
          </w:tcPr>
          <w:p w:rsidR="009A39B7" w:rsidRPr="00DE475B" w:rsidRDefault="009A39B7" w:rsidP="00A2292F">
            <w:pPr>
              <w:jc w:val="right"/>
              <w:rPr>
                <w:rFonts w:ascii="Arial" w:hAnsi="Arial" w:cs="Arial"/>
                <w:sz w:val="20"/>
                <w:szCs w:val="20"/>
              </w:rPr>
            </w:pPr>
            <w:r w:rsidRPr="00DE475B">
              <w:rPr>
                <w:rFonts w:ascii="Arial" w:hAnsi="Arial" w:cs="Arial"/>
                <w:sz w:val="20"/>
                <w:szCs w:val="20"/>
              </w:rPr>
              <w:t>28,269</w:t>
            </w:r>
          </w:p>
        </w:tc>
        <w:tc>
          <w:tcPr>
            <w:tcW w:w="928" w:type="dxa"/>
            <w:tcBorders>
              <w:top w:val="single" w:sz="8" w:space="0" w:color="000000"/>
              <w:bottom w:val="single" w:sz="8" w:space="0" w:color="000000"/>
            </w:tcBorders>
            <w:shd w:val="clear" w:color="auto" w:fill="auto"/>
            <w:vAlign w:val="bottom"/>
          </w:tcPr>
          <w:p w:rsidR="009A39B7" w:rsidRPr="00DE475B" w:rsidRDefault="003A7735" w:rsidP="00A2292F">
            <w:pPr>
              <w:jc w:val="right"/>
              <w:rPr>
                <w:rFonts w:ascii="Arial" w:hAnsi="Arial" w:cs="Arial"/>
                <w:sz w:val="20"/>
                <w:szCs w:val="20"/>
              </w:rPr>
            </w:pPr>
            <w:r>
              <w:rPr>
                <w:rFonts w:ascii="Arial" w:hAnsi="Arial" w:cs="Arial"/>
                <w:sz w:val="20"/>
                <w:szCs w:val="20"/>
              </w:rPr>
              <w:t>27,690</w:t>
            </w:r>
          </w:p>
        </w:tc>
        <w:tc>
          <w:tcPr>
            <w:tcW w:w="928" w:type="dxa"/>
            <w:tcBorders>
              <w:top w:val="single" w:sz="8" w:space="0" w:color="000000"/>
              <w:bottom w:val="single" w:sz="8" w:space="0" w:color="000000"/>
            </w:tcBorders>
            <w:shd w:val="clear" w:color="auto" w:fill="auto"/>
            <w:vAlign w:val="bottom"/>
          </w:tcPr>
          <w:p w:rsidR="009A39B7" w:rsidRPr="00DE475B" w:rsidRDefault="009A39B7" w:rsidP="00A2292F">
            <w:pPr>
              <w:jc w:val="right"/>
              <w:rPr>
                <w:rFonts w:ascii="Arial" w:hAnsi="Arial" w:cs="Arial"/>
                <w:sz w:val="20"/>
                <w:szCs w:val="20"/>
              </w:rPr>
            </w:pPr>
            <w:r w:rsidRPr="00DE475B">
              <w:rPr>
                <w:rFonts w:ascii="Arial" w:hAnsi="Arial" w:cs="Arial"/>
                <w:sz w:val="20"/>
                <w:szCs w:val="20"/>
              </w:rPr>
              <w:t>28,269</w:t>
            </w:r>
          </w:p>
        </w:tc>
      </w:tr>
      <w:tr w:rsidR="009A39B7" w:rsidRPr="00DE475B" w:rsidTr="003A7735">
        <w:trPr>
          <w:trHeight w:val="199"/>
        </w:trPr>
        <w:tc>
          <w:tcPr>
            <w:tcW w:w="1593" w:type="dxa"/>
            <w:gridSpan w:val="2"/>
            <w:shd w:val="clear" w:color="auto" w:fill="auto"/>
            <w:vAlign w:val="bottom"/>
          </w:tcPr>
          <w:p w:rsidR="009A39B7" w:rsidRPr="00652F6C" w:rsidRDefault="009A39B7" w:rsidP="00465A27">
            <w:pPr>
              <w:rPr>
                <w:rFonts w:ascii="Arial" w:hAnsi="Arial" w:cs="Arial"/>
                <w:b/>
                <w:bCs/>
              </w:rPr>
            </w:pPr>
          </w:p>
        </w:tc>
        <w:tc>
          <w:tcPr>
            <w:tcW w:w="976" w:type="dxa"/>
            <w:shd w:val="clear" w:color="auto" w:fill="auto"/>
            <w:vAlign w:val="bottom"/>
          </w:tcPr>
          <w:p w:rsidR="009A39B7" w:rsidRPr="00652F6C" w:rsidRDefault="009A39B7" w:rsidP="00465A27">
            <w:pPr>
              <w:snapToGrid w:val="0"/>
              <w:rPr>
                <w:rFonts w:ascii="Arial" w:hAnsi="Arial" w:cs="Arial"/>
              </w:rPr>
            </w:pPr>
          </w:p>
        </w:tc>
        <w:tc>
          <w:tcPr>
            <w:tcW w:w="976" w:type="dxa"/>
            <w:shd w:val="clear" w:color="auto" w:fill="auto"/>
            <w:vAlign w:val="bottom"/>
          </w:tcPr>
          <w:p w:rsidR="009A39B7" w:rsidRPr="00652F6C" w:rsidRDefault="009A39B7" w:rsidP="00465A27">
            <w:pPr>
              <w:snapToGrid w:val="0"/>
              <w:rPr>
                <w:rFonts w:ascii="Arial" w:hAnsi="Arial" w:cs="Arial"/>
              </w:rPr>
            </w:pPr>
          </w:p>
        </w:tc>
        <w:tc>
          <w:tcPr>
            <w:tcW w:w="990" w:type="dxa"/>
            <w:shd w:val="clear" w:color="auto" w:fill="auto"/>
            <w:vAlign w:val="bottom"/>
          </w:tcPr>
          <w:p w:rsidR="009A39B7" w:rsidRPr="00652F6C" w:rsidRDefault="009A39B7" w:rsidP="00465A27">
            <w:pPr>
              <w:snapToGrid w:val="0"/>
              <w:rPr>
                <w:rFonts w:ascii="Arial" w:hAnsi="Arial" w:cs="Arial"/>
              </w:rPr>
            </w:pPr>
          </w:p>
        </w:tc>
        <w:tc>
          <w:tcPr>
            <w:tcW w:w="1328" w:type="dxa"/>
            <w:gridSpan w:val="2"/>
            <w:shd w:val="clear" w:color="auto" w:fill="auto"/>
            <w:vAlign w:val="bottom"/>
          </w:tcPr>
          <w:p w:rsidR="009A39B7" w:rsidRPr="00652F6C" w:rsidRDefault="009A39B7" w:rsidP="00465A27">
            <w:pPr>
              <w:jc w:val="right"/>
              <w:rPr>
                <w:rFonts w:ascii="Arial" w:hAnsi="Arial" w:cs="Arial"/>
              </w:rPr>
            </w:pPr>
          </w:p>
        </w:tc>
        <w:tc>
          <w:tcPr>
            <w:tcW w:w="928" w:type="dxa"/>
            <w:shd w:val="clear" w:color="auto" w:fill="auto"/>
            <w:vAlign w:val="bottom"/>
          </w:tcPr>
          <w:p w:rsidR="009A39B7" w:rsidRPr="00652F6C" w:rsidRDefault="009A39B7" w:rsidP="00465A27">
            <w:pPr>
              <w:jc w:val="right"/>
              <w:rPr>
                <w:rFonts w:ascii="Arial" w:hAnsi="Arial" w:cs="Arial"/>
              </w:rPr>
            </w:pPr>
          </w:p>
        </w:tc>
        <w:tc>
          <w:tcPr>
            <w:tcW w:w="928" w:type="dxa"/>
            <w:tcBorders>
              <w:bottom w:val="single" w:sz="8" w:space="0" w:color="000000"/>
            </w:tcBorders>
            <w:shd w:val="clear" w:color="auto" w:fill="auto"/>
            <w:vAlign w:val="bottom"/>
          </w:tcPr>
          <w:p w:rsidR="009A39B7" w:rsidRPr="00C01993" w:rsidRDefault="009A39B7" w:rsidP="00465A27">
            <w:pPr>
              <w:jc w:val="right"/>
              <w:rPr>
                <w:rFonts w:ascii="Arial" w:hAnsi="Arial" w:cs="Arial"/>
                <w:sz w:val="20"/>
                <w:szCs w:val="20"/>
              </w:rPr>
            </w:pPr>
          </w:p>
        </w:tc>
        <w:tc>
          <w:tcPr>
            <w:tcW w:w="928" w:type="dxa"/>
            <w:tcBorders>
              <w:bottom w:val="single" w:sz="8" w:space="0" w:color="000000"/>
            </w:tcBorders>
            <w:shd w:val="clear" w:color="auto" w:fill="auto"/>
            <w:vAlign w:val="bottom"/>
          </w:tcPr>
          <w:p w:rsidR="009A39B7" w:rsidRPr="00652F6C" w:rsidRDefault="009A39B7" w:rsidP="00465A27">
            <w:pPr>
              <w:jc w:val="right"/>
              <w:rPr>
                <w:rFonts w:ascii="Arial" w:hAnsi="Arial" w:cs="Arial"/>
              </w:rPr>
            </w:pPr>
          </w:p>
        </w:tc>
      </w:tr>
      <w:tr w:rsidR="009A39B7" w:rsidRPr="00DE475B" w:rsidTr="009A39B7">
        <w:trPr>
          <w:trHeight w:val="122"/>
        </w:trPr>
        <w:tc>
          <w:tcPr>
            <w:tcW w:w="3545" w:type="dxa"/>
            <w:gridSpan w:val="4"/>
            <w:shd w:val="clear" w:color="auto" w:fill="auto"/>
            <w:vAlign w:val="bottom"/>
          </w:tcPr>
          <w:p w:rsidR="009A39B7" w:rsidRPr="00DE475B" w:rsidRDefault="009A39B7" w:rsidP="00FB3766">
            <w:pPr>
              <w:snapToGrid w:val="0"/>
              <w:rPr>
                <w:rFonts w:ascii="Arial" w:hAnsi="Arial" w:cs="Arial"/>
                <w:sz w:val="20"/>
                <w:szCs w:val="20"/>
              </w:rPr>
            </w:pPr>
            <w:r>
              <w:rPr>
                <w:rFonts w:ascii="Arial" w:hAnsi="Arial" w:cs="Arial"/>
                <w:sz w:val="20"/>
                <w:szCs w:val="20"/>
              </w:rPr>
              <w:t>F</w:t>
            </w:r>
            <w:r w:rsidRPr="00DE475B">
              <w:rPr>
                <w:rFonts w:ascii="Arial" w:hAnsi="Arial" w:cs="Arial"/>
                <w:sz w:val="20"/>
                <w:szCs w:val="20"/>
              </w:rPr>
              <w:t>ull-time equivalent Employees:</w:t>
            </w:r>
          </w:p>
        </w:tc>
        <w:tc>
          <w:tcPr>
            <w:tcW w:w="990" w:type="dxa"/>
            <w:shd w:val="clear" w:color="auto" w:fill="auto"/>
            <w:vAlign w:val="bottom"/>
          </w:tcPr>
          <w:p w:rsidR="009A39B7" w:rsidRPr="00DE475B" w:rsidRDefault="009A39B7" w:rsidP="00FB3766">
            <w:pPr>
              <w:snapToGrid w:val="0"/>
              <w:rPr>
                <w:rFonts w:ascii="Arial" w:hAnsi="Arial" w:cs="Arial"/>
                <w:sz w:val="20"/>
                <w:szCs w:val="20"/>
              </w:rPr>
            </w:pPr>
          </w:p>
        </w:tc>
        <w:tc>
          <w:tcPr>
            <w:tcW w:w="1328" w:type="dxa"/>
            <w:gridSpan w:val="2"/>
            <w:shd w:val="clear" w:color="auto" w:fill="auto"/>
            <w:vAlign w:val="bottom"/>
          </w:tcPr>
          <w:p w:rsidR="009A39B7" w:rsidRPr="00DE475B" w:rsidRDefault="009A39B7" w:rsidP="00FB3766">
            <w:pPr>
              <w:jc w:val="right"/>
              <w:rPr>
                <w:rFonts w:ascii="Arial" w:hAnsi="Arial" w:cs="Arial"/>
                <w:sz w:val="20"/>
                <w:szCs w:val="20"/>
              </w:rPr>
            </w:pPr>
          </w:p>
        </w:tc>
        <w:tc>
          <w:tcPr>
            <w:tcW w:w="928" w:type="dxa"/>
            <w:shd w:val="clear" w:color="auto" w:fill="auto"/>
            <w:vAlign w:val="bottom"/>
          </w:tcPr>
          <w:p w:rsidR="009A39B7" w:rsidRPr="00DE475B" w:rsidRDefault="009A39B7" w:rsidP="00FB3766">
            <w:pPr>
              <w:jc w:val="right"/>
              <w:rPr>
                <w:rFonts w:ascii="Arial" w:hAnsi="Arial" w:cs="Arial"/>
                <w:sz w:val="20"/>
                <w:szCs w:val="20"/>
              </w:rPr>
            </w:pPr>
          </w:p>
        </w:tc>
        <w:tc>
          <w:tcPr>
            <w:tcW w:w="928" w:type="dxa"/>
            <w:tcBorders>
              <w:top w:val="single" w:sz="8" w:space="0" w:color="000000"/>
              <w:bottom w:val="single" w:sz="8" w:space="0" w:color="000000"/>
            </w:tcBorders>
            <w:shd w:val="clear" w:color="auto" w:fill="auto"/>
            <w:vAlign w:val="bottom"/>
          </w:tcPr>
          <w:p w:rsidR="009A39B7" w:rsidRPr="00DE475B" w:rsidRDefault="003A7735" w:rsidP="00FB3766">
            <w:pPr>
              <w:jc w:val="right"/>
              <w:rPr>
                <w:rFonts w:ascii="Arial" w:hAnsi="Arial" w:cs="Arial"/>
                <w:sz w:val="20"/>
                <w:szCs w:val="20"/>
              </w:rPr>
            </w:pPr>
            <w:r>
              <w:rPr>
                <w:rFonts w:ascii="Arial" w:hAnsi="Arial" w:cs="Arial"/>
                <w:sz w:val="20"/>
                <w:szCs w:val="20"/>
              </w:rPr>
              <w:t>275</w:t>
            </w:r>
          </w:p>
        </w:tc>
        <w:tc>
          <w:tcPr>
            <w:tcW w:w="928" w:type="dxa"/>
            <w:tcBorders>
              <w:top w:val="single" w:sz="8" w:space="0" w:color="000000"/>
              <w:bottom w:val="single" w:sz="8" w:space="0" w:color="000000"/>
            </w:tcBorders>
            <w:shd w:val="clear" w:color="auto" w:fill="auto"/>
            <w:vAlign w:val="bottom"/>
          </w:tcPr>
          <w:p w:rsidR="009A39B7" w:rsidRPr="00DE475B" w:rsidRDefault="009A39B7" w:rsidP="00A81023">
            <w:pPr>
              <w:jc w:val="right"/>
              <w:rPr>
                <w:rFonts w:ascii="Arial" w:hAnsi="Arial" w:cs="Arial"/>
                <w:sz w:val="20"/>
                <w:szCs w:val="20"/>
              </w:rPr>
            </w:pPr>
            <w:r w:rsidRPr="00DE475B">
              <w:rPr>
                <w:rFonts w:ascii="Arial" w:hAnsi="Arial" w:cs="Arial"/>
                <w:sz w:val="20"/>
                <w:szCs w:val="20"/>
              </w:rPr>
              <w:t>288</w:t>
            </w:r>
          </w:p>
        </w:tc>
      </w:tr>
    </w:tbl>
    <w:p w:rsidR="003608B5" w:rsidRDefault="003608B5" w:rsidP="0000213B">
      <w:pPr>
        <w:pStyle w:val="ARbodytext"/>
        <w:rPr>
          <w:b/>
          <w:bCs/>
          <w:i/>
          <w:iCs/>
        </w:rPr>
      </w:pPr>
    </w:p>
    <w:p w:rsidR="0000213B" w:rsidRPr="00DE475B" w:rsidRDefault="0000213B" w:rsidP="0000213B">
      <w:pPr>
        <w:pStyle w:val="ARbodytext"/>
        <w:rPr>
          <w:b/>
          <w:bCs/>
        </w:rPr>
      </w:pPr>
      <w:r w:rsidRPr="00DE475B">
        <w:rPr>
          <w:b/>
          <w:bCs/>
          <w:i/>
          <w:iCs/>
        </w:rPr>
        <w:t>Library Board of Queensland and controlled entities</w:t>
      </w:r>
    </w:p>
    <w:p w:rsidR="0000213B" w:rsidRPr="00DE475B" w:rsidRDefault="0000213B" w:rsidP="0000213B">
      <w:pPr>
        <w:rPr>
          <w:rFonts w:ascii="Arial" w:hAnsi="Arial" w:cs="Arial"/>
          <w:b/>
          <w:bCs/>
          <w:sz w:val="20"/>
          <w:szCs w:val="20"/>
        </w:rPr>
      </w:pPr>
      <w:r w:rsidRPr="00DE475B">
        <w:rPr>
          <w:noProof/>
          <w:lang w:eastAsia="en-AU"/>
        </w:rPr>
        <mc:AlternateContent>
          <mc:Choice Requires="wps">
            <w:drawing>
              <wp:anchor distT="0" distB="0" distL="114300" distR="114300" simplePos="0" relativeHeight="251726848" behindDoc="0" locked="0" layoutInCell="1" allowOverlap="1" wp14:anchorId="0DAE3321" wp14:editId="6EEC3BBF">
                <wp:simplePos x="0" y="0"/>
                <wp:positionH relativeFrom="column">
                  <wp:posOffset>-66040</wp:posOffset>
                </wp:positionH>
                <wp:positionV relativeFrom="paragraph">
                  <wp:posOffset>-222250</wp:posOffset>
                </wp:positionV>
                <wp:extent cx="5573395" cy="0"/>
                <wp:effectExtent l="13970" t="9525" r="13335" b="9525"/>
                <wp:wrapNone/>
                <wp:docPr id="29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SnAIAAHsFAAAOAAAAZHJzL2Uyb0RvYy54bWysVFFvmzAQfp+0/2D5nQKBJASVVC0he+m2&#10;Su20Z8c2wRrYzHZDoqn/fWcnYU33Mk1NJOSz787f3fedr2/2XYt2XBuhZIHjqwgjLqliQm4L/O1p&#10;HWQYGUskI62SvMAHbvDN8uOH66HP+UQ1qmVcI0giTT70BW6s7fMwNLThHTFXqucSDmulO2LB1NuQ&#10;aTJA9q4NJ1E0CwelWa8V5cbA7up4iJc+f11zar/WteEWtQUGbNZ/tf9u3DdcXpN8q0nfCHqCQf4D&#10;RUeEhEvHVCtiCXrW4q9UnaBaGVXbK6q6UNW1oNzXANXE0ZtqHhvSc18LNMf0Y5vM+6WlX3YPGglW&#10;4MkC+iNJByTdC8lRvMhcd4be5OBUygft6qN7+djfK/rDIKnKhsgt9yifDj0Exi4ivAhxhunhjs3w&#10;WTHwIc9W+Vbta925lNAEtPeMHEZG+N4iCpvT6TxJFlOM6PksJPk5sNfGfuKqQ25R4BZQ+8Rkd2+s&#10;A0Lys4u7R6q1aFtPeCvRUOBFMoOSKQHZmZ8+0qhWMOfl/I3ebspWox1x2vE/Xx6cvHbrhAUFt6Ir&#10;cDY6kbzhhFWS+essEe1xDZBa6ZJzr80jTrD2FpZ+Hwr3uvm1iBZVVmVpkE5mVZBGq1Vwuy7TYLaO&#10;59NVsirLVfziUMdp3gjGuHTAzxqO03/TyGmajuobVTy2KrzM7nsKYC+R3q6n0TxNsmA+nyZBmlRR&#10;cJety+C2jGezeXVX3lVvkFa+evM+YMdWOlTqGdh4bNiAmHCiSKaLSYzBgJmfzI/8INJu4bGiVmOk&#10;lf0ubOM17NTnclwQn0XufyJ+zH5sxJlDZ40snGr70yrg/MyvHw03Dce52ih2eNDnkYEJ90Gn18g9&#10;Ia9tWL9+M5e/AQAA//8DAFBLAwQUAAYACAAAACEA3tirZ+AAAAALAQAADwAAAGRycy9kb3ducmV2&#10;LnhtbEyPQUvDQBCF74L/YRnBi7SbmlhLzKaIIB4Eaaso3rbZMRvMzobdbRP/vSMIepuZ93jzvWo9&#10;uV4cMcTOk4LFPAOB1HjTUavg5fl+tgIRkyaje0+o4AsjrOvTk0qXxo+0xeMutYJDKJZagU1pKKWM&#10;jUWn49wPSKx9+OB04jW00gQ9crjr5WWWLaXTHfEHqwe8s9h87g5OwVMYu5jyothgen99eHyzmwu3&#10;Ver8bLq9AZFwSn9m+MFndKiZae8PZKLoFcwWWcFWHvIrLsWO1fI6B7H/vci6kv871N8AAAD//wMA&#10;UEsBAi0AFAAGAAgAAAAhALaDOJL+AAAA4QEAABMAAAAAAAAAAAAAAAAAAAAAAFtDb250ZW50X1R5&#10;cGVzXS54bWxQSwECLQAUAAYACAAAACEAOP0h/9YAAACUAQAACwAAAAAAAAAAAAAAAAAvAQAAX3Jl&#10;bHMvLnJlbHNQSwECLQAUAAYACAAAACEAd3nv0pwCAAB7BQAADgAAAAAAAAAAAAAAAAAuAgAAZHJz&#10;L2Uyb0RvYy54bWxQSwECLQAUAAYACAAAACEA3tirZ+AAAAALAQAADwAAAAAAAAAAAAAAAAD2BAAA&#10;ZHJzL2Rvd25yZXYueG1sUEsFBgAAAAAEAAQA8wAAAAMGAAAAAA==&#10;" strokeweight=".26mm">
                <v:stroke joinstyle="miter" endcap="square"/>
              </v:line>
            </w:pict>
          </mc:Fallback>
        </mc:AlternateContent>
      </w:r>
      <w:r w:rsidRPr="00DE475B">
        <w:rPr>
          <w:rFonts w:ascii="Arial" w:hAnsi="Arial" w:cs="Arial"/>
          <w:b/>
          <w:bCs/>
          <w:sz w:val="20"/>
          <w:szCs w:val="20"/>
        </w:rPr>
        <w:t>NOTES TO THE FINANCIAL STATEMENTS</w:t>
      </w:r>
    </w:p>
    <w:p w:rsidR="0000213B" w:rsidRPr="00DE475B" w:rsidRDefault="0000213B" w:rsidP="0000213B">
      <w:r>
        <w:rPr>
          <w:rFonts w:ascii="Arial" w:hAnsi="Arial" w:cs="Arial"/>
          <w:b/>
          <w:bCs/>
          <w:sz w:val="20"/>
          <w:szCs w:val="20"/>
        </w:rPr>
        <w:t>For the year ended 30 June 2017</w:t>
      </w:r>
    </w:p>
    <w:p w:rsidR="0000213B" w:rsidRPr="00DE475B" w:rsidRDefault="0000213B" w:rsidP="0000213B">
      <w:pPr>
        <w:pStyle w:val="ARbodytext"/>
        <w:rPr>
          <w:color w:val="808080"/>
        </w:rPr>
        <w:sectPr w:rsidR="0000213B" w:rsidRPr="00DE475B" w:rsidSect="00B53922">
          <w:type w:val="continuous"/>
          <w:pgSz w:w="11906" w:h="16838"/>
          <w:pgMar w:top="1440" w:right="1701" w:bottom="1440" w:left="1701" w:header="680" w:footer="680" w:gutter="0"/>
          <w:cols w:space="720"/>
          <w:docGrid w:linePitch="360"/>
        </w:sectPr>
      </w:pPr>
      <w:r w:rsidRPr="00DE475B">
        <w:rPr>
          <w:rFonts w:eastAsia="Times New Roman"/>
          <w:b/>
          <w:bCs/>
          <w:noProof/>
          <w:sz w:val="24"/>
          <w:szCs w:val="24"/>
          <w:lang w:eastAsia="en-AU"/>
        </w:rPr>
        <mc:AlternateContent>
          <mc:Choice Requires="wps">
            <w:drawing>
              <wp:anchor distT="0" distB="0" distL="114300" distR="114300" simplePos="0" relativeHeight="251725824" behindDoc="0" locked="0" layoutInCell="1" allowOverlap="1" wp14:anchorId="77BD0884" wp14:editId="29FCB327">
                <wp:simplePos x="0" y="0"/>
                <wp:positionH relativeFrom="column">
                  <wp:posOffset>-66040</wp:posOffset>
                </wp:positionH>
                <wp:positionV relativeFrom="paragraph">
                  <wp:posOffset>70485</wp:posOffset>
                </wp:positionV>
                <wp:extent cx="5573395" cy="0"/>
                <wp:effectExtent l="13970" t="13335" r="13335" b="5715"/>
                <wp:wrapNone/>
                <wp:docPr id="291"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WSnQIAAHsFAAAOAAAAZHJzL2Uyb0RvYy54bWysVF1vmzAUfZ+0/2D5nQKBhASVVC0he+m2&#10;Su20Z8c2wRrYzHZDoqn/fddOwpruZZqaSMgf18fn3nOur2/2XYt2XBuhZIHjqwgjLqliQm4L/O1p&#10;HcwxMpZIRloleYEP3OCb5ccP10Of84lqVMu4RgAiTT70BW6s7fMwNLThHTFXqucSNmulO2Jhqrch&#10;02QA9K4NJ1E0CwelWa8V5cbA6uq4iZcev645tV/r2nCL2gIDN+u/2n837hsur0m+1aRvBD3RIP/B&#10;oiNCwqUj1IpYgp61+AuqE1Qro2p7RVUXqroWlPscIJs4epPNY0N67nOB4ph+LJN5P1j6ZfegkWAF&#10;nixijCTpQKR7ITmKF5mrztCbHIJK+aBdfnQvH/t7RX8YJFXZELnlnuXToYeDsTsRXhxxE9PDHZvh&#10;s2IQQ56t8qXa17pzkFAEtPeKHEZF+N4iCovTaZYkiylG9LwXkvx8sNfGfuKqQ25Q4BZYe2CyuzfW&#10;ESH5OcTdI9VatK0XvJVoKPAimYElKAHbmZ/+pFGtYC7KxRu93ZStRjvivON/Pj3YeR3WCQsObkVX&#10;4PkYRPKGE1ZJ5q+zRLTHMVBqpQPn3ptHnjDbWxj6dUjc++bXIlpU82qeBulkVgVptFoFt+syDWbr&#10;OJuuklVZruIXxzpO80YwxqUjfvZwnP6bR07ddHTf6OKxVOEluq8pkL1kerueRlmazIMsmyZBmlRR&#10;cDdfl8FtGc9mWXVX3lVvmFY+e/M+ZMdSOlbqGdR4bNiAmHCmSKaLCfiaCej5SXbUB5F2C48VtRoj&#10;rex3YRvvYec+h3Eh/Dxy/5PwI/qxEGcN3WxU4ZTbn1KB5md9fWu4bjj21Uaxw4M+twx0uD90eo3c&#10;E/J6DuPXb+byNwAAAP//AwBQSwMEFAAGAAgAAAAhAPBAaXHeAAAACQEAAA8AAABkcnMvZG93bnJl&#10;di54bWxMj8FKw0AQhu+C77CM4EXaTWyoJWZTRBAPgrRVFG/b7JgNZmfD7raJb+9ID3qc+T/++aZa&#10;T64XRwyx86Qgn2cgkBpvOmoVvL48zFYgYtJkdO8JFXxjhHV9flbp0viRtnjcpVZwCcVSK7ApDaWU&#10;sbHodJz7AYmzTx+cTjyGVpqgRy53vbzOsqV0uiO+YPWA9xabr93BKXgOYxfToig2mD7eHp/e7ebK&#10;bZW6vJjubkEknNIfDL/6rA41O+39gUwUvYJZnhWMcpDnIBhYLW8WIPanhawr+f+D+gcAAP//AwBQ&#10;SwECLQAUAAYACAAAACEAtoM4kv4AAADhAQAAEwAAAAAAAAAAAAAAAAAAAAAAW0NvbnRlbnRfVHlw&#10;ZXNdLnhtbFBLAQItABQABgAIAAAAIQA4/SH/1gAAAJQBAAALAAAAAAAAAAAAAAAAAC8BAABfcmVs&#10;cy8ucmVsc1BLAQItABQABgAIAAAAIQAPhUWSnQIAAHsFAAAOAAAAAAAAAAAAAAAAAC4CAABkcnMv&#10;ZTJvRG9jLnhtbFBLAQItABQABgAIAAAAIQDwQGlx3gAAAAkBAAAPAAAAAAAAAAAAAAAAAPcEAABk&#10;cnMvZG93bnJldi54bWxQSwUGAAAAAAQABADzAAAAAgYAAAAA&#10;" strokeweight=".26mm">
                <v:stroke joinstyle="miter" endcap="square"/>
              </v:line>
            </w:pict>
          </mc:Fallback>
        </mc:AlternateContent>
      </w:r>
    </w:p>
    <w:p w:rsidR="003608B5" w:rsidRPr="00DE475B" w:rsidRDefault="003608B5" w:rsidP="003608B5">
      <w:pPr>
        <w:pStyle w:val="ARheading3"/>
        <w:tabs>
          <w:tab w:val="left" w:pos="851"/>
        </w:tabs>
        <w:spacing w:before="240" w:after="120"/>
        <w:rPr>
          <w:color w:val="808080"/>
        </w:rPr>
        <w:sectPr w:rsidR="003608B5" w:rsidRPr="00DE475B" w:rsidSect="00B53922">
          <w:type w:val="continuous"/>
          <w:pgSz w:w="11906" w:h="16838"/>
          <w:pgMar w:top="1440" w:right="1701" w:bottom="1440" w:left="1701" w:header="680" w:footer="680" w:gutter="0"/>
          <w:cols w:space="720"/>
          <w:docGrid w:linePitch="360"/>
        </w:sectPr>
      </w:pPr>
      <w:r w:rsidRPr="00DE475B">
        <w:rPr>
          <w:color w:val="808080"/>
        </w:rPr>
        <w:lastRenderedPageBreak/>
        <w:t>B2 Expenses</w:t>
      </w:r>
      <w:r>
        <w:rPr>
          <w:color w:val="808080"/>
        </w:rPr>
        <w:t xml:space="preserve"> </w:t>
      </w:r>
      <w:r w:rsidR="000F6D8B">
        <w:rPr>
          <w:color w:val="808080"/>
        </w:rPr>
        <w:t>(</w:t>
      </w:r>
      <w:r>
        <w:rPr>
          <w:color w:val="808080"/>
        </w:rPr>
        <w:t>continued</w:t>
      </w:r>
      <w:r w:rsidR="000F6D8B">
        <w:rPr>
          <w:color w:val="808080"/>
        </w:rPr>
        <w:t>)</w:t>
      </w:r>
    </w:p>
    <w:p w:rsidR="00DE4756" w:rsidRPr="00DE475B" w:rsidRDefault="00DE4756" w:rsidP="00652F6C">
      <w:pPr>
        <w:tabs>
          <w:tab w:val="left" w:pos="284"/>
          <w:tab w:val="left" w:pos="5878"/>
          <w:tab w:val="left" w:pos="8548"/>
          <w:tab w:val="left" w:pos="8770"/>
          <w:tab w:val="left" w:pos="10266"/>
          <w:tab w:val="left" w:pos="11702"/>
        </w:tabs>
        <w:rPr>
          <w:rFonts w:ascii="Arial" w:hAnsi="Arial" w:cs="Arial"/>
          <w:sz w:val="20"/>
          <w:szCs w:val="20"/>
        </w:rPr>
      </w:pPr>
      <w:r w:rsidRPr="00DE475B">
        <w:rPr>
          <w:rFonts w:ascii="Arial" w:hAnsi="Arial" w:cs="Arial"/>
          <w:b/>
          <w:bCs/>
          <w:sz w:val="20"/>
          <w:szCs w:val="20"/>
        </w:rPr>
        <w:lastRenderedPageBreak/>
        <w:t>B2</w:t>
      </w:r>
      <w:r w:rsidR="00512F29" w:rsidRPr="00DE475B">
        <w:rPr>
          <w:rFonts w:ascii="Arial" w:hAnsi="Arial" w:cs="Arial"/>
          <w:b/>
          <w:bCs/>
          <w:sz w:val="20"/>
          <w:szCs w:val="20"/>
        </w:rPr>
        <w:t>-2</w:t>
      </w:r>
      <w:r w:rsidRPr="00DE475B">
        <w:rPr>
          <w:rFonts w:ascii="Arial" w:hAnsi="Arial" w:cs="Arial"/>
          <w:b/>
          <w:bCs/>
          <w:sz w:val="20"/>
          <w:szCs w:val="20"/>
        </w:rPr>
        <w:t xml:space="preserve"> Supplies and services</w:t>
      </w:r>
    </w:p>
    <w:p w:rsidR="003608B5" w:rsidRDefault="003608B5" w:rsidP="003608B5">
      <w:pPr>
        <w:rPr>
          <w:rFonts w:ascii="Arial" w:hAnsi="Arial" w:cs="Arial"/>
          <w:i/>
          <w:iCs/>
          <w:sz w:val="20"/>
          <w:szCs w:val="20"/>
        </w:rPr>
        <w:sectPr w:rsidR="003608B5" w:rsidSect="00B53922">
          <w:type w:val="continuous"/>
          <w:pgSz w:w="11906" w:h="16838"/>
          <w:pgMar w:top="1440" w:right="1701" w:bottom="1440" w:left="1701" w:header="680" w:footer="680" w:gutter="0"/>
          <w:cols w:space="720"/>
          <w:docGrid w:linePitch="360"/>
        </w:sectPr>
      </w:pPr>
    </w:p>
    <w:p w:rsidR="003608B5" w:rsidRPr="003608B5" w:rsidRDefault="00657124" w:rsidP="003608B5">
      <w:pPr>
        <w:rPr>
          <w:rFonts w:ascii="Arial" w:hAnsi="Arial" w:cs="Arial"/>
          <w:i/>
          <w:iCs/>
          <w:sz w:val="20"/>
          <w:szCs w:val="20"/>
        </w:rPr>
      </w:pPr>
      <w:r>
        <w:rPr>
          <w:rFonts w:ascii="Arial" w:hAnsi="Arial" w:cs="Arial"/>
          <w:i/>
          <w:iCs/>
          <w:sz w:val="20"/>
          <w:szCs w:val="20"/>
        </w:rPr>
        <w:lastRenderedPageBreak/>
        <w:t>Accounting Policy —</w:t>
      </w:r>
      <w:r w:rsidR="003608B5" w:rsidRPr="003608B5">
        <w:rPr>
          <w:rFonts w:ascii="Arial" w:hAnsi="Arial" w:cs="Arial"/>
          <w:i/>
          <w:iCs/>
          <w:sz w:val="20"/>
          <w:szCs w:val="20"/>
        </w:rPr>
        <w:t xml:space="preserve"> Operating Lease Rentals</w:t>
      </w:r>
    </w:p>
    <w:p w:rsidR="003608B5" w:rsidRPr="003608B5" w:rsidRDefault="003608B5" w:rsidP="003608B5">
      <w:pPr>
        <w:spacing w:after="120"/>
        <w:rPr>
          <w:rFonts w:ascii="Arial" w:hAnsi="Arial" w:cs="Arial"/>
          <w:spacing w:val="-2"/>
          <w:sz w:val="20"/>
          <w:szCs w:val="20"/>
        </w:rPr>
      </w:pPr>
      <w:r w:rsidRPr="003608B5">
        <w:rPr>
          <w:rFonts w:ascii="Arial" w:hAnsi="Arial" w:cs="Arial"/>
          <w:spacing w:val="-2"/>
          <w:sz w:val="20"/>
          <w:szCs w:val="20"/>
        </w:rPr>
        <w:t>Operating lease payments are representative of the pattern of benefits derived from the leased assets and are expensed in the periods in which they are incurred.  Incentives received on entering into operating leases are recognised as liabilities.  Lease payments are allocated between rental expense and reduction of the liability.</w:t>
      </w:r>
    </w:p>
    <w:p w:rsidR="003608B5" w:rsidRPr="003608B5" w:rsidRDefault="003608B5" w:rsidP="003608B5">
      <w:pPr>
        <w:rPr>
          <w:rFonts w:ascii="Arial" w:hAnsi="Arial" w:cs="Arial"/>
          <w:i/>
          <w:iCs/>
          <w:sz w:val="20"/>
          <w:szCs w:val="20"/>
        </w:rPr>
      </w:pPr>
      <w:r w:rsidRPr="003608B5">
        <w:rPr>
          <w:rFonts w:ascii="Arial" w:hAnsi="Arial" w:cs="Arial"/>
          <w:i/>
          <w:iCs/>
          <w:sz w:val="20"/>
          <w:szCs w:val="20"/>
        </w:rPr>
        <w:t xml:space="preserve">Disclosure </w:t>
      </w:r>
      <w:r w:rsidR="00CF2F3D">
        <w:rPr>
          <w:rFonts w:ascii="Arial" w:hAnsi="Arial" w:cs="Arial"/>
          <w:i/>
          <w:iCs/>
          <w:sz w:val="20"/>
          <w:szCs w:val="20"/>
        </w:rPr>
        <w:t>—</w:t>
      </w:r>
      <w:r w:rsidRPr="003608B5">
        <w:rPr>
          <w:rFonts w:ascii="Arial" w:hAnsi="Arial" w:cs="Arial"/>
          <w:i/>
          <w:iCs/>
          <w:sz w:val="20"/>
          <w:szCs w:val="20"/>
        </w:rPr>
        <w:t xml:space="preserve"> Operating Leases</w:t>
      </w:r>
    </w:p>
    <w:p w:rsidR="003608B5" w:rsidRPr="003608B5" w:rsidRDefault="003608B5" w:rsidP="00C01993">
      <w:pPr>
        <w:spacing w:after="240"/>
        <w:rPr>
          <w:rFonts w:ascii="Arial" w:hAnsi="Arial" w:cs="Arial"/>
          <w:spacing w:val="-2"/>
          <w:sz w:val="20"/>
          <w:szCs w:val="20"/>
        </w:rPr>
      </w:pPr>
      <w:r w:rsidRPr="003608B5">
        <w:rPr>
          <w:rFonts w:ascii="Arial" w:hAnsi="Arial" w:cs="Arial"/>
          <w:spacing w:val="-2"/>
          <w:sz w:val="20"/>
          <w:szCs w:val="20"/>
        </w:rPr>
        <w:t>Operating leases are entered into as a means of acquiring access to office accommodation and storage facilities.  Lease terms extend over a period of 5 to 10 years.  The Library Board has no option to purchase the leased item at the conclusion of the lease although the lease provides for a right of renewal at which time the lease terms are renegotiated.</w:t>
      </w:r>
    </w:p>
    <w:p w:rsidR="003608B5" w:rsidRPr="003608B5" w:rsidRDefault="003608B5" w:rsidP="003608B5">
      <w:pPr>
        <w:spacing w:after="120"/>
        <w:rPr>
          <w:rFonts w:ascii="Arial" w:hAnsi="Arial" w:cs="Arial"/>
          <w:spacing w:val="-2"/>
          <w:sz w:val="20"/>
          <w:szCs w:val="20"/>
        </w:rPr>
      </w:pPr>
      <w:r w:rsidRPr="003608B5">
        <w:rPr>
          <w:rFonts w:ascii="Arial" w:hAnsi="Arial" w:cs="Arial"/>
          <w:spacing w:val="-2"/>
          <w:sz w:val="20"/>
          <w:szCs w:val="20"/>
        </w:rPr>
        <w:lastRenderedPageBreak/>
        <w:t xml:space="preserve">Operating lease rental expenses comprises the minimum lease payments payable under operating lease contracts.  Lease payments are generally fixed, but with inflation escalation clauses on which contingent rentals are determined.  </w:t>
      </w:r>
    </w:p>
    <w:p w:rsidR="002C52F0" w:rsidRPr="00DE475B" w:rsidRDefault="002C52F0" w:rsidP="002C52F0">
      <w:pPr>
        <w:tabs>
          <w:tab w:val="left" w:pos="284"/>
        </w:tabs>
        <w:rPr>
          <w:rFonts w:ascii="Arial" w:hAnsi="Arial" w:cs="Arial"/>
          <w:spacing w:val="-2"/>
          <w:sz w:val="20"/>
          <w:szCs w:val="20"/>
        </w:rPr>
      </w:pPr>
      <w:r w:rsidRPr="00DE475B">
        <w:rPr>
          <w:rFonts w:ascii="Arial" w:hAnsi="Arial" w:cs="Arial"/>
          <w:i/>
          <w:iCs/>
          <w:sz w:val="20"/>
          <w:szCs w:val="20"/>
        </w:rPr>
        <w:t>Accounting policy — Services rendered free of charge or for nominal value</w:t>
      </w:r>
    </w:p>
    <w:p w:rsidR="002C52F0" w:rsidRPr="00DE475B" w:rsidRDefault="002C52F0" w:rsidP="002C52F0">
      <w:pPr>
        <w:spacing w:after="120"/>
        <w:rPr>
          <w:rFonts w:ascii="Arial" w:hAnsi="Arial" w:cs="Arial"/>
          <w:spacing w:val="-2"/>
          <w:sz w:val="20"/>
          <w:szCs w:val="20"/>
        </w:rPr>
      </w:pPr>
      <w:r w:rsidRPr="00DE475B">
        <w:rPr>
          <w:rFonts w:ascii="Arial" w:hAnsi="Arial" w:cs="Arial"/>
          <w:spacing w:val="-2"/>
          <w:sz w:val="20"/>
          <w:szCs w:val="20"/>
        </w:rPr>
        <w:t xml:space="preserve">Contributions of services are recognised only if the services would have been purchased if they had not been donated and their fair value can be measured reliably. Where this is the case, an equal amount is recognised as </w:t>
      </w:r>
      <w:proofErr w:type="gramStart"/>
      <w:r w:rsidRPr="00DE475B">
        <w:rPr>
          <w:rFonts w:ascii="Arial" w:hAnsi="Arial" w:cs="Arial"/>
          <w:spacing w:val="-2"/>
          <w:sz w:val="20"/>
          <w:szCs w:val="20"/>
        </w:rPr>
        <w:t>a revenue</w:t>
      </w:r>
      <w:proofErr w:type="gramEnd"/>
      <w:r w:rsidRPr="00DE475B">
        <w:rPr>
          <w:rFonts w:ascii="Arial" w:hAnsi="Arial" w:cs="Arial"/>
          <w:spacing w:val="-2"/>
          <w:sz w:val="20"/>
          <w:szCs w:val="20"/>
        </w:rPr>
        <w:t xml:space="preserve"> and an expense.</w:t>
      </w:r>
    </w:p>
    <w:p w:rsidR="003608B5" w:rsidRDefault="002C52F0" w:rsidP="00CD5FA4">
      <w:pPr>
        <w:rPr>
          <w:rFonts w:ascii="Arial" w:hAnsi="Arial" w:cs="Arial"/>
          <w:sz w:val="20"/>
          <w:szCs w:val="20"/>
        </w:rPr>
        <w:sectPr w:rsidR="003608B5" w:rsidSect="00B53922">
          <w:type w:val="continuous"/>
          <w:pgSz w:w="11906" w:h="16838"/>
          <w:pgMar w:top="1440" w:right="1701" w:bottom="1440" w:left="1701" w:header="680" w:footer="680" w:gutter="0"/>
          <w:cols w:num="2" w:space="720"/>
          <w:docGrid w:linePitch="360"/>
        </w:sectPr>
      </w:pPr>
      <w:r w:rsidRPr="00DE475B">
        <w:rPr>
          <w:rFonts w:ascii="Arial" w:hAnsi="Arial" w:cs="Arial"/>
          <w:sz w:val="20"/>
          <w:szCs w:val="20"/>
        </w:rPr>
        <w:t xml:space="preserve">Arts Queensland, through the Department of Premier and Cabinet, own and maintain the State Library building. </w:t>
      </w:r>
      <w:r w:rsidR="00A81023" w:rsidRPr="00DE475B">
        <w:rPr>
          <w:rFonts w:ascii="Arial" w:hAnsi="Arial" w:cs="Arial"/>
          <w:sz w:val="20"/>
          <w:szCs w:val="20"/>
        </w:rPr>
        <w:t>Rental is based on a market rental appraised by the State Valuation Service.</w:t>
      </w:r>
    </w:p>
    <w:tbl>
      <w:tblPr>
        <w:tblW w:w="8789" w:type="dxa"/>
        <w:tblInd w:w="108" w:type="dxa"/>
        <w:tblLayout w:type="fixed"/>
        <w:tblLook w:val="0000" w:firstRow="0" w:lastRow="0" w:firstColumn="0" w:lastColumn="0" w:noHBand="0" w:noVBand="0"/>
      </w:tblPr>
      <w:tblGrid>
        <w:gridCol w:w="441"/>
        <w:gridCol w:w="1037"/>
        <w:gridCol w:w="1037"/>
        <w:gridCol w:w="994"/>
        <w:gridCol w:w="611"/>
        <w:gridCol w:w="558"/>
        <w:gridCol w:w="142"/>
        <w:gridCol w:w="806"/>
        <w:gridCol w:w="1054"/>
        <w:gridCol w:w="1205"/>
        <w:gridCol w:w="904"/>
      </w:tblGrid>
      <w:tr w:rsidR="008C1B51" w:rsidRPr="00DE475B" w:rsidTr="006A63DA">
        <w:trPr>
          <w:trHeight w:val="255"/>
        </w:trPr>
        <w:tc>
          <w:tcPr>
            <w:tcW w:w="441" w:type="dxa"/>
            <w:shd w:val="clear" w:color="auto" w:fill="auto"/>
            <w:vAlign w:val="bottom"/>
          </w:tcPr>
          <w:p w:rsidR="008C1B51" w:rsidRPr="00DE475B" w:rsidRDefault="008C1B51" w:rsidP="00A2292F">
            <w:pPr>
              <w:snapToGrid w:val="0"/>
              <w:rPr>
                <w:rFonts w:ascii="Arial" w:hAnsi="Arial" w:cs="Arial"/>
                <w:b/>
                <w:bCs/>
                <w:sz w:val="20"/>
                <w:szCs w:val="20"/>
              </w:rPr>
            </w:pPr>
          </w:p>
        </w:tc>
        <w:tc>
          <w:tcPr>
            <w:tcW w:w="1037" w:type="dxa"/>
            <w:shd w:val="clear" w:color="auto" w:fill="auto"/>
            <w:vAlign w:val="bottom"/>
          </w:tcPr>
          <w:p w:rsidR="008C1B51" w:rsidRPr="00DE475B" w:rsidRDefault="008C1B51" w:rsidP="00A2292F">
            <w:pPr>
              <w:snapToGrid w:val="0"/>
              <w:rPr>
                <w:rFonts w:ascii="Arial" w:hAnsi="Arial" w:cs="Arial"/>
                <w:b/>
                <w:bCs/>
                <w:sz w:val="20"/>
                <w:szCs w:val="20"/>
              </w:rPr>
            </w:pPr>
          </w:p>
        </w:tc>
        <w:tc>
          <w:tcPr>
            <w:tcW w:w="1037" w:type="dxa"/>
            <w:shd w:val="clear" w:color="auto" w:fill="auto"/>
            <w:vAlign w:val="bottom"/>
          </w:tcPr>
          <w:p w:rsidR="008C1B51" w:rsidRPr="00DE475B" w:rsidRDefault="008C1B51" w:rsidP="00A2292F">
            <w:pPr>
              <w:snapToGrid w:val="0"/>
              <w:rPr>
                <w:rFonts w:ascii="Arial" w:hAnsi="Arial" w:cs="Arial"/>
                <w:b/>
                <w:bCs/>
                <w:sz w:val="20"/>
                <w:szCs w:val="20"/>
              </w:rPr>
            </w:pPr>
          </w:p>
        </w:tc>
        <w:tc>
          <w:tcPr>
            <w:tcW w:w="994" w:type="dxa"/>
            <w:shd w:val="clear" w:color="auto" w:fill="auto"/>
            <w:vAlign w:val="bottom"/>
          </w:tcPr>
          <w:p w:rsidR="008C1B51" w:rsidRPr="00DE475B" w:rsidRDefault="008C1B51" w:rsidP="00A2292F">
            <w:pPr>
              <w:snapToGrid w:val="0"/>
              <w:rPr>
                <w:rFonts w:ascii="Arial" w:hAnsi="Arial" w:cs="Arial"/>
                <w:b/>
                <w:bCs/>
                <w:sz w:val="20"/>
                <w:szCs w:val="20"/>
              </w:rPr>
            </w:pPr>
          </w:p>
        </w:tc>
        <w:tc>
          <w:tcPr>
            <w:tcW w:w="611" w:type="dxa"/>
            <w:shd w:val="clear" w:color="auto" w:fill="auto"/>
            <w:vAlign w:val="bottom"/>
          </w:tcPr>
          <w:p w:rsidR="008C1B51" w:rsidRPr="00DE475B" w:rsidRDefault="008C1B51" w:rsidP="00A2292F">
            <w:pPr>
              <w:snapToGrid w:val="0"/>
              <w:rPr>
                <w:rFonts w:ascii="Arial" w:hAnsi="Arial" w:cs="Arial"/>
                <w:b/>
                <w:bCs/>
                <w:sz w:val="20"/>
                <w:szCs w:val="20"/>
              </w:rPr>
            </w:pPr>
          </w:p>
        </w:tc>
        <w:tc>
          <w:tcPr>
            <w:tcW w:w="700" w:type="dxa"/>
            <w:gridSpan w:val="2"/>
            <w:shd w:val="clear" w:color="auto" w:fill="auto"/>
            <w:vAlign w:val="bottom"/>
          </w:tcPr>
          <w:p w:rsidR="008C1B51" w:rsidRPr="00DE475B" w:rsidRDefault="008C1B51" w:rsidP="00A2292F">
            <w:pPr>
              <w:snapToGrid w:val="0"/>
              <w:jc w:val="center"/>
              <w:rPr>
                <w:rFonts w:ascii="Arial" w:hAnsi="Arial" w:cs="Arial"/>
                <w:b/>
                <w:bCs/>
                <w:sz w:val="20"/>
                <w:szCs w:val="20"/>
              </w:rPr>
            </w:pPr>
          </w:p>
        </w:tc>
        <w:tc>
          <w:tcPr>
            <w:tcW w:w="1860" w:type="dxa"/>
            <w:gridSpan w:val="2"/>
            <w:shd w:val="clear" w:color="auto" w:fill="auto"/>
            <w:vAlign w:val="bottom"/>
          </w:tcPr>
          <w:p w:rsidR="008C1B51" w:rsidRPr="00DE475B" w:rsidRDefault="008C1B51" w:rsidP="00A2292F">
            <w:pPr>
              <w:jc w:val="right"/>
              <w:rPr>
                <w:rFonts w:ascii="Arial" w:hAnsi="Arial" w:cs="Arial"/>
                <w:b/>
                <w:bCs/>
                <w:sz w:val="20"/>
                <w:szCs w:val="20"/>
              </w:rPr>
            </w:pPr>
            <w:r w:rsidRPr="00DE475B">
              <w:rPr>
                <w:rFonts w:ascii="Arial" w:hAnsi="Arial" w:cs="Arial"/>
                <w:b/>
                <w:bCs/>
                <w:sz w:val="20"/>
                <w:szCs w:val="20"/>
              </w:rPr>
              <w:t>Economic Entity</w:t>
            </w:r>
          </w:p>
        </w:tc>
        <w:tc>
          <w:tcPr>
            <w:tcW w:w="2109" w:type="dxa"/>
            <w:gridSpan w:val="2"/>
            <w:shd w:val="clear" w:color="auto" w:fill="auto"/>
            <w:vAlign w:val="bottom"/>
          </w:tcPr>
          <w:p w:rsidR="008C1B51" w:rsidRPr="00DE475B" w:rsidRDefault="008C1B51" w:rsidP="00A2292F">
            <w:pPr>
              <w:jc w:val="right"/>
              <w:rPr>
                <w:rFonts w:ascii="Arial" w:hAnsi="Arial" w:cs="Arial"/>
                <w:b/>
                <w:bCs/>
                <w:sz w:val="20"/>
                <w:szCs w:val="20"/>
              </w:rPr>
            </w:pPr>
            <w:r w:rsidRPr="00DE475B">
              <w:rPr>
                <w:rFonts w:ascii="Arial" w:hAnsi="Arial" w:cs="Arial"/>
                <w:b/>
                <w:bCs/>
                <w:sz w:val="20"/>
                <w:szCs w:val="20"/>
              </w:rPr>
              <w:t>Parent Entity</w:t>
            </w:r>
          </w:p>
        </w:tc>
      </w:tr>
      <w:tr w:rsidR="008C1B51" w:rsidRPr="00DE475B" w:rsidTr="006A63DA">
        <w:trPr>
          <w:trHeight w:val="255"/>
        </w:trPr>
        <w:tc>
          <w:tcPr>
            <w:tcW w:w="441" w:type="dxa"/>
            <w:shd w:val="clear" w:color="auto" w:fill="auto"/>
            <w:vAlign w:val="bottom"/>
          </w:tcPr>
          <w:p w:rsidR="008C1B51" w:rsidRPr="00DE475B" w:rsidRDefault="008C1B51" w:rsidP="00A2292F">
            <w:pPr>
              <w:snapToGrid w:val="0"/>
              <w:jc w:val="right"/>
              <w:rPr>
                <w:rFonts w:ascii="Arial" w:hAnsi="Arial" w:cs="Arial"/>
                <w:b/>
                <w:bCs/>
                <w:sz w:val="20"/>
                <w:szCs w:val="20"/>
              </w:rPr>
            </w:pPr>
          </w:p>
        </w:tc>
        <w:tc>
          <w:tcPr>
            <w:tcW w:w="1037" w:type="dxa"/>
            <w:shd w:val="clear" w:color="auto" w:fill="auto"/>
            <w:vAlign w:val="bottom"/>
          </w:tcPr>
          <w:p w:rsidR="008C1B51" w:rsidRPr="00DE475B" w:rsidRDefault="008C1B51" w:rsidP="00A2292F">
            <w:pPr>
              <w:snapToGrid w:val="0"/>
              <w:jc w:val="right"/>
              <w:rPr>
                <w:rFonts w:ascii="Arial" w:hAnsi="Arial" w:cs="Arial"/>
                <w:b/>
                <w:bCs/>
                <w:sz w:val="20"/>
                <w:szCs w:val="20"/>
              </w:rPr>
            </w:pPr>
          </w:p>
        </w:tc>
        <w:tc>
          <w:tcPr>
            <w:tcW w:w="1037" w:type="dxa"/>
            <w:shd w:val="clear" w:color="auto" w:fill="auto"/>
            <w:vAlign w:val="bottom"/>
          </w:tcPr>
          <w:p w:rsidR="008C1B51" w:rsidRPr="00DE475B" w:rsidRDefault="008C1B51" w:rsidP="00A2292F">
            <w:pPr>
              <w:snapToGrid w:val="0"/>
              <w:jc w:val="right"/>
              <w:rPr>
                <w:rFonts w:ascii="Arial" w:hAnsi="Arial" w:cs="Arial"/>
                <w:b/>
                <w:bCs/>
                <w:sz w:val="20"/>
                <w:szCs w:val="20"/>
              </w:rPr>
            </w:pPr>
          </w:p>
        </w:tc>
        <w:tc>
          <w:tcPr>
            <w:tcW w:w="994" w:type="dxa"/>
            <w:shd w:val="clear" w:color="auto" w:fill="auto"/>
            <w:vAlign w:val="bottom"/>
          </w:tcPr>
          <w:p w:rsidR="008C1B51" w:rsidRPr="00DE475B" w:rsidRDefault="008C1B51" w:rsidP="00A2292F">
            <w:pPr>
              <w:snapToGrid w:val="0"/>
              <w:jc w:val="right"/>
              <w:rPr>
                <w:rFonts w:ascii="Arial" w:hAnsi="Arial" w:cs="Arial"/>
                <w:b/>
                <w:bCs/>
                <w:sz w:val="20"/>
                <w:szCs w:val="20"/>
              </w:rPr>
            </w:pPr>
          </w:p>
        </w:tc>
        <w:tc>
          <w:tcPr>
            <w:tcW w:w="611" w:type="dxa"/>
            <w:shd w:val="clear" w:color="auto" w:fill="auto"/>
            <w:vAlign w:val="bottom"/>
          </w:tcPr>
          <w:p w:rsidR="008C1B51" w:rsidRPr="00DE475B" w:rsidRDefault="008C1B51" w:rsidP="00A2292F">
            <w:pPr>
              <w:snapToGrid w:val="0"/>
              <w:jc w:val="right"/>
              <w:rPr>
                <w:rFonts w:ascii="Arial" w:hAnsi="Arial" w:cs="Arial"/>
                <w:b/>
                <w:bCs/>
                <w:sz w:val="20"/>
                <w:szCs w:val="20"/>
              </w:rPr>
            </w:pPr>
          </w:p>
        </w:tc>
        <w:tc>
          <w:tcPr>
            <w:tcW w:w="700" w:type="dxa"/>
            <w:gridSpan w:val="2"/>
            <w:shd w:val="clear" w:color="auto" w:fill="auto"/>
            <w:vAlign w:val="bottom"/>
          </w:tcPr>
          <w:p w:rsidR="008C1B51" w:rsidRPr="00DE475B" w:rsidRDefault="008C1B51" w:rsidP="00A2292F">
            <w:pPr>
              <w:snapToGrid w:val="0"/>
              <w:jc w:val="center"/>
              <w:rPr>
                <w:rFonts w:ascii="Arial" w:hAnsi="Arial" w:cs="Arial"/>
                <w:b/>
                <w:bCs/>
                <w:sz w:val="20"/>
                <w:szCs w:val="20"/>
              </w:rPr>
            </w:pPr>
          </w:p>
        </w:tc>
        <w:tc>
          <w:tcPr>
            <w:tcW w:w="806" w:type="dxa"/>
            <w:shd w:val="clear" w:color="auto" w:fill="auto"/>
            <w:vAlign w:val="bottom"/>
          </w:tcPr>
          <w:p w:rsidR="008C1B51" w:rsidRPr="00DE475B" w:rsidRDefault="008C1B51" w:rsidP="00A2292F">
            <w:pPr>
              <w:jc w:val="right"/>
              <w:rPr>
                <w:rFonts w:ascii="Arial" w:hAnsi="Arial" w:cs="Arial"/>
                <w:b/>
                <w:bCs/>
                <w:sz w:val="20"/>
                <w:szCs w:val="20"/>
              </w:rPr>
            </w:pPr>
            <w:r>
              <w:rPr>
                <w:rFonts w:ascii="Arial" w:hAnsi="Arial" w:cs="Arial"/>
                <w:b/>
                <w:bCs/>
                <w:sz w:val="20"/>
                <w:szCs w:val="20"/>
              </w:rPr>
              <w:t>2017</w:t>
            </w:r>
          </w:p>
        </w:tc>
        <w:tc>
          <w:tcPr>
            <w:tcW w:w="1054" w:type="dxa"/>
            <w:shd w:val="clear" w:color="auto" w:fill="auto"/>
            <w:vAlign w:val="bottom"/>
          </w:tcPr>
          <w:p w:rsidR="008C1B51" w:rsidRPr="00DE475B" w:rsidRDefault="008C1B51" w:rsidP="008C1B51">
            <w:pPr>
              <w:jc w:val="right"/>
              <w:rPr>
                <w:rFonts w:ascii="Arial" w:hAnsi="Arial" w:cs="Arial"/>
                <w:b/>
                <w:bCs/>
                <w:sz w:val="20"/>
                <w:szCs w:val="20"/>
              </w:rPr>
            </w:pPr>
            <w:r w:rsidRPr="00DE475B">
              <w:rPr>
                <w:rFonts w:ascii="Arial" w:hAnsi="Arial" w:cs="Arial"/>
                <w:b/>
                <w:bCs/>
                <w:sz w:val="20"/>
                <w:szCs w:val="20"/>
              </w:rPr>
              <w:t>201</w:t>
            </w:r>
            <w:r>
              <w:rPr>
                <w:rFonts w:ascii="Arial" w:hAnsi="Arial" w:cs="Arial"/>
                <w:b/>
                <w:bCs/>
                <w:sz w:val="20"/>
                <w:szCs w:val="20"/>
              </w:rPr>
              <w:t>6</w:t>
            </w:r>
          </w:p>
        </w:tc>
        <w:tc>
          <w:tcPr>
            <w:tcW w:w="1205" w:type="dxa"/>
            <w:shd w:val="clear" w:color="auto" w:fill="auto"/>
            <w:vAlign w:val="bottom"/>
          </w:tcPr>
          <w:p w:rsidR="008C1B51" w:rsidRPr="00DE475B" w:rsidRDefault="008C1B51" w:rsidP="008C1B51">
            <w:pPr>
              <w:jc w:val="right"/>
              <w:rPr>
                <w:rFonts w:ascii="Arial" w:hAnsi="Arial" w:cs="Arial"/>
                <w:b/>
                <w:bCs/>
                <w:sz w:val="20"/>
                <w:szCs w:val="20"/>
              </w:rPr>
            </w:pPr>
            <w:r w:rsidRPr="00DE475B">
              <w:rPr>
                <w:rFonts w:ascii="Arial" w:hAnsi="Arial" w:cs="Arial"/>
                <w:b/>
                <w:bCs/>
                <w:sz w:val="20"/>
                <w:szCs w:val="20"/>
              </w:rPr>
              <w:t>201</w:t>
            </w:r>
            <w:r>
              <w:rPr>
                <w:rFonts w:ascii="Arial" w:hAnsi="Arial" w:cs="Arial"/>
                <w:b/>
                <w:bCs/>
                <w:sz w:val="20"/>
                <w:szCs w:val="20"/>
              </w:rPr>
              <w:t>7</w:t>
            </w:r>
          </w:p>
        </w:tc>
        <w:tc>
          <w:tcPr>
            <w:tcW w:w="904" w:type="dxa"/>
            <w:shd w:val="clear" w:color="auto" w:fill="auto"/>
            <w:vAlign w:val="bottom"/>
          </w:tcPr>
          <w:p w:rsidR="008C1B51" w:rsidRPr="00DE475B" w:rsidRDefault="008C1B51" w:rsidP="008C1B51">
            <w:pPr>
              <w:jc w:val="right"/>
              <w:rPr>
                <w:rFonts w:ascii="Arial" w:hAnsi="Arial" w:cs="Arial"/>
                <w:b/>
                <w:bCs/>
                <w:sz w:val="20"/>
                <w:szCs w:val="20"/>
              </w:rPr>
            </w:pPr>
            <w:r w:rsidRPr="00DE475B">
              <w:rPr>
                <w:rFonts w:ascii="Arial" w:hAnsi="Arial" w:cs="Arial"/>
                <w:b/>
                <w:bCs/>
                <w:sz w:val="20"/>
                <w:szCs w:val="20"/>
              </w:rPr>
              <w:t>201</w:t>
            </w:r>
            <w:r>
              <w:rPr>
                <w:rFonts w:ascii="Arial" w:hAnsi="Arial" w:cs="Arial"/>
                <w:b/>
                <w:bCs/>
                <w:sz w:val="20"/>
                <w:szCs w:val="20"/>
              </w:rPr>
              <w:t>6</w:t>
            </w:r>
          </w:p>
        </w:tc>
      </w:tr>
      <w:tr w:rsidR="008C1B51" w:rsidRPr="00DE475B" w:rsidTr="006A63DA">
        <w:trPr>
          <w:trHeight w:val="255"/>
        </w:trPr>
        <w:tc>
          <w:tcPr>
            <w:tcW w:w="441" w:type="dxa"/>
            <w:shd w:val="clear" w:color="auto" w:fill="auto"/>
            <w:vAlign w:val="bottom"/>
          </w:tcPr>
          <w:p w:rsidR="008C1B51" w:rsidRPr="00DE475B" w:rsidRDefault="008C1B51" w:rsidP="00A2292F">
            <w:pPr>
              <w:snapToGrid w:val="0"/>
              <w:jc w:val="right"/>
              <w:rPr>
                <w:rFonts w:ascii="Arial" w:hAnsi="Arial" w:cs="Arial"/>
                <w:b/>
                <w:bCs/>
                <w:sz w:val="20"/>
                <w:szCs w:val="20"/>
              </w:rPr>
            </w:pPr>
          </w:p>
        </w:tc>
        <w:tc>
          <w:tcPr>
            <w:tcW w:w="1037" w:type="dxa"/>
            <w:shd w:val="clear" w:color="auto" w:fill="auto"/>
            <w:vAlign w:val="bottom"/>
          </w:tcPr>
          <w:p w:rsidR="008C1B51" w:rsidRPr="00DE475B" w:rsidRDefault="008C1B51" w:rsidP="00A2292F">
            <w:pPr>
              <w:snapToGrid w:val="0"/>
              <w:jc w:val="right"/>
              <w:rPr>
                <w:rFonts w:ascii="Arial" w:hAnsi="Arial" w:cs="Arial"/>
                <w:b/>
                <w:bCs/>
                <w:sz w:val="20"/>
                <w:szCs w:val="20"/>
              </w:rPr>
            </w:pPr>
          </w:p>
        </w:tc>
        <w:tc>
          <w:tcPr>
            <w:tcW w:w="1037" w:type="dxa"/>
            <w:shd w:val="clear" w:color="auto" w:fill="auto"/>
            <w:vAlign w:val="bottom"/>
          </w:tcPr>
          <w:p w:rsidR="008C1B51" w:rsidRPr="00DE475B" w:rsidRDefault="008C1B51" w:rsidP="00A2292F">
            <w:pPr>
              <w:snapToGrid w:val="0"/>
              <w:jc w:val="right"/>
              <w:rPr>
                <w:rFonts w:ascii="Arial" w:hAnsi="Arial" w:cs="Arial"/>
                <w:b/>
                <w:bCs/>
                <w:sz w:val="20"/>
                <w:szCs w:val="20"/>
              </w:rPr>
            </w:pPr>
          </w:p>
        </w:tc>
        <w:tc>
          <w:tcPr>
            <w:tcW w:w="994" w:type="dxa"/>
            <w:shd w:val="clear" w:color="auto" w:fill="auto"/>
            <w:vAlign w:val="bottom"/>
          </w:tcPr>
          <w:p w:rsidR="008C1B51" w:rsidRPr="00DE475B" w:rsidRDefault="008C1B51" w:rsidP="00A2292F">
            <w:pPr>
              <w:snapToGrid w:val="0"/>
              <w:jc w:val="right"/>
              <w:rPr>
                <w:rFonts w:ascii="Arial" w:hAnsi="Arial" w:cs="Arial"/>
                <w:b/>
                <w:bCs/>
                <w:sz w:val="20"/>
                <w:szCs w:val="20"/>
              </w:rPr>
            </w:pPr>
          </w:p>
        </w:tc>
        <w:tc>
          <w:tcPr>
            <w:tcW w:w="611" w:type="dxa"/>
            <w:shd w:val="clear" w:color="auto" w:fill="auto"/>
            <w:vAlign w:val="bottom"/>
          </w:tcPr>
          <w:p w:rsidR="008C1B51" w:rsidRPr="00DE475B" w:rsidRDefault="008C1B51" w:rsidP="00A2292F">
            <w:pPr>
              <w:snapToGrid w:val="0"/>
              <w:jc w:val="right"/>
              <w:rPr>
                <w:rFonts w:ascii="Arial" w:hAnsi="Arial" w:cs="Arial"/>
                <w:b/>
                <w:bCs/>
                <w:sz w:val="20"/>
                <w:szCs w:val="20"/>
              </w:rPr>
            </w:pPr>
          </w:p>
        </w:tc>
        <w:tc>
          <w:tcPr>
            <w:tcW w:w="700" w:type="dxa"/>
            <w:gridSpan w:val="2"/>
            <w:shd w:val="clear" w:color="auto" w:fill="auto"/>
            <w:vAlign w:val="bottom"/>
          </w:tcPr>
          <w:p w:rsidR="008C1B51" w:rsidRPr="00DE475B" w:rsidRDefault="008C1B51" w:rsidP="00A2292F">
            <w:pPr>
              <w:snapToGrid w:val="0"/>
              <w:jc w:val="right"/>
              <w:rPr>
                <w:rFonts w:ascii="Arial" w:hAnsi="Arial" w:cs="Arial"/>
                <w:b/>
                <w:bCs/>
                <w:sz w:val="20"/>
                <w:szCs w:val="20"/>
              </w:rPr>
            </w:pPr>
          </w:p>
        </w:tc>
        <w:tc>
          <w:tcPr>
            <w:tcW w:w="806" w:type="dxa"/>
            <w:shd w:val="clear" w:color="auto" w:fill="auto"/>
            <w:vAlign w:val="bottom"/>
          </w:tcPr>
          <w:p w:rsidR="008C1B51" w:rsidRPr="00DE475B" w:rsidRDefault="008C1B51" w:rsidP="00A2292F">
            <w:pPr>
              <w:jc w:val="right"/>
              <w:rPr>
                <w:rFonts w:ascii="Arial" w:hAnsi="Arial" w:cs="Arial"/>
                <w:b/>
                <w:bCs/>
                <w:sz w:val="20"/>
                <w:szCs w:val="20"/>
              </w:rPr>
            </w:pPr>
            <w:r w:rsidRPr="00DE475B">
              <w:rPr>
                <w:rFonts w:ascii="Arial" w:hAnsi="Arial" w:cs="Arial"/>
                <w:b/>
                <w:bCs/>
                <w:sz w:val="20"/>
                <w:szCs w:val="20"/>
              </w:rPr>
              <w:t>$'000</w:t>
            </w:r>
          </w:p>
        </w:tc>
        <w:tc>
          <w:tcPr>
            <w:tcW w:w="1054" w:type="dxa"/>
            <w:shd w:val="clear" w:color="auto" w:fill="auto"/>
            <w:vAlign w:val="bottom"/>
          </w:tcPr>
          <w:p w:rsidR="008C1B51" w:rsidRPr="00DE475B" w:rsidRDefault="008C1B51" w:rsidP="00A2292F">
            <w:pPr>
              <w:jc w:val="right"/>
              <w:rPr>
                <w:rFonts w:ascii="Arial" w:hAnsi="Arial" w:cs="Arial"/>
                <w:b/>
                <w:bCs/>
                <w:sz w:val="20"/>
                <w:szCs w:val="20"/>
              </w:rPr>
            </w:pPr>
            <w:r w:rsidRPr="00DE475B">
              <w:rPr>
                <w:rFonts w:ascii="Arial" w:hAnsi="Arial" w:cs="Arial"/>
                <w:b/>
                <w:bCs/>
                <w:sz w:val="20"/>
                <w:szCs w:val="20"/>
              </w:rPr>
              <w:t>$'000</w:t>
            </w:r>
          </w:p>
        </w:tc>
        <w:tc>
          <w:tcPr>
            <w:tcW w:w="1205" w:type="dxa"/>
            <w:shd w:val="clear" w:color="auto" w:fill="auto"/>
            <w:vAlign w:val="bottom"/>
          </w:tcPr>
          <w:p w:rsidR="008C1B51" w:rsidRPr="00DE475B" w:rsidRDefault="008C1B51" w:rsidP="00A2292F">
            <w:pPr>
              <w:jc w:val="right"/>
              <w:rPr>
                <w:rFonts w:ascii="Arial" w:hAnsi="Arial" w:cs="Arial"/>
                <w:b/>
                <w:bCs/>
                <w:sz w:val="20"/>
                <w:szCs w:val="20"/>
              </w:rPr>
            </w:pPr>
            <w:r w:rsidRPr="00DE475B">
              <w:rPr>
                <w:rFonts w:ascii="Arial" w:hAnsi="Arial" w:cs="Arial"/>
                <w:b/>
                <w:bCs/>
                <w:sz w:val="20"/>
                <w:szCs w:val="20"/>
              </w:rPr>
              <w:t>$'000</w:t>
            </w:r>
          </w:p>
        </w:tc>
        <w:tc>
          <w:tcPr>
            <w:tcW w:w="904" w:type="dxa"/>
            <w:shd w:val="clear" w:color="auto" w:fill="auto"/>
            <w:vAlign w:val="bottom"/>
          </w:tcPr>
          <w:p w:rsidR="008C1B51" w:rsidRPr="00DE475B" w:rsidRDefault="008C1B51" w:rsidP="00A2292F">
            <w:pPr>
              <w:jc w:val="right"/>
              <w:rPr>
                <w:rFonts w:ascii="Arial" w:hAnsi="Arial" w:cs="Arial"/>
                <w:b/>
                <w:bCs/>
                <w:sz w:val="20"/>
                <w:szCs w:val="20"/>
              </w:rPr>
            </w:pPr>
            <w:r w:rsidRPr="00DE475B">
              <w:rPr>
                <w:rFonts w:ascii="Arial" w:hAnsi="Arial" w:cs="Arial"/>
                <w:b/>
                <w:bCs/>
                <w:sz w:val="20"/>
                <w:szCs w:val="20"/>
              </w:rPr>
              <w:t>$'000</w:t>
            </w:r>
          </w:p>
        </w:tc>
      </w:tr>
      <w:tr w:rsidR="008C1B51" w:rsidRPr="00DE475B" w:rsidTr="006A63DA">
        <w:trPr>
          <w:trHeight w:val="83"/>
        </w:trPr>
        <w:tc>
          <w:tcPr>
            <w:tcW w:w="4120" w:type="dxa"/>
            <w:gridSpan w:val="5"/>
            <w:shd w:val="clear" w:color="auto" w:fill="auto"/>
            <w:vAlign w:val="bottom"/>
          </w:tcPr>
          <w:p w:rsidR="008C1B51" w:rsidRPr="00DE475B" w:rsidRDefault="008C1B51" w:rsidP="00A2292F">
            <w:pPr>
              <w:rPr>
                <w:rFonts w:ascii="Arial" w:hAnsi="Arial" w:cs="Arial"/>
                <w:sz w:val="16"/>
                <w:szCs w:val="16"/>
              </w:rPr>
            </w:pPr>
          </w:p>
        </w:tc>
        <w:tc>
          <w:tcPr>
            <w:tcW w:w="700" w:type="dxa"/>
            <w:gridSpan w:val="2"/>
            <w:shd w:val="clear" w:color="auto" w:fill="auto"/>
            <w:vAlign w:val="bottom"/>
          </w:tcPr>
          <w:p w:rsidR="008C1B51" w:rsidRPr="00DE475B" w:rsidRDefault="008C1B51" w:rsidP="00A2292F">
            <w:pPr>
              <w:snapToGrid w:val="0"/>
              <w:rPr>
                <w:rFonts w:ascii="Arial" w:hAnsi="Arial" w:cs="Arial"/>
                <w:sz w:val="16"/>
                <w:szCs w:val="16"/>
              </w:rPr>
            </w:pPr>
          </w:p>
        </w:tc>
        <w:tc>
          <w:tcPr>
            <w:tcW w:w="806" w:type="dxa"/>
            <w:shd w:val="clear" w:color="auto" w:fill="auto"/>
            <w:vAlign w:val="bottom"/>
          </w:tcPr>
          <w:p w:rsidR="008C1B51" w:rsidRPr="00DE475B" w:rsidRDefault="008C1B51" w:rsidP="00A2292F">
            <w:pPr>
              <w:snapToGrid w:val="0"/>
              <w:rPr>
                <w:rFonts w:ascii="Arial" w:hAnsi="Arial" w:cs="Arial"/>
                <w:sz w:val="16"/>
                <w:szCs w:val="16"/>
              </w:rPr>
            </w:pPr>
          </w:p>
        </w:tc>
        <w:tc>
          <w:tcPr>
            <w:tcW w:w="1054" w:type="dxa"/>
            <w:shd w:val="clear" w:color="auto" w:fill="auto"/>
            <w:vAlign w:val="bottom"/>
          </w:tcPr>
          <w:p w:rsidR="008C1B51" w:rsidRPr="00DE475B" w:rsidRDefault="008C1B51" w:rsidP="00A2292F">
            <w:pPr>
              <w:snapToGrid w:val="0"/>
              <w:rPr>
                <w:rFonts w:ascii="Arial" w:hAnsi="Arial" w:cs="Arial"/>
                <w:sz w:val="16"/>
                <w:szCs w:val="16"/>
              </w:rPr>
            </w:pPr>
          </w:p>
        </w:tc>
        <w:tc>
          <w:tcPr>
            <w:tcW w:w="1205" w:type="dxa"/>
            <w:shd w:val="clear" w:color="auto" w:fill="auto"/>
            <w:vAlign w:val="bottom"/>
          </w:tcPr>
          <w:p w:rsidR="008C1B51" w:rsidRPr="00DE475B" w:rsidRDefault="008C1B51" w:rsidP="00A2292F">
            <w:pPr>
              <w:snapToGrid w:val="0"/>
              <w:rPr>
                <w:rFonts w:ascii="Arial" w:hAnsi="Arial" w:cs="Arial"/>
                <w:sz w:val="16"/>
                <w:szCs w:val="16"/>
              </w:rPr>
            </w:pPr>
          </w:p>
        </w:tc>
        <w:tc>
          <w:tcPr>
            <w:tcW w:w="904" w:type="dxa"/>
            <w:shd w:val="clear" w:color="auto" w:fill="auto"/>
            <w:vAlign w:val="bottom"/>
          </w:tcPr>
          <w:p w:rsidR="008C1B51" w:rsidRPr="00DE475B" w:rsidRDefault="008C1B51" w:rsidP="00A2292F">
            <w:pPr>
              <w:snapToGrid w:val="0"/>
              <w:rPr>
                <w:rFonts w:ascii="Arial" w:hAnsi="Arial" w:cs="Arial"/>
                <w:sz w:val="16"/>
                <w:szCs w:val="16"/>
              </w:rPr>
            </w:pP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Advertising and graphic design</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183</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226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183</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226 </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Bookshop and merchandising</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421</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474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421</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474 </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Communications</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398</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460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398</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460 </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Consultants and contractors</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1,343</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2,207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1,343</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2,207</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Corporate service charges</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1,001</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1,122 </w:t>
            </w:r>
          </w:p>
        </w:tc>
        <w:tc>
          <w:tcPr>
            <w:tcW w:w="1205" w:type="dxa"/>
            <w:shd w:val="clear" w:color="auto" w:fill="auto"/>
            <w:vAlign w:val="center"/>
          </w:tcPr>
          <w:p w:rsidR="00657124" w:rsidRPr="00DE475B" w:rsidRDefault="00657124" w:rsidP="00657124">
            <w:pPr>
              <w:jc w:val="right"/>
              <w:rPr>
                <w:rFonts w:ascii="Arial" w:hAnsi="Arial" w:cs="Arial"/>
                <w:sz w:val="20"/>
                <w:szCs w:val="20"/>
              </w:rPr>
            </w:pPr>
            <w:r>
              <w:rPr>
                <w:rFonts w:ascii="Arial" w:hAnsi="Arial" w:cs="Arial"/>
                <w:sz w:val="20"/>
                <w:szCs w:val="20"/>
              </w:rPr>
              <w:t>1,007</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1,122 </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Electronic subscriptions</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1,728</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1,672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1,728</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1,672 </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Exhibits and materials</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99</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102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99</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102 </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Freight and postage</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505</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485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505</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485 </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Furniture and equipment</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442</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587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442</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587 </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Goods provided below fair value</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1,508</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715</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1,508</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715</w:t>
            </w:r>
          </w:p>
        </w:tc>
      </w:tr>
      <w:tr w:rsidR="00657124" w:rsidRPr="00DE475B" w:rsidTr="006A63DA">
        <w:trPr>
          <w:trHeight w:val="255"/>
        </w:trPr>
        <w:tc>
          <w:tcPr>
            <w:tcW w:w="4820" w:type="dxa"/>
            <w:gridSpan w:val="7"/>
            <w:shd w:val="clear" w:color="auto" w:fill="auto"/>
            <w:vAlign w:val="bottom"/>
          </w:tcPr>
          <w:p w:rsidR="00657124" w:rsidRPr="008C1B51" w:rsidRDefault="00657124" w:rsidP="00657124">
            <w:pPr>
              <w:snapToGrid w:val="0"/>
              <w:rPr>
                <w:rFonts w:ascii="Arial" w:hAnsi="Arial" w:cs="Arial"/>
                <w:spacing w:val="-2"/>
                <w:sz w:val="20"/>
                <w:szCs w:val="20"/>
              </w:rPr>
            </w:pPr>
            <w:r w:rsidRPr="008C1B51">
              <w:rPr>
                <w:rFonts w:ascii="Arial" w:hAnsi="Arial" w:cs="Arial"/>
                <w:spacing w:val="-2"/>
                <w:sz w:val="20"/>
                <w:szCs w:val="20"/>
              </w:rPr>
              <w:t>Operating lease rentals — provided below fair value</w:t>
            </w: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7,178</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7,219</w:t>
            </w:r>
          </w:p>
        </w:tc>
        <w:tc>
          <w:tcPr>
            <w:tcW w:w="1205"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7,178</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7,219</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Operating lease rentals</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bottom"/>
          </w:tcPr>
          <w:p w:rsidR="00657124" w:rsidRPr="00DE475B" w:rsidRDefault="00657124" w:rsidP="00A2292F">
            <w:pPr>
              <w:jc w:val="right"/>
              <w:rPr>
                <w:rFonts w:ascii="Arial" w:hAnsi="Arial" w:cs="Arial"/>
                <w:sz w:val="20"/>
                <w:szCs w:val="20"/>
              </w:rPr>
            </w:pPr>
            <w:r>
              <w:rPr>
                <w:rFonts w:ascii="Arial" w:hAnsi="Arial" w:cs="Arial"/>
                <w:sz w:val="20"/>
                <w:szCs w:val="20"/>
              </w:rPr>
              <w:t>384</w:t>
            </w:r>
          </w:p>
        </w:tc>
        <w:tc>
          <w:tcPr>
            <w:tcW w:w="1054" w:type="dxa"/>
            <w:shd w:val="clear" w:color="auto" w:fill="auto"/>
            <w:vAlign w:val="bottom"/>
          </w:tcPr>
          <w:p w:rsidR="00657124" w:rsidRPr="00DE475B" w:rsidRDefault="00657124" w:rsidP="00A2292F">
            <w:pPr>
              <w:jc w:val="right"/>
              <w:rPr>
                <w:rFonts w:ascii="Arial" w:hAnsi="Arial" w:cs="Arial"/>
                <w:sz w:val="20"/>
                <w:szCs w:val="20"/>
              </w:rPr>
            </w:pPr>
            <w:r w:rsidRPr="00DE475B">
              <w:rPr>
                <w:rFonts w:ascii="Arial" w:hAnsi="Arial" w:cs="Arial"/>
                <w:sz w:val="20"/>
                <w:szCs w:val="20"/>
              </w:rPr>
              <w:t>471</w:t>
            </w:r>
          </w:p>
        </w:tc>
        <w:tc>
          <w:tcPr>
            <w:tcW w:w="1205" w:type="dxa"/>
            <w:shd w:val="clear" w:color="auto" w:fill="auto"/>
            <w:vAlign w:val="bottom"/>
          </w:tcPr>
          <w:p w:rsidR="00657124" w:rsidRPr="00DE475B" w:rsidRDefault="00657124" w:rsidP="00652F6C">
            <w:pPr>
              <w:jc w:val="right"/>
              <w:rPr>
                <w:rFonts w:ascii="Arial" w:hAnsi="Arial" w:cs="Arial"/>
                <w:sz w:val="20"/>
                <w:szCs w:val="20"/>
              </w:rPr>
            </w:pPr>
            <w:r>
              <w:rPr>
                <w:rFonts w:ascii="Arial" w:hAnsi="Arial" w:cs="Arial"/>
                <w:sz w:val="20"/>
                <w:szCs w:val="20"/>
              </w:rPr>
              <w:t>384</w:t>
            </w:r>
          </w:p>
        </w:tc>
        <w:tc>
          <w:tcPr>
            <w:tcW w:w="904" w:type="dxa"/>
            <w:shd w:val="clear" w:color="auto" w:fill="auto"/>
            <w:vAlign w:val="bottom"/>
          </w:tcPr>
          <w:p w:rsidR="00657124" w:rsidRPr="00DE475B" w:rsidRDefault="00657124" w:rsidP="00A2292F">
            <w:pPr>
              <w:jc w:val="right"/>
              <w:rPr>
                <w:rFonts w:ascii="Arial" w:hAnsi="Arial" w:cs="Arial"/>
                <w:sz w:val="20"/>
                <w:szCs w:val="20"/>
              </w:rPr>
            </w:pPr>
            <w:r w:rsidRPr="00DE475B">
              <w:rPr>
                <w:rFonts w:ascii="Arial" w:hAnsi="Arial" w:cs="Arial"/>
                <w:sz w:val="20"/>
                <w:szCs w:val="20"/>
              </w:rPr>
              <w:t>471</w:t>
            </w:r>
          </w:p>
        </w:tc>
      </w:tr>
      <w:tr w:rsidR="00657124" w:rsidRPr="00DE475B" w:rsidTr="00652F6C">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Information technology</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912</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827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912</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827 </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Library collections — new and existing</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1,138</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1,254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1,138</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1,254 </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Materials and equipment</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904</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547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904</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547</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Motor vehicle costs</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33</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50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33</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50 </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Printing, stationery and office supplies</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243</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595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243</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595 </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Property services</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2,902</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2,793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2,902</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2,793 </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Repairs and maintenance</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242</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286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242</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286 </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Subscriptions and memberships</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245</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334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245</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334 </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Sundries</w:t>
            </w:r>
          </w:p>
        </w:tc>
        <w:tc>
          <w:tcPr>
            <w:tcW w:w="700" w:type="dxa"/>
            <w:gridSpan w:val="2"/>
            <w:shd w:val="clear" w:color="auto" w:fill="auto"/>
            <w:vAlign w:val="bottom"/>
          </w:tcPr>
          <w:p w:rsidR="00657124" w:rsidRPr="00DE475B" w:rsidRDefault="00657124" w:rsidP="00A2292F">
            <w:pPr>
              <w:snapToGrid w:val="0"/>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930</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1,020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932</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1,017 </w:t>
            </w:r>
          </w:p>
        </w:tc>
      </w:tr>
      <w:tr w:rsidR="00657124" w:rsidRPr="00DE475B" w:rsidTr="006A63DA">
        <w:trPr>
          <w:trHeight w:val="255"/>
        </w:trPr>
        <w:tc>
          <w:tcPr>
            <w:tcW w:w="4120" w:type="dxa"/>
            <w:gridSpan w:val="5"/>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sz w:val="20"/>
                <w:szCs w:val="20"/>
              </w:rPr>
              <w:t>Travel</w:t>
            </w:r>
          </w:p>
        </w:tc>
        <w:tc>
          <w:tcPr>
            <w:tcW w:w="700" w:type="dxa"/>
            <w:gridSpan w:val="2"/>
            <w:shd w:val="clear" w:color="auto" w:fill="auto"/>
            <w:vAlign w:val="bottom"/>
          </w:tcPr>
          <w:p w:rsidR="00657124" w:rsidRPr="00DE475B" w:rsidRDefault="00657124" w:rsidP="00A2292F">
            <w:pPr>
              <w:snapToGrid w:val="0"/>
              <w:jc w:val="center"/>
              <w:rPr>
                <w:rFonts w:ascii="Arial" w:hAnsi="Arial" w:cs="Arial"/>
                <w:sz w:val="20"/>
                <w:szCs w:val="20"/>
              </w:rPr>
            </w:pPr>
          </w:p>
        </w:tc>
        <w:tc>
          <w:tcPr>
            <w:tcW w:w="806" w:type="dxa"/>
            <w:shd w:val="clear" w:color="auto" w:fill="auto"/>
            <w:vAlign w:val="center"/>
          </w:tcPr>
          <w:p w:rsidR="00657124" w:rsidRPr="00DE475B" w:rsidRDefault="00657124" w:rsidP="00A2292F">
            <w:pPr>
              <w:jc w:val="right"/>
              <w:rPr>
                <w:rFonts w:ascii="Arial" w:hAnsi="Arial" w:cs="Arial"/>
                <w:sz w:val="20"/>
                <w:szCs w:val="20"/>
              </w:rPr>
            </w:pPr>
            <w:r>
              <w:rPr>
                <w:rFonts w:ascii="Arial" w:hAnsi="Arial" w:cs="Arial"/>
                <w:sz w:val="20"/>
                <w:szCs w:val="20"/>
              </w:rPr>
              <w:t>384</w:t>
            </w:r>
          </w:p>
        </w:tc>
        <w:tc>
          <w:tcPr>
            <w:tcW w:w="105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441 </w:t>
            </w:r>
          </w:p>
        </w:tc>
        <w:tc>
          <w:tcPr>
            <w:tcW w:w="1205" w:type="dxa"/>
            <w:shd w:val="clear" w:color="auto" w:fill="auto"/>
            <w:vAlign w:val="center"/>
          </w:tcPr>
          <w:p w:rsidR="00657124" w:rsidRPr="00DE475B" w:rsidRDefault="00657124" w:rsidP="00652F6C">
            <w:pPr>
              <w:jc w:val="right"/>
              <w:rPr>
                <w:rFonts w:ascii="Arial" w:hAnsi="Arial" w:cs="Arial"/>
                <w:sz w:val="20"/>
                <w:szCs w:val="20"/>
              </w:rPr>
            </w:pPr>
            <w:r>
              <w:rPr>
                <w:rFonts w:ascii="Arial" w:hAnsi="Arial" w:cs="Arial"/>
                <w:sz w:val="20"/>
                <w:szCs w:val="20"/>
              </w:rPr>
              <w:t>384</w:t>
            </w:r>
          </w:p>
        </w:tc>
        <w:tc>
          <w:tcPr>
            <w:tcW w:w="904" w:type="dxa"/>
            <w:shd w:val="clear" w:color="auto" w:fill="auto"/>
            <w:vAlign w:val="center"/>
          </w:tcPr>
          <w:p w:rsidR="00657124" w:rsidRPr="00DE475B" w:rsidRDefault="00657124" w:rsidP="00A2292F">
            <w:pPr>
              <w:jc w:val="right"/>
              <w:rPr>
                <w:rFonts w:ascii="Arial" w:hAnsi="Arial" w:cs="Arial"/>
                <w:sz w:val="20"/>
                <w:szCs w:val="20"/>
              </w:rPr>
            </w:pPr>
            <w:r w:rsidRPr="00DE475B">
              <w:rPr>
                <w:rFonts w:ascii="Arial" w:hAnsi="Arial" w:cs="Arial"/>
                <w:sz w:val="20"/>
                <w:szCs w:val="20"/>
              </w:rPr>
              <w:t xml:space="preserve">441 </w:t>
            </w:r>
          </w:p>
        </w:tc>
      </w:tr>
      <w:tr w:rsidR="00657124" w:rsidRPr="00DE475B" w:rsidTr="006A63DA">
        <w:trPr>
          <w:trHeight w:val="139"/>
        </w:trPr>
        <w:tc>
          <w:tcPr>
            <w:tcW w:w="441" w:type="dxa"/>
            <w:shd w:val="clear" w:color="auto" w:fill="auto"/>
            <w:vAlign w:val="bottom"/>
          </w:tcPr>
          <w:p w:rsidR="00657124" w:rsidRPr="008C1B51" w:rsidRDefault="00657124" w:rsidP="00A2292F">
            <w:pPr>
              <w:snapToGrid w:val="0"/>
              <w:rPr>
                <w:rFonts w:ascii="Arial" w:hAnsi="Arial" w:cs="Arial"/>
                <w:sz w:val="12"/>
                <w:szCs w:val="12"/>
              </w:rPr>
            </w:pPr>
          </w:p>
        </w:tc>
        <w:tc>
          <w:tcPr>
            <w:tcW w:w="1037" w:type="dxa"/>
            <w:shd w:val="clear" w:color="auto" w:fill="auto"/>
            <w:vAlign w:val="bottom"/>
          </w:tcPr>
          <w:p w:rsidR="00657124" w:rsidRPr="008C1B51" w:rsidRDefault="00657124" w:rsidP="00A2292F">
            <w:pPr>
              <w:snapToGrid w:val="0"/>
              <w:rPr>
                <w:rFonts w:ascii="Arial" w:hAnsi="Arial" w:cs="Arial"/>
                <w:sz w:val="12"/>
                <w:szCs w:val="12"/>
              </w:rPr>
            </w:pPr>
          </w:p>
        </w:tc>
        <w:tc>
          <w:tcPr>
            <w:tcW w:w="1037" w:type="dxa"/>
            <w:shd w:val="clear" w:color="auto" w:fill="auto"/>
            <w:vAlign w:val="bottom"/>
          </w:tcPr>
          <w:p w:rsidR="00657124" w:rsidRPr="008C1B51" w:rsidRDefault="00657124" w:rsidP="00A2292F">
            <w:pPr>
              <w:snapToGrid w:val="0"/>
              <w:rPr>
                <w:rFonts w:ascii="Arial" w:hAnsi="Arial" w:cs="Arial"/>
                <w:sz w:val="12"/>
                <w:szCs w:val="12"/>
              </w:rPr>
            </w:pPr>
          </w:p>
        </w:tc>
        <w:tc>
          <w:tcPr>
            <w:tcW w:w="994" w:type="dxa"/>
            <w:shd w:val="clear" w:color="auto" w:fill="auto"/>
            <w:vAlign w:val="bottom"/>
          </w:tcPr>
          <w:p w:rsidR="00657124" w:rsidRPr="008C1B51" w:rsidRDefault="00657124" w:rsidP="00A2292F">
            <w:pPr>
              <w:snapToGrid w:val="0"/>
              <w:rPr>
                <w:rFonts w:ascii="Arial" w:hAnsi="Arial" w:cs="Arial"/>
                <w:sz w:val="12"/>
                <w:szCs w:val="12"/>
              </w:rPr>
            </w:pPr>
          </w:p>
        </w:tc>
        <w:tc>
          <w:tcPr>
            <w:tcW w:w="611" w:type="dxa"/>
            <w:shd w:val="clear" w:color="auto" w:fill="auto"/>
            <w:vAlign w:val="bottom"/>
          </w:tcPr>
          <w:p w:rsidR="00657124" w:rsidRPr="008C1B51" w:rsidRDefault="00657124" w:rsidP="00A2292F">
            <w:pPr>
              <w:snapToGrid w:val="0"/>
              <w:rPr>
                <w:rFonts w:ascii="Arial" w:hAnsi="Arial" w:cs="Arial"/>
                <w:sz w:val="12"/>
                <w:szCs w:val="12"/>
              </w:rPr>
            </w:pPr>
          </w:p>
        </w:tc>
        <w:tc>
          <w:tcPr>
            <w:tcW w:w="700" w:type="dxa"/>
            <w:gridSpan w:val="2"/>
            <w:shd w:val="clear" w:color="auto" w:fill="auto"/>
            <w:vAlign w:val="bottom"/>
          </w:tcPr>
          <w:p w:rsidR="00657124" w:rsidRPr="008C1B51" w:rsidRDefault="00657124" w:rsidP="00A2292F">
            <w:pPr>
              <w:snapToGrid w:val="0"/>
              <w:rPr>
                <w:rFonts w:ascii="Arial" w:hAnsi="Arial" w:cs="Arial"/>
                <w:sz w:val="12"/>
                <w:szCs w:val="12"/>
              </w:rPr>
            </w:pPr>
          </w:p>
        </w:tc>
        <w:tc>
          <w:tcPr>
            <w:tcW w:w="806" w:type="dxa"/>
            <w:tcBorders>
              <w:bottom w:val="single" w:sz="8" w:space="0" w:color="000000"/>
            </w:tcBorders>
            <w:shd w:val="clear" w:color="auto" w:fill="auto"/>
            <w:vAlign w:val="bottom"/>
          </w:tcPr>
          <w:p w:rsidR="00657124" w:rsidRPr="008C1B51" w:rsidRDefault="00657124" w:rsidP="00A2292F">
            <w:pPr>
              <w:rPr>
                <w:rFonts w:ascii="Arial" w:hAnsi="Arial" w:cs="Arial"/>
                <w:sz w:val="12"/>
                <w:szCs w:val="12"/>
              </w:rPr>
            </w:pPr>
            <w:r w:rsidRPr="008C1B51">
              <w:rPr>
                <w:rFonts w:ascii="Arial" w:hAnsi="Arial" w:cs="Arial"/>
                <w:sz w:val="12"/>
                <w:szCs w:val="12"/>
              </w:rPr>
              <w:t> </w:t>
            </w:r>
          </w:p>
        </w:tc>
        <w:tc>
          <w:tcPr>
            <w:tcW w:w="1054" w:type="dxa"/>
            <w:tcBorders>
              <w:bottom w:val="single" w:sz="8" w:space="0" w:color="000000"/>
            </w:tcBorders>
            <w:shd w:val="clear" w:color="auto" w:fill="auto"/>
            <w:vAlign w:val="bottom"/>
          </w:tcPr>
          <w:p w:rsidR="00657124" w:rsidRPr="008C1B51" w:rsidRDefault="00657124" w:rsidP="00A2292F">
            <w:pPr>
              <w:rPr>
                <w:rFonts w:ascii="Arial" w:hAnsi="Arial" w:cs="Arial"/>
                <w:sz w:val="12"/>
                <w:szCs w:val="12"/>
              </w:rPr>
            </w:pPr>
          </w:p>
        </w:tc>
        <w:tc>
          <w:tcPr>
            <w:tcW w:w="1205" w:type="dxa"/>
            <w:tcBorders>
              <w:bottom w:val="single" w:sz="8" w:space="0" w:color="000000"/>
            </w:tcBorders>
            <w:shd w:val="clear" w:color="auto" w:fill="auto"/>
            <w:vAlign w:val="bottom"/>
          </w:tcPr>
          <w:p w:rsidR="00657124" w:rsidRPr="008C1B51" w:rsidRDefault="00657124" w:rsidP="00A2292F">
            <w:pPr>
              <w:rPr>
                <w:rFonts w:ascii="Arial" w:hAnsi="Arial" w:cs="Arial"/>
                <w:sz w:val="12"/>
                <w:szCs w:val="12"/>
              </w:rPr>
            </w:pPr>
            <w:r w:rsidRPr="008C1B51">
              <w:rPr>
                <w:rFonts w:ascii="Arial" w:hAnsi="Arial" w:cs="Arial"/>
                <w:sz w:val="12"/>
                <w:szCs w:val="12"/>
              </w:rPr>
              <w:t> </w:t>
            </w:r>
          </w:p>
        </w:tc>
        <w:tc>
          <w:tcPr>
            <w:tcW w:w="904" w:type="dxa"/>
            <w:tcBorders>
              <w:bottom w:val="single" w:sz="8" w:space="0" w:color="000000"/>
            </w:tcBorders>
            <w:shd w:val="clear" w:color="auto" w:fill="auto"/>
            <w:vAlign w:val="bottom"/>
          </w:tcPr>
          <w:p w:rsidR="00657124" w:rsidRPr="008C1B51" w:rsidRDefault="00657124" w:rsidP="00A2292F">
            <w:pPr>
              <w:rPr>
                <w:rFonts w:ascii="Arial" w:hAnsi="Arial" w:cs="Arial"/>
                <w:b/>
                <w:bCs/>
                <w:sz w:val="12"/>
                <w:szCs w:val="12"/>
              </w:rPr>
            </w:pPr>
          </w:p>
        </w:tc>
      </w:tr>
      <w:tr w:rsidR="00657124" w:rsidRPr="00DE475B" w:rsidTr="006A63DA">
        <w:trPr>
          <w:trHeight w:val="255"/>
        </w:trPr>
        <w:tc>
          <w:tcPr>
            <w:tcW w:w="4678" w:type="dxa"/>
            <w:gridSpan w:val="6"/>
            <w:shd w:val="clear" w:color="auto" w:fill="auto"/>
            <w:vAlign w:val="bottom"/>
          </w:tcPr>
          <w:p w:rsidR="00657124" w:rsidRPr="00DE475B" w:rsidRDefault="00657124" w:rsidP="00A2292F">
            <w:pPr>
              <w:rPr>
                <w:rFonts w:ascii="Arial" w:hAnsi="Arial" w:cs="Arial"/>
                <w:sz w:val="20"/>
                <w:szCs w:val="20"/>
              </w:rPr>
            </w:pPr>
            <w:r w:rsidRPr="00DE475B">
              <w:rPr>
                <w:rFonts w:ascii="Arial" w:hAnsi="Arial" w:cs="Arial"/>
                <w:b/>
                <w:bCs/>
                <w:sz w:val="20"/>
                <w:szCs w:val="20"/>
              </w:rPr>
              <w:t>Total</w:t>
            </w:r>
          </w:p>
        </w:tc>
        <w:tc>
          <w:tcPr>
            <w:tcW w:w="948" w:type="dxa"/>
            <w:gridSpan w:val="2"/>
            <w:tcBorders>
              <w:top w:val="single" w:sz="8" w:space="0" w:color="000000"/>
              <w:bottom w:val="single" w:sz="12" w:space="0" w:color="000000"/>
            </w:tcBorders>
            <w:shd w:val="clear" w:color="auto" w:fill="auto"/>
            <w:vAlign w:val="bottom"/>
          </w:tcPr>
          <w:p w:rsidR="00657124" w:rsidRPr="00DE475B" w:rsidRDefault="00CF2F3D" w:rsidP="00A2292F">
            <w:pPr>
              <w:jc w:val="right"/>
              <w:rPr>
                <w:rFonts w:ascii="Arial" w:hAnsi="Arial" w:cs="Arial"/>
                <w:sz w:val="20"/>
                <w:szCs w:val="20"/>
              </w:rPr>
            </w:pPr>
            <w:r>
              <w:rPr>
                <w:rFonts w:ascii="Arial" w:hAnsi="Arial" w:cs="Arial"/>
                <w:sz w:val="20"/>
                <w:szCs w:val="20"/>
              </w:rPr>
              <w:t>23,123</w:t>
            </w:r>
          </w:p>
        </w:tc>
        <w:tc>
          <w:tcPr>
            <w:tcW w:w="1054" w:type="dxa"/>
            <w:tcBorders>
              <w:top w:val="single" w:sz="8" w:space="0" w:color="000000"/>
              <w:bottom w:val="single" w:sz="12" w:space="0" w:color="000000"/>
            </w:tcBorders>
            <w:shd w:val="clear" w:color="auto" w:fill="auto"/>
            <w:vAlign w:val="bottom"/>
          </w:tcPr>
          <w:p w:rsidR="00657124" w:rsidRPr="00DE475B" w:rsidRDefault="00657124" w:rsidP="00CF2F3D">
            <w:pPr>
              <w:jc w:val="right"/>
              <w:rPr>
                <w:rFonts w:ascii="Arial" w:hAnsi="Arial" w:cs="Arial"/>
                <w:sz w:val="20"/>
                <w:szCs w:val="20"/>
              </w:rPr>
            </w:pPr>
            <w:r w:rsidRPr="00DE475B">
              <w:rPr>
                <w:rFonts w:ascii="Arial" w:hAnsi="Arial" w:cs="Arial"/>
                <w:sz w:val="20"/>
                <w:szCs w:val="20"/>
              </w:rPr>
              <w:t>2</w:t>
            </w:r>
            <w:r w:rsidR="00CF2F3D">
              <w:rPr>
                <w:rFonts w:ascii="Arial" w:hAnsi="Arial" w:cs="Arial"/>
                <w:sz w:val="20"/>
                <w:szCs w:val="20"/>
              </w:rPr>
              <w:t>3</w:t>
            </w:r>
            <w:r w:rsidRPr="00DE475B">
              <w:rPr>
                <w:rFonts w:ascii="Arial" w:hAnsi="Arial" w:cs="Arial"/>
                <w:sz w:val="20"/>
                <w:szCs w:val="20"/>
              </w:rPr>
              <w:t>,</w:t>
            </w:r>
            <w:r w:rsidR="00CF2F3D">
              <w:rPr>
                <w:rFonts w:ascii="Arial" w:hAnsi="Arial" w:cs="Arial"/>
                <w:sz w:val="20"/>
                <w:szCs w:val="20"/>
              </w:rPr>
              <w:t>887</w:t>
            </w:r>
            <w:r w:rsidRPr="00DE475B">
              <w:rPr>
                <w:rFonts w:ascii="Arial" w:hAnsi="Arial" w:cs="Arial"/>
                <w:sz w:val="20"/>
                <w:szCs w:val="20"/>
              </w:rPr>
              <w:t xml:space="preserve"> </w:t>
            </w:r>
          </w:p>
        </w:tc>
        <w:tc>
          <w:tcPr>
            <w:tcW w:w="1205" w:type="dxa"/>
            <w:tcBorders>
              <w:top w:val="single" w:sz="8" w:space="0" w:color="000000"/>
              <w:bottom w:val="single" w:sz="12" w:space="0" w:color="000000"/>
            </w:tcBorders>
            <w:shd w:val="clear" w:color="auto" w:fill="auto"/>
            <w:vAlign w:val="bottom"/>
          </w:tcPr>
          <w:p w:rsidR="00657124" w:rsidRPr="00DE475B" w:rsidRDefault="00657124" w:rsidP="00657124">
            <w:pPr>
              <w:jc w:val="right"/>
              <w:rPr>
                <w:rFonts w:ascii="Arial" w:hAnsi="Arial" w:cs="Arial"/>
                <w:sz w:val="20"/>
                <w:szCs w:val="20"/>
              </w:rPr>
            </w:pPr>
            <w:r w:rsidRPr="00DE475B">
              <w:rPr>
                <w:rFonts w:ascii="Arial" w:hAnsi="Arial" w:cs="Arial"/>
                <w:sz w:val="20"/>
                <w:szCs w:val="20"/>
              </w:rPr>
              <w:t>23,</w:t>
            </w:r>
            <w:r>
              <w:rPr>
                <w:rFonts w:ascii="Arial" w:hAnsi="Arial" w:cs="Arial"/>
                <w:sz w:val="20"/>
                <w:szCs w:val="20"/>
              </w:rPr>
              <w:t>131</w:t>
            </w:r>
          </w:p>
        </w:tc>
        <w:tc>
          <w:tcPr>
            <w:tcW w:w="904" w:type="dxa"/>
            <w:tcBorders>
              <w:top w:val="single" w:sz="8" w:space="0" w:color="000000"/>
              <w:bottom w:val="single" w:sz="12" w:space="0" w:color="000000"/>
            </w:tcBorders>
            <w:shd w:val="clear" w:color="auto" w:fill="auto"/>
            <w:vAlign w:val="bottom"/>
          </w:tcPr>
          <w:p w:rsidR="00657124" w:rsidRPr="00DE475B" w:rsidRDefault="00CF2F3D" w:rsidP="00CF2F3D">
            <w:pPr>
              <w:jc w:val="right"/>
              <w:rPr>
                <w:rFonts w:ascii="Arial" w:hAnsi="Arial" w:cs="Arial"/>
                <w:sz w:val="20"/>
                <w:szCs w:val="20"/>
              </w:rPr>
            </w:pPr>
            <w:r>
              <w:rPr>
                <w:rFonts w:ascii="Arial" w:hAnsi="Arial" w:cs="Arial"/>
                <w:sz w:val="20"/>
                <w:szCs w:val="20"/>
              </w:rPr>
              <w:t>23</w:t>
            </w:r>
            <w:r w:rsidR="00657124" w:rsidRPr="00DE475B">
              <w:rPr>
                <w:rFonts w:ascii="Arial" w:hAnsi="Arial" w:cs="Arial"/>
                <w:sz w:val="20"/>
                <w:szCs w:val="20"/>
              </w:rPr>
              <w:t>,</w:t>
            </w:r>
            <w:r>
              <w:rPr>
                <w:rFonts w:ascii="Arial" w:hAnsi="Arial" w:cs="Arial"/>
                <w:sz w:val="20"/>
                <w:szCs w:val="20"/>
              </w:rPr>
              <w:t>884</w:t>
            </w:r>
            <w:r w:rsidR="00657124" w:rsidRPr="00DE475B">
              <w:rPr>
                <w:rFonts w:ascii="Arial" w:hAnsi="Arial" w:cs="Arial"/>
                <w:sz w:val="20"/>
                <w:szCs w:val="20"/>
              </w:rPr>
              <w:t xml:space="preserve"> </w:t>
            </w:r>
          </w:p>
        </w:tc>
      </w:tr>
    </w:tbl>
    <w:p w:rsidR="00CD5FA4" w:rsidRPr="00DE475B" w:rsidRDefault="00CD5FA4" w:rsidP="00CD5FA4">
      <w:pPr>
        <w:rPr>
          <w:rFonts w:ascii="Arial" w:hAnsi="Arial" w:cs="Arial"/>
          <w:i/>
          <w:iCs/>
          <w:sz w:val="20"/>
          <w:szCs w:val="20"/>
        </w:rPr>
      </w:pPr>
    </w:p>
    <w:p w:rsidR="00CD5FA4" w:rsidRPr="00DE475B" w:rsidRDefault="00CD5FA4" w:rsidP="00CD5FA4">
      <w:pPr>
        <w:pStyle w:val="ARbodytext"/>
        <w:rPr>
          <w:b/>
          <w:bCs/>
        </w:rPr>
      </w:pPr>
      <w:r w:rsidRPr="00DE475B">
        <w:rPr>
          <w:b/>
          <w:bCs/>
          <w:i/>
          <w:iCs/>
        </w:rPr>
        <w:t>Library Board of Queensland and controlled entities</w:t>
      </w:r>
    </w:p>
    <w:p w:rsidR="00CD5FA4" w:rsidRPr="00DE475B" w:rsidRDefault="00373FFE" w:rsidP="00CD5FA4">
      <w:pPr>
        <w:rPr>
          <w:rFonts w:ascii="Arial" w:hAnsi="Arial" w:cs="Arial"/>
          <w:b/>
          <w:bCs/>
          <w:sz w:val="20"/>
          <w:szCs w:val="20"/>
        </w:rPr>
      </w:pPr>
      <w:r w:rsidRPr="00DE475B">
        <w:rPr>
          <w:noProof/>
          <w:lang w:eastAsia="en-AU"/>
        </w:rPr>
        <mc:AlternateContent>
          <mc:Choice Requires="wps">
            <w:drawing>
              <wp:anchor distT="0" distB="0" distL="114300" distR="114300" simplePos="0" relativeHeight="251683840" behindDoc="0" locked="0" layoutInCell="1" allowOverlap="1" wp14:anchorId="39F05AC5" wp14:editId="54D706D7">
                <wp:simplePos x="0" y="0"/>
                <wp:positionH relativeFrom="column">
                  <wp:posOffset>-66040</wp:posOffset>
                </wp:positionH>
                <wp:positionV relativeFrom="paragraph">
                  <wp:posOffset>-222250</wp:posOffset>
                </wp:positionV>
                <wp:extent cx="5573395" cy="0"/>
                <wp:effectExtent l="13970" t="12700" r="13335" b="6350"/>
                <wp:wrapNone/>
                <wp:docPr id="5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jFmwIAAHoFAAAOAAAAZHJzL2Uyb0RvYy54bWysVFFvmzAQfp+0/2D5nQIBAkElVUvIXrqt&#10;Ujvt2TEmWAOb2W5INPW/7+wkrOlepqmJhHz23fm7+77z9c2+79COKc2lKHB4FWDEBJU1F9sCf3ta&#10;exlG2hBRk04KVuAD0/hm+fHD9TjkbCZb2dVMIUgidD4OBW6NGXLf17RlPdFXcmACDhupemLAVFu/&#10;VmSE7H3nz4Jg7o9S1YOSlGkNu6vjIV66/E3DqPnaNJoZ1BUYsBn3Ve67sV9/eU3yrSJDy+kJBvkP&#10;FD3hAi6dUq2IIehZ8b9S9ZwqqWVjrqjsfdk0nDJXA1QTBm+qeWzJwFwt0Bw9TG3S75eWftk9KMTr&#10;AifAlCA9cHTPBUOzNLPNGQedg08pHpQtj+7F43Av6Q+NhCxbIrbMgXw6DBAY2gj/IsQaeoArNuNn&#10;WYMPeTbSdWrfqN6mhB6gvSPkMBHC9gZR2EySNIoWCUb0fOaT/Bw4KG0+MdkjuyhwB6hdYrK718YC&#10;IfnZxd4j5Jp3neO7E2gs8CKagyIoAdXpny5Sy47X1sv6a7XdlJ1CO2Kl436uPDh57dZzAwLueF/g&#10;bHIiectIXYnaXWcI745rgNQJm5w5aR5xgrU3sHT7ULiTza9FsKiyKou9eDavvDhYrbzbdRl783WY&#10;JqtoVZar8MWiDuO85XXNhAV+lnAY/5tETsN0FN8k4qlV/mV211MAe4n0dp0EaRxlXpomkRdHVeDd&#10;ZevSuy3D+Tyt7sq76g3SylWv3wfs1EqLSj4DG49tPaKaW1FEyWIWYjBg5GfpkR9Eui28VdQojJQ0&#10;37lpnYat+myOC+KzwP5PxE/Zj404c2itiYVTbX9aBZyf+XWjYafhOFcbWR8e1HlkYMBd0Okxsi/I&#10;axvWr5/M5W8AAAD//wMAUEsDBBQABgAIAAAAIQDe2Ktn4AAAAAsBAAAPAAAAZHJzL2Rvd25yZXYu&#10;eG1sTI9BS8NAEIXvgv9hGcGLtJuaWEvMpoggHgRpqyjettkxG8zOht1tE/+9Iwh6m5n3ePO9aj25&#10;XhwxxM6TgsU8A4HUeNNRq+Dl+X62AhGTJqN7T6jgCyOs69OTSpfGj7TF4y61gkMollqBTWkopYyN&#10;Rafj3A9IrH344HTiNbTSBD1yuOvlZZYtpdMd8QerB7yz2HzuDk7BUxi7mPKi2GB6f314fLObC7dV&#10;6vxsur0BkXBKf2b4wWd0qJlp7w9kougVzBZZwVYe8isuxY7V8joHsf+9yLqS/zvU3wAAAP//AwBQ&#10;SwECLQAUAAYACAAAACEAtoM4kv4AAADhAQAAEwAAAAAAAAAAAAAAAAAAAAAAW0NvbnRlbnRfVHlw&#10;ZXNdLnhtbFBLAQItABQABgAIAAAAIQA4/SH/1gAAAJQBAAALAAAAAAAAAAAAAAAAAC8BAABfcmVs&#10;cy8ucmVsc1BLAQItABQABgAIAAAAIQCFyAjFmwIAAHoFAAAOAAAAAAAAAAAAAAAAAC4CAABkcnMv&#10;ZTJvRG9jLnhtbFBLAQItABQABgAIAAAAIQDe2Ktn4AAAAAsBAAAPAAAAAAAAAAAAAAAAAPUEAABk&#10;cnMvZG93bnJldi54bWxQSwUGAAAAAAQABADzAAAAAgYAAAAA&#10;" strokeweight=".26mm">
                <v:stroke joinstyle="miter" endcap="square"/>
              </v:line>
            </w:pict>
          </mc:Fallback>
        </mc:AlternateContent>
      </w:r>
      <w:r w:rsidR="00CD5FA4" w:rsidRPr="00DE475B">
        <w:rPr>
          <w:rFonts w:ascii="Arial" w:hAnsi="Arial" w:cs="Arial"/>
          <w:b/>
          <w:bCs/>
          <w:sz w:val="20"/>
          <w:szCs w:val="20"/>
        </w:rPr>
        <w:t>NOTES TO THE FINANCIAL STATEMENTS</w:t>
      </w:r>
    </w:p>
    <w:p w:rsidR="00CD5FA4" w:rsidRPr="00DE475B" w:rsidRDefault="000F6D8B" w:rsidP="00CD5FA4">
      <w:r>
        <w:rPr>
          <w:rFonts w:ascii="Arial" w:hAnsi="Arial" w:cs="Arial"/>
          <w:b/>
          <w:bCs/>
          <w:sz w:val="20"/>
          <w:szCs w:val="20"/>
        </w:rPr>
        <w:t>For the year ended 30 June 2017</w:t>
      </w:r>
    </w:p>
    <w:p w:rsidR="00CD5FA4" w:rsidRPr="00DE475B" w:rsidRDefault="00373FFE" w:rsidP="00CD5FA4">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682816" behindDoc="0" locked="0" layoutInCell="1" allowOverlap="1" wp14:anchorId="582E46B0" wp14:editId="025AACF3">
                <wp:simplePos x="0" y="0"/>
                <wp:positionH relativeFrom="column">
                  <wp:posOffset>-66040</wp:posOffset>
                </wp:positionH>
                <wp:positionV relativeFrom="paragraph">
                  <wp:posOffset>70485</wp:posOffset>
                </wp:positionV>
                <wp:extent cx="5573395" cy="0"/>
                <wp:effectExtent l="13970" t="6985" r="13335" b="12065"/>
                <wp:wrapNone/>
                <wp:docPr id="57"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vnmwIAAHoFAAAOAAAAZHJzL2Uyb0RvYy54bWysVFFvmzAQfp+0/2D5nQIBQoJKppaQvXRb&#10;pXbas2ObYA1sZrsh1bT/vrOTsKZ7maYmEvLZd+fv7vvO1x8OfYf2XBuhZInjqwgjLqliQu5K/PVx&#10;EywwMpZIRjoleYmfucEfVu/fXY9DwWeqVR3jGkESaYpxKHFr7VCEoaEt74m5UgOXcNgo3RMLpt6F&#10;TJMRsvddOIuieTgqzQatKDcGdtfHQ7zy+ZuGU/ulaQy3qCsxYLP+q/13677h6poUO02GVtATDPIf&#10;KHoiJFw6pVoTS9CTFn+l6gXVyqjGXlHVh6ppBOW+Bqgmjl5V89CSgftaoDlmmNpk3i4t/by/10iw&#10;Emc5RpL0wNGdkBzN8tw1ZxxMAT6VvNeuPHqQD8Odot8NkqpqidxxD/LxeYDA2EWEFyHOMANcsR0/&#10;KQY+5Mkq36lDo3uXEnqADp6Q54kQfrCIwmaW5UmyzDCi57OQFOfAQRv7kaseuUWJO0DtE5P9nbEO&#10;CCnOLu4eqTai6zzfnURjiZfJHBRBCajO/PCRRnWCOS/nb/RuW3Ua7YmTjv/58uDkpVsvLAi4E32J&#10;F5MTKVpOWC2Zv84S0R3XAKmTLjn30jziBOtgYen3oXAvm5/LaFkv6kUapLN5HaTReh3cbKo0mG/i&#10;PFsn66pax78c6jgtWsEYlw74WcJx+m8SOQ3TUXyTiKdWhZfZfU8B7CXSm00W5WmyCPI8S4I0qaPg&#10;drGpgpsqns/z+ra6rV8hrX315m3ATq10qNQTsPHQshEx4USRZMtZjMGAkZ/lR34Q6XbwVlGrMdLK&#10;fhO29Rp26nM5LohfRO5/In7KfmzEmUNnTSycavvTKuD8zK8fDTcNx7naKvZ8r88jAwPug06PkXtB&#10;Xtqwfvlkrn4DAAD//wMAUEsDBBQABgAIAAAAIQDwQGlx3gAAAAkBAAAPAAAAZHJzL2Rvd25yZXYu&#10;eG1sTI/BSsNAEIbvgu+wjOBF2k1sqCVmU0QQD4K0VRRv2+yYDWZnw+62iW/vSA96nPk//vmmWk+u&#10;F0cMsfOkIJ9nIJAabzpqFby+PMxWIGLSZHTvCRV8Y4R1fX5W6dL4kbZ43KVWcAnFUiuwKQ2llLGx&#10;6HSc+wGJs08fnE48hlaaoEcud728zrKldLojvmD1gPcWm6/dwSl4DmMX06IoNpg+3h6f3u3mym2V&#10;uryY7m5BJJzSHwy/+qwONTvt/YFMFL2CWZ4VjHKQ5yAYWC1vFiD2p4WsK/n/g/oHAAD//wMAUEsB&#10;Ai0AFAAGAAgAAAAhALaDOJL+AAAA4QEAABMAAAAAAAAAAAAAAAAAAAAAAFtDb250ZW50X1R5cGVz&#10;XS54bWxQSwECLQAUAAYACAAAACEAOP0h/9YAAACUAQAACwAAAAAAAAAAAAAAAAAvAQAAX3JlbHMv&#10;LnJlbHNQSwECLQAUAAYACAAAACEAjt6755sCAAB6BQAADgAAAAAAAAAAAAAAAAAuAgAAZHJzL2Uy&#10;b0RvYy54bWxQSwECLQAUAAYACAAAACEA8EBpcd4AAAAJAQAADwAAAAAAAAAAAAAAAAD1BAAAZHJz&#10;L2Rvd25yZXYueG1sUEsFBgAAAAAEAAQA8wAAAAAGAAAAAA==&#10;" strokeweight=".26mm">
                <v:stroke joinstyle="miter" endcap="square"/>
              </v:line>
            </w:pict>
          </mc:Fallback>
        </mc:AlternateContent>
      </w:r>
    </w:p>
    <w:p w:rsidR="00CD5FA4" w:rsidRPr="00DE475B" w:rsidRDefault="00CD5FA4" w:rsidP="00CD5FA4">
      <w:pPr>
        <w:pStyle w:val="ARheading3"/>
        <w:tabs>
          <w:tab w:val="left" w:pos="851"/>
        </w:tabs>
        <w:spacing w:after="120"/>
        <w:rPr>
          <w:color w:val="808080"/>
        </w:rPr>
        <w:sectPr w:rsidR="00CD5FA4" w:rsidRPr="00DE475B" w:rsidSect="00B53922">
          <w:type w:val="continuous"/>
          <w:pgSz w:w="11906" w:h="16838"/>
          <w:pgMar w:top="1440" w:right="1701" w:bottom="1440" w:left="1701" w:header="680" w:footer="680" w:gutter="0"/>
          <w:cols w:space="720"/>
          <w:docGrid w:linePitch="360"/>
        </w:sectPr>
      </w:pPr>
      <w:r w:rsidRPr="00DE475B">
        <w:rPr>
          <w:color w:val="808080"/>
        </w:rPr>
        <w:t>B2 Expenses (continued)</w:t>
      </w:r>
    </w:p>
    <w:p w:rsidR="002C52F0" w:rsidRPr="00DE475B" w:rsidRDefault="002C52F0" w:rsidP="002C52F0">
      <w:pPr>
        <w:tabs>
          <w:tab w:val="left" w:pos="284"/>
          <w:tab w:val="left" w:pos="5878"/>
          <w:tab w:val="left" w:pos="8548"/>
          <w:tab w:val="left" w:pos="8770"/>
          <w:tab w:val="left" w:pos="10266"/>
          <w:tab w:val="left" w:pos="11702"/>
        </w:tabs>
        <w:rPr>
          <w:rFonts w:ascii="Arial" w:hAnsi="Arial" w:cs="Arial"/>
          <w:sz w:val="20"/>
          <w:szCs w:val="20"/>
        </w:rPr>
      </w:pPr>
      <w:r w:rsidRPr="00DE475B">
        <w:rPr>
          <w:rFonts w:ascii="Arial" w:hAnsi="Arial" w:cs="Arial"/>
          <w:b/>
          <w:bCs/>
          <w:sz w:val="20"/>
          <w:szCs w:val="20"/>
        </w:rPr>
        <w:lastRenderedPageBreak/>
        <w:t>B2-3 Grants and subsidies</w:t>
      </w:r>
    </w:p>
    <w:tbl>
      <w:tblPr>
        <w:tblW w:w="8789" w:type="dxa"/>
        <w:tblInd w:w="108" w:type="dxa"/>
        <w:tblLayout w:type="fixed"/>
        <w:tblLook w:val="0000" w:firstRow="0" w:lastRow="0" w:firstColumn="0" w:lastColumn="0" w:noHBand="0" w:noVBand="0"/>
      </w:tblPr>
      <w:tblGrid>
        <w:gridCol w:w="441"/>
        <w:gridCol w:w="1037"/>
        <w:gridCol w:w="1037"/>
        <w:gridCol w:w="994"/>
        <w:gridCol w:w="611"/>
        <w:gridCol w:w="452"/>
        <w:gridCol w:w="1054"/>
        <w:gridCol w:w="1054"/>
        <w:gridCol w:w="1205"/>
        <w:gridCol w:w="904"/>
      </w:tblGrid>
      <w:tr w:rsidR="00052561" w:rsidRPr="00DE475B" w:rsidTr="00A056EE">
        <w:trPr>
          <w:trHeight w:val="255"/>
        </w:trPr>
        <w:tc>
          <w:tcPr>
            <w:tcW w:w="4120" w:type="dxa"/>
            <w:gridSpan w:val="5"/>
            <w:shd w:val="clear" w:color="auto" w:fill="auto"/>
            <w:vAlign w:val="bottom"/>
          </w:tcPr>
          <w:p w:rsidR="00052561" w:rsidRPr="00DE475B" w:rsidRDefault="00052561" w:rsidP="00A056EE">
            <w:pPr>
              <w:rPr>
                <w:rFonts w:ascii="Arial" w:hAnsi="Arial" w:cs="Arial"/>
                <w:sz w:val="20"/>
                <w:szCs w:val="20"/>
              </w:rPr>
            </w:pPr>
          </w:p>
        </w:tc>
        <w:tc>
          <w:tcPr>
            <w:tcW w:w="452" w:type="dxa"/>
            <w:shd w:val="clear" w:color="auto" w:fill="auto"/>
            <w:vAlign w:val="bottom"/>
          </w:tcPr>
          <w:p w:rsidR="00052561" w:rsidRPr="00DE475B" w:rsidRDefault="00052561" w:rsidP="00A056EE">
            <w:pPr>
              <w:snapToGrid w:val="0"/>
              <w:rPr>
                <w:rFonts w:ascii="Arial" w:hAnsi="Arial" w:cs="Arial"/>
                <w:sz w:val="20"/>
                <w:szCs w:val="20"/>
              </w:rPr>
            </w:pPr>
          </w:p>
        </w:tc>
        <w:tc>
          <w:tcPr>
            <w:tcW w:w="2108" w:type="dxa"/>
            <w:gridSpan w:val="2"/>
            <w:shd w:val="clear" w:color="auto" w:fill="auto"/>
            <w:vAlign w:val="bottom"/>
          </w:tcPr>
          <w:p w:rsidR="00052561" w:rsidRPr="00DE475B" w:rsidRDefault="00052561" w:rsidP="00052561">
            <w:pPr>
              <w:jc w:val="center"/>
              <w:rPr>
                <w:rFonts w:ascii="Arial" w:hAnsi="Arial" w:cs="Arial"/>
                <w:b/>
                <w:bCs/>
                <w:sz w:val="20"/>
                <w:szCs w:val="20"/>
              </w:rPr>
            </w:pPr>
            <w:r w:rsidRPr="00DE475B">
              <w:rPr>
                <w:rFonts w:ascii="Arial" w:hAnsi="Arial" w:cs="Arial"/>
                <w:b/>
                <w:bCs/>
                <w:sz w:val="20"/>
                <w:szCs w:val="20"/>
              </w:rPr>
              <w:t>Economic Entity</w:t>
            </w:r>
          </w:p>
        </w:tc>
        <w:tc>
          <w:tcPr>
            <w:tcW w:w="2109" w:type="dxa"/>
            <w:gridSpan w:val="2"/>
            <w:shd w:val="clear" w:color="auto" w:fill="auto"/>
            <w:vAlign w:val="bottom"/>
          </w:tcPr>
          <w:p w:rsidR="00052561" w:rsidRPr="00DE475B" w:rsidRDefault="00052561" w:rsidP="00052561">
            <w:pPr>
              <w:snapToGrid w:val="0"/>
              <w:jc w:val="center"/>
              <w:rPr>
                <w:rFonts w:ascii="Arial" w:hAnsi="Arial" w:cs="Arial"/>
                <w:sz w:val="20"/>
                <w:szCs w:val="20"/>
              </w:rPr>
            </w:pPr>
            <w:r w:rsidRPr="00DE475B">
              <w:rPr>
                <w:rFonts w:ascii="Arial" w:hAnsi="Arial" w:cs="Arial"/>
                <w:b/>
                <w:bCs/>
                <w:sz w:val="20"/>
                <w:szCs w:val="20"/>
              </w:rPr>
              <w:t>Parent Entity</w:t>
            </w:r>
          </w:p>
        </w:tc>
      </w:tr>
      <w:tr w:rsidR="00052561" w:rsidRPr="00DE475B" w:rsidTr="00A056EE">
        <w:trPr>
          <w:trHeight w:val="255"/>
        </w:trPr>
        <w:tc>
          <w:tcPr>
            <w:tcW w:w="4120" w:type="dxa"/>
            <w:gridSpan w:val="5"/>
            <w:shd w:val="clear" w:color="auto" w:fill="auto"/>
            <w:vAlign w:val="bottom"/>
          </w:tcPr>
          <w:p w:rsidR="00052561" w:rsidRPr="00DE475B" w:rsidRDefault="00052561" w:rsidP="00A056EE">
            <w:pPr>
              <w:rPr>
                <w:rFonts w:ascii="Arial" w:hAnsi="Arial" w:cs="Arial"/>
                <w:sz w:val="20"/>
                <w:szCs w:val="20"/>
              </w:rPr>
            </w:pPr>
          </w:p>
        </w:tc>
        <w:tc>
          <w:tcPr>
            <w:tcW w:w="452" w:type="dxa"/>
            <w:shd w:val="clear" w:color="auto" w:fill="auto"/>
            <w:vAlign w:val="bottom"/>
          </w:tcPr>
          <w:p w:rsidR="00052561" w:rsidRPr="00DE475B" w:rsidRDefault="00052561" w:rsidP="00A056EE">
            <w:pPr>
              <w:snapToGrid w:val="0"/>
              <w:rPr>
                <w:rFonts w:ascii="Arial" w:hAnsi="Arial" w:cs="Arial"/>
                <w:sz w:val="20"/>
                <w:szCs w:val="20"/>
              </w:rPr>
            </w:pPr>
          </w:p>
        </w:tc>
        <w:tc>
          <w:tcPr>
            <w:tcW w:w="1054" w:type="dxa"/>
            <w:shd w:val="clear" w:color="auto" w:fill="auto"/>
            <w:vAlign w:val="bottom"/>
          </w:tcPr>
          <w:p w:rsidR="00052561" w:rsidRPr="00DE475B" w:rsidRDefault="00DC1966" w:rsidP="00A056EE">
            <w:pPr>
              <w:jc w:val="right"/>
              <w:rPr>
                <w:rFonts w:ascii="Arial" w:hAnsi="Arial" w:cs="Arial"/>
                <w:b/>
                <w:bCs/>
                <w:sz w:val="20"/>
                <w:szCs w:val="20"/>
              </w:rPr>
            </w:pPr>
            <w:r>
              <w:rPr>
                <w:rFonts w:ascii="Arial" w:hAnsi="Arial" w:cs="Arial"/>
                <w:b/>
                <w:bCs/>
                <w:sz w:val="20"/>
                <w:szCs w:val="20"/>
              </w:rPr>
              <w:t>2017</w:t>
            </w:r>
          </w:p>
        </w:tc>
        <w:tc>
          <w:tcPr>
            <w:tcW w:w="1054" w:type="dxa"/>
            <w:shd w:val="clear" w:color="auto" w:fill="auto"/>
            <w:vAlign w:val="bottom"/>
          </w:tcPr>
          <w:p w:rsidR="00052561" w:rsidRPr="00DE475B" w:rsidRDefault="00052561" w:rsidP="00DC1966">
            <w:pPr>
              <w:jc w:val="right"/>
              <w:rPr>
                <w:rFonts w:ascii="Arial" w:hAnsi="Arial" w:cs="Arial"/>
                <w:b/>
                <w:bCs/>
                <w:sz w:val="20"/>
                <w:szCs w:val="20"/>
              </w:rPr>
            </w:pPr>
            <w:r w:rsidRPr="00DE475B">
              <w:rPr>
                <w:rFonts w:ascii="Arial" w:hAnsi="Arial" w:cs="Arial"/>
                <w:b/>
                <w:bCs/>
                <w:sz w:val="20"/>
                <w:szCs w:val="20"/>
              </w:rPr>
              <w:t>201</w:t>
            </w:r>
            <w:r w:rsidR="00DC1966">
              <w:rPr>
                <w:rFonts w:ascii="Arial" w:hAnsi="Arial" w:cs="Arial"/>
                <w:b/>
                <w:bCs/>
                <w:sz w:val="20"/>
                <w:szCs w:val="20"/>
              </w:rPr>
              <w:t>6</w:t>
            </w:r>
          </w:p>
        </w:tc>
        <w:tc>
          <w:tcPr>
            <w:tcW w:w="1205" w:type="dxa"/>
            <w:shd w:val="clear" w:color="auto" w:fill="auto"/>
            <w:vAlign w:val="bottom"/>
          </w:tcPr>
          <w:p w:rsidR="00052561" w:rsidRPr="00DE475B" w:rsidRDefault="00052561" w:rsidP="00DC1966">
            <w:pPr>
              <w:jc w:val="right"/>
              <w:rPr>
                <w:rFonts w:ascii="Arial" w:hAnsi="Arial" w:cs="Arial"/>
                <w:b/>
                <w:bCs/>
                <w:sz w:val="20"/>
                <w:szCs w:val="20"/>
              </w:rPr>
            </w:pPr>
            <w:r w:rsidRPr="00DE475B">
              <w:rPr>
                <w:rFonts w:ascii="Arial" w:hAnsi="Arial" w:cs="Arial"/>
                <w:b/>
                <w:bCs/>
                <w:sz w:val="20"/>
                <w:szCs w:val="20"/>
              </w:rPr>
              <w:t>201</w:t>
            </w:r>
            <w:r w:rsidR="00DC1966">
              <w:rPr>
                <w:rFonts w:ascii="Arial" w:hAnsi="Arial" w:cs="Arial"/>
                <w:b/>
                <w:bCs/>
                <w:sz w:val="20"/>
                <w:szCs w:val="20"/>
              </w:rPr>
              <w:t>7</w:t>
            </w:r>
          </w:p>
        </w:tc>
        <w:tc>
          <w:tcPr>
            <w:tcW w:w="904" w:type="dxa"/>
            <w:shd w:val="clear" w:color="auto" w:fill="auto"/>
            <w:vAlign w:val="bottom"/>
          </w:tcPr>
          <w:p w:rsidR="00052561" w:rsidRPr="00DE475B" w:rsidRDefault="00052561" w:rsidP="00DC1966">
            <w:pPr>
              <w:jc w:val="right"/>
              <w:rPr>
                <w:rFonts w:ascii="Arial" w:hAnsi="Arial" w:cs="Arial"/>
                <w:b/>
                <w:bCs/>
                <w:sz w:val="20"/>
                <w:szCs w:val="20"/>
              </w:rPr>
            </w:pPr>
            <w:r w:rsidRPr="00DE475B">
              <w:rPr>
                <w:rFonts w:ascii="Arial" w:hAnsi="Arial" w:cs="Arial"/>
                <w:b/>
                <w:bCs/>
                <w:sz w:val="20"/>
                <w:szCs w:val="20"/>
              </w:rPr>
              <w:t>201</w:t>
            </w:r>
            <w:r w:rsidR="00DC1966">
              <w:rPr>
                <w:rFonts w:ascii="Arial" w:hAnsi="Arial" w:cs="Arial"/>
                <w:b/>
                <w:bCs/>
                <w:sz w:val="20"/>
                <w:szCs w:val="20"/>
              </w:rPr>
              <w:t>6</w:t>
            </w:r>
          </w:p>
        </w:tc>
      </w:tr>
      <w:tr w:rsidR="00052561" w:rsidRPr="00DE475B" w:rsidTr="00A056EE">
        <w:trPr>
          <w:trHeight w:val="255"/>
        </w:trPr>
        <w:tc>
          <w:tcPr>
            <w:tcW w:w="4120" w:type="dxa"/>
            <w:gridSpan w:val="5"/>
            <w:shd w:val="clear" w:color="auto" w:fill="auto"/>
            <w:vAlign w:val="bottom"/>
          </w:tcPr>
          <w:p w:rsidR="00052561" w:rsidRPr="00DE475B" w:rsidRDefault="00052561" w:rsidP="00A056EE">
            <w:pPr>
              <w:rPr>
                <w:rFonts w:ascii="Arial" w:hAnsi="Arial" w:cs="Arial"/>
                <w:sz w:val="20"/>
                <w:szCs w:val="20"/>
              </w:rPr>
            </w:pPr>
          </w:p>
        </w:tc>
        <w:tc>
          <w:tcPr>
            <w:tcW w:w="452" w:type="dxa"/>
            <w:shd w:val="clear" w:color="auto" w:fill="auto"/>
            <w:vAlign w:val="bottom"/>
          </w:tcPr>
          <w:p w:rsidR="00052561" w:rsidRPr="00DE475B" w:rsidRDefault="00052561" w:rsidP="00A056EE">
            <w:pPr>
              <w:snapToGrid w:val="0"/>
              <w:rPr>
                <w:rFonts w:ascii="Arial" w:hAnsi="Arial" w:cs="Arial"/>
                <w:sz w:val="20"/>
                <w:szCs w:val="20"/>
              </w:rPr>
            </w:pPr>
          </w:p>
        </w:tc>
        <w:tc>
          <w:tcPr>
            <w:tcW w:w="1054" w:type="dxa"/>
            <w:shd w:val="clear" w:color="auto" w:fill="auto"/>
            <w:vAlign w:val="bottom"/>
          </w:tcPr>
          <w:p w:rsidR="00052561" w:rsidRPr="00DE475B" w:rsidRDefault="00052561" w:rsidP="00A056EE">
            <w:pPr>
              <w:jc w:val="right"/>
              <w:rPr>
                <w:rFonts w:ascii="Arial" w:hAnsi="Arial" w:cs="Arial"/>
                <w:b/>
                <w:bCs/>
                <w:sz w:val="20"/>
                <w:szCs w:val="20"/>
              </w:rPr>
            </w:pPr>
            <w:r w:rsidRPr="00DE475B">
              <w:rPr>
                <w:rFonts w:ascii="Arial" w:hAnsi="Arial" w:cs="Arial"/>
                <w:b/>
                <w:bCs/>
                <w:sz w:val="20"/>
                <w:szCs w:val="20"/>
              </w:rPr>
              <w:t>$'000</w:t>
            </w:r>
          </w:p>
        </w:tc>
        <w:tc>
          <w:tcPr>
            <w:tcW w:w="1054" w:type="dxa"/>
            <w:shd w:val="clear" w:color="auto" w:fill="auto"/>
            <w:vAlign w:val="bottom"/>
          </w:tcPr>
          <w:p w:rsidR="00052561" w:rsidRPr="00DE475B" w:rsidRDefault="00052561" w:rsidP="00A056EE">
            <w:pPr>
              <w:jc w:val="right"/>
              <w:rPr>
                <w:rFonts w:ascii="Arial" w:hAnsi="Arial" w:cs="Arial"/>
                <w:b/>
                <w:bCs/>
                <w:sz w:val="20"/>
                <w:szCs w:val="20"/>
              </w:rPr>
            </w:pPr>
            <w:r w:rsidRPr="00DE475B">
              <w:rPr>
                <w:rFonts w:ascii="Arial" w:hAnsi="Arial" w:cs="Arial"/>
                <w:b/>
                <w:bCs/>
                <w:sz w:val="20"/>
                <w:szCs w:val="20"/>
              </w:rPr>
              <w:t>$'000</w:t>
            </w:r>
          </w:p>
        </w:tc>
        <w:tc>
          <w:tcPr>
            <w:tcW w:w="1205" w:type="dxa"/>
            <w:shd w:val="clear" w:color="auto" w:fill="auto"/>
            <w:vAlign w:val="bottom"/>
          </w:tcPr>
          <w:p w:rsidR="00052561" w:rsidRPr="00DE475B" w:rsidRDefault="00052561" w:rsidP="00A056EE">
            <w:pPr>
              <w:jc w:val="right"/>
              <w:rPr>
                <w:rFonts w:ascii="Arial" w:hAnsi="Arial" w:cs="Arial"/>
                <w:b/>
                <w:bCs/>
                <w:sz w:val="20"/>
                <w:szCs w:val="20"/>
              </w:rPr>
            </w:pPr>
            <w:r w:rsidRPr="00DE475B">
              <w:rPr>
                <w:rFonts w:ascii="Arial" w:hAnsi="Arial" w:cs="Arial"/>
                <w:b/>
                <w:bCs/>
                <w:sz w:val="20"/>
                <w:szCs w:val="20"/>
              </w:rPr>
              <w:t>$'000</w:t>
            </w:r>
          </w:p>
        </w:tc>
        <w:tc>
          <w:tcPr>
            <w:tcW w:w="904" w:type="dxa"/>
            <w:shd w:val="clear" w:color="auto" w:fill="auto"/>
            <w:vAlign w:val="bottom"/>
          </w:tcPr>
          <w:p w:rsidR="00052561" w:rsidRPr="00DE475B" w:rsidRDefault="00052561" w:rsidP="00A056EE">
            <w:pPr>
              <w:jc w:val="right"/>
              <w:rPr>
                <w:rFonts w:ascii="Arial" w:hAnsi="Arial" w:cs="Arial"/>
                <w:b/>
                <w:bCs/>
                <w:sz w:val="20"/>
                <w:szCs w:val="20"/>
              </w:rPr>
            </w:pPr>
            <w:r w:rsidRPr="00DE475B">
              <w:rPr>
                <w:rFonts w:ascii="Arial" w:hAnsi="Arial" w:cs="Arial"/>
                <w:b/>
                <w:bCs/>
                <w:sz w:val="20"/>
                <w:szCs w:val="20"/>
              </w:rPr>
              <w:t>$'000</w:t>
            </w:r>
          </w:p>
        </w:tc>
      </w:tr>
      <w:tr w:rsidR="00052561" w:rsidRPr="00DE475B" w:rsidTr="00A056EE">
        <w:trPr>
          <w:trHeight w:val="255"/>
        </w:trPr>
        <w:tc>
          <w:tcPr>
            <w:tcW w:w="4120" w:type="dxa"/>
            <w:gridSpan w:val="5"/>
            <w:shd w:val="clear" w:color="auto" w:fill="auto"/>
            <w:vAlign w:val="bottom"/>
          </w:tcPr>
          <w:p w:rsidR="00052561" w:rsidRPr="00DE475B" w:rsidRDefault="00CF2F3D" w:rsidP="00A056EE">
            <w:pPr>
              <w:rPr>
                <w:rFonts w:ascii="Arial" w:hAnsi="Arial" w:cs="Arial"/>
                <w:sz w:val="20"/>
                <w:szCs w:val="20"/>
              </w:rPr>
            </w:pPr>
            <w:r w:rsidRPr="00DE475B">
              <w:rPr>
                <w:rFonts w:ascii="Arial" w:hAnsi="Arial" w:cs="Arial"/>
                <w:b/>
                <w:bCs/>
                <w:sz w:val="20"/>
                <w:szCs w:val="20"/>
              </w:rPr>
              <w:t>Grants and subsidies</w:t>
            </w:r>
          </w:p>
        </w:tc>
        <w:tc>
          <w:tcPr>
            <w:tcW w:w="452" w:type="dxa"/>
            <w:shd w:val="clear" w:color="auto" w:fill="auto"/>
            <w:vAlign w:val="bottom"/>
          </w:tcPr>
          <w:p w:rsidR="00052561" w:rsidRPr="00DE475B" w:rsidRDefault="00052561" w:rsidP="00A056EE">
            <w:pPr>
              <w:snapToGrid w:val="0"/>
              <w:rPr>
                <w:rFonts w:ascii="Arial" w:hAnsi="Arial" w:cs="Arial"/>
                <w:sz w:val="20"/>
                <w:szCs w:val="20"/>
              </w:rPr>
            </w:pPr>
          </w:p>
        </w:tc>
        <w:tc>
          <w:tcPr>
            <w:tcW w:w="1054" w:type="dxa"/>
            <w:shd w:val="clear" w:color="auto" w:fill="auto"/>
            <w:vAlign w:val="bottom"/>
          </w:tcPr>
          <w:p w:rsidR="00052561" w:rsidRPr="00DE475B" w:rsidRDefault="00052561" w:rsidP="00A056EE">
            <w:pPr>
              <w:snapToGrid w:val="0"/>
              <w:rPr>
                <w:rFonts w:ascii="Arial" w:hAnsi="Arial" w:cs="Arial"/>
                <w:sz w:val="20"/>
                <w:szCs w:val="20"/>
              </w:rPr>
            </w:pPr>
          </w:p>
        </w:tc>
        <w:tc>
          <w:tcPr>
            <w:tcW w:w="1054" w:type="dxa"/>
            <w:shd w:val="clear" w:color="auto" w:fill="auto"/>
            <w:vAlign w:val="bottom"/>
          </w:tcPr>
          <w:p w:rsidR="00052561" w:rsidRPr="00DE475B" w:rsidRDefault="00052561" w:rsidP="00A056EE">
            <w:pPr>
              <w:snapToGrid w:val="0"/>
              <w:rPr>
                <w:rFonts w:ascii="Arial" w:hAnsi="Arial" w:cs="Arial"/>
                <w:sz w:val="20"/>
                <w:szCs w:val="20"/>
              </w:rPr>
            </w:pPr>
          </w:p>
        </w:tc>
        <w:tc>
          <w:tcPr>
            <w:tcW w:w="1205" w:type="dxa"/>
            <w:shd w:val="clear" w:color="auto" w:fill="auto"/>
            <w:vAlign w:val="bottom"/>
          </w:tcPr>
          <w:p w:rsidR="00052561" w:rsidRPr="00DE475B" w:rsidRDefault="00052561" w:rsidP="00A056EE">
            <w:pPr>
              <w:snapToGrid w:val="0"/>
              <w:rPr>
                <w:rFonts w:ascii="Arial" w:hAnsi="Arial" w:cs="Arial"/>
                <w:sz w:val="20"/>
                <w:szCs w:val="20"/>
              </w:rPr>
            </w:pPr>
          </w:p>
        </w:tc>
        <w:tc>
          <w:tcPr>
            <w:tcW w:w="904" w:type="dxa"/>
            <w:shd w:val="clear" w:color="auto" w:fill="auto"/>
            <w:vAlign w:val="bottom"/>
          </w:tcPr>
          <w:p w:rsidR="00052561" w:rsidRPr="00DE475B" w:rsidRDefault="00052561" w:rsidP="00A056EE">
            <w:pPr>
              <w:snapToGrid w:val="0"/>
              <w:rPr>
                <w:rFonts w:ascii="Arial" w:hAnsi="Arial" w:cs="Arial"/>
                <w:sz w:val="20"/>
                <w:szCs w:val="20"/>
              </w:rPr>
            </w:pPr>
          </w:p>
        </w:tc>
      </w:tr>
      <w:tr w:rsidR="00DC1966" w:rsidRPr="00DE475B" w:rsidTr="00FA3347">
        <w:trPr>
          <w:trHeight w:val="255"/>
        </w:trPr>
        <w:tc>
          <w:tcPr>
            <w:tcW w:w="4572" w:type="dxa"/>
            <w:gridSpan w:val="6"/>
            <w:shd w:val="clear" w:color="auto" w:fill="auto"/>
            <w:vAlign w:val="bottom"/>
          </w:tcPr>
          <w:p w:rsidR="00DC1966" w:rsidRPr="00DE475B" w:rsidRDefault="00DC1966" w:rsidP="00A056EE">
            <w:pPr>
              <w:snapToGrid w:val="0"/>
              <w:rPr>
                <w:rFonts w:ascii="Arial" w:hAnsi="Arial" w:cs="Arial"/>
                <w:sz w:val="20"/>
                <w:szCs w:val="20"/>
              </w:rPr>
            </w:pPr>
            <w:r w:rsidRPr="00DE475B">
              <w:rPr>
                <w:rFonts w:ascii="Arial" w:hAnsi="Arial" w:cs="Arial"/>
                <w:sz w:val="20"/>
                <w:szCs w:val="20"/>
              </w:rPr>
              <w:t>Resources for Independent Libraries</w:t>
            </w:r>
          </w:p>
        </w:tc>
        <w:tc>
          <w:tcPr>
            <w:tcW w:w="1054" w:type="dxa"/>
            <w:shd w:val="clear" w:color="auto" w:fill="auto"/>
            <w:vAlign w:val="center"/>
          </w:tcPr>
          <w:p w:rsidR="00DC1966" w:rsidRPr="00DE475B" w:rsidRDefault="00D05599" w:rsidP="00FA3347">
            <w:pPr>
              <w:jc w:val="right"/>
              <w:rPr>
                <w:rFonts w:ascii="Arial" w:hAnsi="Arial" w:cs="Arial"/>
                <w:sz w:val="20"/>
                <w:szCs w:val="20"/>
              </w:rPr>
            </w:pPr>
            <w:r>
              <w:rPr>
                <w:rFonts w:ascii="Arial" w:hAnsi="Arial" w:cs="Arial"/>
                <w:sz w:val="20"/>
                <w:szCs w:val="20"/>
              </w:rPr>
              <w:t>23,860</w:t>
            </w:r>
          </w:p>
        </w:tc>
        <w:tc>
          <w:tcPr>
            <w:tcW w:w="1054" w:type="dxa"/>
            <w:shd w:val="clear" w:color="auto" w:fill="auto"/>
            <w:vAlign w:val="center"/>
          </w:tcPr>
          <w:p w:rsidR="00DC1966" w:rsidRPr="00DE475B" w:rsidRDefault="00DC1966" w:rsidP="00A2292F">
            <w:pPr>
              <w:jc w:val="right"/>
              <w:rPr>
                <w:rFonts w:ascii="Arial" w:hAnsi="Arial" w:cs="Arial"/>
                <w:sz w:val="20"/>
                <w:szCs w:val="20"/>
              </w:rPr>
            </w:pPr>
            <w:r w:rsidRPr="00DE475B">
              <w:rPr>
                <w:rFonts w:ascii="Arial" w:hAnsi="Arial" w:cs="Arial"/>
                <w:sz w:val="20"/>
                <w:szCs w:val="20"/>
              </w:rPr>
              <w:t xml:space="preserve">23,451 </w:t>
            </w:r>
          </w:p>
        </w:tc>
        <w:tc>
          <w:tcPr>
            <w:tcW w:w="1205" w:type="dxa"/>
            <w:shd w:val="clear" w:color="auto" w:fill="auto"/>
            <w:vAlign w:val="center"/>
          </w:tcPr>
          <w:p w:rsidR="00DC1966" w:rsidRPr="00DE475B" w:rsidRDefault="00D05599" w:rsidP="00A2292F">
            <w:pPr>
              <w:jc w:val="right"/>
              <w:rPr>
                <w:rFonts w:ascii="Arial" w:hAnsi="Arial" w:cs="Arial"/>
                <w:sz w:val="20"/>
                <w:szCs w:val="20"/>
              </w:rPr>
            </w:pPr>
            <w:r>
              <w:rPr>
                <w:rFonts w:ascii="Arial" w:hAnsi="Arial" w:cs="Arial"/>
                <w:sz w:val="20"/>
                <w:szCs w:val="20"/>
              </w:rPr>
              <w:t>23,860</w:t>
            </w:r>
          </w:p>
        </w:tc>
        <w:tc>
          <w:tcPr>
            <w:tcW w:w="904" w:type="dxa"/>
            <w:shd w:val="clear" w:color="auto" w:fill="auto"/>
            <w:vAlign w:val="center"/>
          </w:tcPr>
          <w:p w:rsidR="00DC1966" w:rsidRPr="00DE475B" w:rsidRDefault="00DC1966" w:rsidP="00A2292F">
            <w:pPr>
              <w:jc w:val="right"/>
              <w:rPr>
                <w:rFonts w:ascii="Arial" w:hAnsi="Arial" w:cs="Arial"/>
                <w:sz w:val="20"/>
                <w:szCs w:val="20"/>
              </w:rPr>
            </w:pPr>
            <w:r w:rsidRPr="00DE475B">
              <w:rPr>
                <w:rFonts w:ascii="Arial" w:hAnsi="Arial" w:cs="Arial"/>
                <w:sz w:val="20"/>
                <w:szCs w:val="20"/>
              </w:rPr>
              <w:t xml:space="preserve">23,451 </w:t>
            </w:r>
          </w:p>
        </w:tc>
      </w:tr>
      <w:tr w:rsidR="00DC1966" w:rsidRPr="00DE475B" w:rsidTr="00FA3347">
        <w:trPr>
          <w:trHeight w:val="255"/>
        </w:trPr>
        <w:tc>
          <w:tcPr>
            <w:tcW w:w="4572" w:type="dxa"/>
            <w:gridSpan w:val="6"/>
            <w:shd w:val="clear" w:color="auto" w:fill="auto"/>
            <w:vAlign w:val="bottom"/>
          </w:tcPr>
          <w:p w:rsidR="00DC1966" w:rsidRPr="00DE475B" w:rsidRDefault="00DC1966" w:rsidP="00A056EE">
            <w:pPr>
              <w:snapToGrid w:val="0"/>
              <w:rPr>
                <w:rFonts w:ascii="Arial" w:hAnsi="Arial" w:cs="Arial"/>
                <w:sz w:val="20"/>
                <w:szCs w:val="20"/>
              </w:rPr>
            </w:pPr>
            <w:r w:rsidRPr="00DE475B">
              <w:rPr>
                <w:rFonts w:ascii="Arial" w:hAnsi="Arial" w:cs="Arial"/>
                <w:sz w:val="20"/>
                <w:szCs w:val="20"/>
              </w:rPr>
              <w:t>Queensland Library Foundation subsidy</w:t>
            </w:r>
          </w:p>
        </w:tc>
        <w:tc>
          <w:tcPr>
            <w:tcW w:w="1054" w:type="dxa"/>
            <w:shd w:val="clear" w:color="auto" w:fill="auto"/>
            <w:vAlign w:val="center"/>
          </w:tcPr>
          <w:p w:rsidR="00DC1966" w:rsidRPr="00DE475B" w:rsidRDefault="00D05599" w:rsidP="00FA3347">
            <w:pPr>
              <w:jc w:val="right"/>
              <w:rPr>
                <w:rFonts w:ascii="Arial" w:hAnsi="Arial" w:cs="Arial"/>
                <w:sz w:val="20"/>
                <w:szCs w:val="20"/>
              </w:rPr>
            </w:pPr>
            <w:r>
              <w:rPr>
                <w:rFonts w:ascii="Arial" w:hAnsi="Arial" w:cs="Arial"/>
                <w:sz w:val="20"/>
                <w:szCs w:val="20"/>
              </w:rPr>
              <w:t>-</w:t>
            </w:r>
          </w:p>
        </w:tc>
        <w:tc>
          <w:tcPr>
            <w:tcW w:w="1054" w:type="dxa"/>
            <w:shd w:val="clear" w:color="auto" w:fill="auto"/>
            <w:vAlign w:val="center"/>
          </w:tcPr>
          <w:p w:rsidR="00DC1966" w:rsidRPr="00DE475B" w:rsidRDefault="00DC1966" w:rsidP="00A2292F">
            <w:pPr>
              <w:jc w:val="right"/>
              <w:rPr>
                <w:rFonts w:ascii="Arial" w:hAnsi="Arial" w:cs="Arial"/>
                <w:sz w:val="20"/>
                <w:szCs w:val="20"/>
              </w:rPr>
            </w:pPr>
            <w:r w:rsidRPr="00DE475B">
              <w:rPr>
                <w:rFonts w:ascii="Arial" w:hAnsi="Arial" w:cs="Arial"/>
                <w:sz w:val="20"/>
                <w:szCs w:val="20"/>
              </w:rPr>
              <w:t xml:space="preserve">-  </w:t>
            </w:r>
          </w:p>
        </w:tc>
        <w:tc>
          <w:tcPr>
            <w:tcW w:w="1205" w:type="dxa"/>
            <w:shd w:val="clear" w:color="auto" w:fill="auto"/>
            <w:vAlign w:val="center"/>
          </w:tcPr>
          <w:p w:rsidR="00DC1966" w:rsidRPr="00DE475B" w:rsidRDefault="00D05599" w:rsidP="00A2292F">
            <w:pPr>
              <w:jc w:val="right"/>
              <w:rPr>
                <w:rFonts w:ascii="Arial" w:hAnsi="Arial" w:cs="Arial"/>
                <w:sz w:val="20"/>
                <w:szCs w:val="20"/>
              </w:rPr>
            </w:pPr>
            <w:r>
              <w:rPr>
                <w:rFonts w:ascii="Arial" w:hAnsi="Arial" w:cs="Arial"/>
                <w:sz w:val="20"/>
                <w:szCs w:val="20"/>
              </w:rPr>
              <w:t>250</w:t>
            </w:r>
          </w:p>
        </w:tc>
        <w:tc>
          <w:tcPr>
            <w:tcW w:w="904" w:type="dxa"/>
            <w:shd w:val="clear" w:color="auto" w:fill="auto"/>
            <w:vAlign w:val="center"/>
          </w:tcPr>
          <w:p w:rsidR="00DC1966" w:rsidRPr="00DE475B" w:rsidRDefault="00DC1966" w:rsidP="00A2292F">
            <w:pPr>
              <w:jc w:val="right"/>
              <w:rPr>
                <w:rFonts w:ascii="Arial" w:hAnsi="Arial" w:cs="Arial"/>
                <w:sz w:val="20"/>
                <w:szCs w:val="20"/>
              </w:rPr>
            </w:pPr>
            <w:r w:rsidRPr="00DE475B">
              <w:rPr>
                <w:rFonts w:ascii="Arial" w:hAnsi="Arial" w:cs="Arial"/>
                <w:sz w:val="20"/>
                <w:szCs w:val="20"/>
              </w:rPr>
              <w:t xml:space="preserve">250 </w:t>
            </w:r>
          </w:p>
        </w:tc>
      </w:tr>
      <w:tr w:rsidR="00DC1966" w:rsidRPr="00DE475B" w:rsidTr="00FA3347">
        <w:trPr>
          <w:trHeight w:val="255"/>
        </w:trPr>
        <w:tc>
          <w:tcPr>
            <w:tcW w:w="4572" w:type="dxa"/>
            <w:gridSpan w:val="6"/>
            <w:shd w:val="clear" w:color="auto" w:fill="auto"/>
            <w:vAlign w:val="bottom"/>
          </w:tcPr>
          <w:p w:rsidR="00DC1966" w:rsidRPr="00DE475B" w:rsidRDefault="00DC1966" w:rsidP="00A056EE">
            <w:pPr>
              <w:snapToGrid w:val="0"/>
              <w:rPr>
                <w:rFonts w:ascii="Arial" w:hAnsi="Arial" w:cs="Arial"/>
                <w:sz w:val="20"/>
                <w:szCs w:val="20"/>
              </w:rPr>
            </w:pPr>
            <w:r w:rsidRPr="00DE475B">
              <w:rPr>
                <w:rFonts w:ascii="Arial" w:hAnsi="Arial" w:cs="Arial"/>
                <w:sz w:val="20"/>
                <w:szCs w:val="20"/>
              </w:rPr>
              <w:t>Regional Libraries Queensland equipment</w:t>
            </w:r>
          </w:p>
        </w:tc>
        <w:tc>
          <w:tcPr>
            <w:tcW w:w="1054" w:type="dxa"/>
            <w:shd w:val="clear" w:color="auto" w:fill="auto"/>
            <w:vAlign w:val="center"/>
          </w:tcPr>
          <w:p w:rsidR="00DC1966" w:rsidRPr="00DE475B" w:rsidRDefault="00D05599" w:rsidP="00FA3347">
            <w:pPr>
              <w:jc w:val="right"/>
              <w:rPr>
                <w:rFonts w:ascii="Arial" w:hAnsi="Arial" w:cs="Arial"/>
                <w:sz w:val="20"/>
                <w:szCs w:val="20"/>
              </w:rPr>
            </w:pPr>
            <w:r>
              <w:rPr>
                <w:rFonts w:ascii="Arial" w:hAnsi="Arial" w:cs="Arial"/>
                <w:sz w:val="20"/>
                <w:szCs w:val="20"/>
              </w:rPr>
              <w:t>44</w:t>
            </w:r>
          </w:p>
        </w:tc>
        <w:tc>
          <w:tcPr>
            <w:tcW w:w="1054" w:type="dxa"/>
            <w:shd w:val="clear" w:color="auto" w:fill="auto"/>
            <w:vAlign w:val="center"/>
          </w:tcPr>
          <w:p w:rsidR="00DC1966" w:rsidRPr="00DE475B" w:rsidRDefault="00DC1966" w:rsidP="00A2292F">
            <w:pPr>
              <w:jc w:val="right"/>
              <w:rPr>
                <w:rFonts w:ascii="Arial" w:hAnsi="Arial" w:cs="Arial"/>
                <w:sz w:val="20"/>
                <w:szCs w:val="20"/>
              </w:rPr>
            </w:pPr>
            <w:r w:rsidRPr="00DE475B">
              <w:rPr>
                <w:rFonts w:ascii="Arial" w:hAnsi="Arial" w:cs="Arial"/>
                <w:sz w:val="20"/>
                <w:szCs w:val="20"/>
              </w:rPr>
              <w:t xml:space="preserve">40 </w:t>
            </w:r>
          </w:p>
        </w:tc>
        <w:tc>
          <w:tcPr>
            <w:tcW w:w="1205" w:type="dxa"/>
            <w:shd w:val="clear" w:color="auto" w:fill="auto"/>
            <w:vAlign w:val="center"/>
          </w:tcPr>
          <w:p w:rsidR="00DC1966" w:rsidRPr="00DE475B" w:rsidRDefault="00D05599" w:rsidP="00A2292F">
            <w:pPr>
              <w:jc w:val="right"/>
              <w:rPr>
                <w:rFonts w:ascii="Arial" w:hAnsi="Arial" w:cs="Arial"/>
                <w:sz w:val="20"/>
                <w:szCs w:val="20"/>
              </w:rPr>
            </w:pPr>
            <w:r>
              <w:rPr>
                <w:rFonts w:ascii="Arial" w:hAnsi="Arial" w:cs="Arial"/>
                <w:sz w:val="20"/>
                <w:szCs w:val="20"/>
              </w:rPr>
              <w:t>44</w:t>
            </w:r>
          </w:p>
        </w:tc>
        <w:tc>
          <w:tcPr>
            <w:tcW w:w="904" w:type="dxa"/>
            <w:shd w:val="clear" w:color="auto" w:fill="auto"/>
            <w:vAlign w:val="center"/>
          </w:tcPr>
          <w:p w:rsidR="00DC1966" w:rsidRPr="00DE475B" w:rsidRDefault="00DC1966" w:rsidP="00A2292F">
            <w:pPr>
              <w:jc w:val="right"/>
              <w:rPr>
                <w:rFonts w:ascii="Arial" w:hAnsi="Arial" w:cs="Arial"/>
                <w:sz w:val="20"/>
                <w:szCs w:val="20"/>
              </w:rPr>
            </w:pPr>
            <w:r w:rsidRPr="00DE475B">
              <w:rPr>
                <w:rFonts w:ascii="Arial" w:hAnsi="Arial" w:cs="Arial"/>
                <w:sz w:val="20"/>
                <w:szCs w:val="20"/>
              </w:rPr>
              <w:t xml:space="preserve">40 </w:t>
            </w:r>
          </w:p>
        </w:tc>
      </w:tr>
      <w:tr w:rsidR="00DC1966" w:rsidRPr="00DE475B" w:rsidTr="00FA3347">
        <w:trPr>
          <w:trHeight w:val="255"/>
        </w:trPr>
        <w:tc>
          <w:tcPr>
            <w:tcW w:w="4572" w:type="dxa"/>
            <w:gridSpan w:val="6"/>
            <w:shd w:val="clear" w:color="auto" w:fill="auto"/>
            <w:vAlign w:val="bottom"/>
          </w:tcPr>
          <w:p w:rsidR="00DC1966" w:rsidRPr="00DE475B" w:rsidRDefault="00DC1966" w:rsidP="00A056EE">
            <w:pPr>
              <w:rPr>
                <w:rFonts w:ascii="Arial" w:hAnsi="Arial" w:cs="Arial"/>
                <w:sz w:val="20"/>
                <w:szCs w:val="20"/>
              </w:rPr>
            </w:pPr>
            <w:r w:rsidRPr="00DE475B">
              <w:rPr>
                <w:rFonts w:ascii="Arial" w:hAnsi="Arial" w:cs="Arial"/>
                <w:spacing w:val="-2"/>
                <w:sz w:val="20"/>
                <w:szCs w:val="20"/>
              </w:rPr>
              <w:t>Grants and subsidies paid to public libraries</w:t>
            </w:r>
          </w:p>
        </w:tc>
        <w:tc>
          <w:tcPr>
            <w:tcW w:w="1054" w:type="dxa"/>
            <w:shd w:val="clear" w:color="auto" w:fill="auto"/>
            <w:vAlign w:val="center"/>
          </w:tcPr>
          <w:p w:rsidR="00DC1966" w:rsidRPr="00DE475B" w:rsidRDefault="00D05599" w:rsidP="00FA3347">
            <w:pPr>
              <w:jc w:val="right"/>
              <w:rPr>
                <w:rFonts w:ascii="Arial" w:hAnsi="Arial" w:cs="Arial"/>
                <w:sz w:val="20"/>
                <w:szCs w:val="20"/>
              </w:rPr>
            </w:pPr>
            <w:r>
              <w:rPr>
                <w:rFonts w:ascii="Arial" w:hAnsi="Arial" w:cs="Arial"/>
                <w:sz w:val="20"/>
                <w:szCs w:val="20"/>
              </w:rPr>
              <w:t>1,113</w:t>
            </w:r>
          </w:p>
        </w:tc>
        <w:tc>
          <w:tcPr>
            <w:tcW w:w="1054" w:type="dxa"/>
            <w:shd w:val="clear" w:color="auto" w:fill="auto"/>
            <w:vAlign w:val="center"/>
          </w:tcPr>
          <w:p w:rsidR="00DC1966" w:rsidRPr="00DE475B" w:rsidRDefault="00DC1966" w:rsidP="00A2292F">
            <w:pPr>
              <w:jc w:val="right"/>
              <w:rPr>
                <w:rFonts w:ascii="Arial" w:hAnsi="Arial" w:cs="Arial"/>
                <w:sz w:val="20"/>
                <w:szCs w:val="20"/>
              </w:rPr>
            </w:pPr>
            <w:r w:rsidRPr="00DE475B">
              <w:rPr>
                <w:rFonts w:ascii="Arial" w:hAnsi="Arial" w:cs="Arial"/>
                <w:sz w:val="20"/>
                <w:szCs w:val="20"/>
              </w:rPr>
              <w:t xml:space="preserve">1,359 </w:t>
            </w:r>
          </w:p>
        </w:tc>
        <w:tc>
          <w:tcPr>
            <w:tcW w:w="1205" w:type="dxa"/>
            <w:shd w:val="clear" w:color="auto" w:fill="auto"/>
            <w:vAlign w:val="center"/>
          </w:tcPr>
          <w:p w:rsidR="00DC1966" w:rsidRPr="00DE475B" w:rsidRDefault="00D05599" w:rsidP="00A2292F">
            <w:pPr>
              <w:jc w:val="right"/>
              <w:rPr>
                <w:rFonts w:ascii="Arial" w:hAnsi="Arial" w:cs="Arial"/>
                <w:sz w:val="20"/>
                <w:szCs w:val="20"/>
              </w:rPr>
            </w:pPr>
            <w:r>
              <w:rPr>
                <w:rFonts w:ascii="Arial" w:hAnsi="Arial" w:cs="Arial"/>
                <w:sz w:val="20"/>
                <w:szCs w:val="20"/>
              </w:rPr>
              <w:t>1,113</w:t>
            </w:r>
          </w:p>
        </w:tc>
        <w:tc>
          <w:tcPr>
            <w:tcW w:w="904" w:type="dxa"/>
            <w:shd w:val="clear" w:color="auto" w:fill="auto"/>
            <w:vAlign w:val="center"/>
          </w:tcPr>
          <w:p w:rsidR="00DC1966" w:rsidRPr="00DE475B" w:rsidRDefault="00DC1966" w:rsidP="00A2292F">
            <w:pPr>
              <w:jc w:val="right"/>
              <w:rPr>
                <w:rFonts w:ascii="Arial" w:hAnsi="Arial" w:cs="Arial"/>
                <w:sz w:val="20"/>
                <w:szCs w:val="20"/>
              </w:rPr>
            </w:pPr>
            <w:r w:rsidRPr="00DE475B">
              <w:rPr>
                <w:rFonts w:ascii="Arial" w:hAnsi="Arial" w:cs="Arial"/>
                <w:sz w:val="20"/>
                <w:szCs w:val="20"/>
              </w:rPr>
              <w:t xml:space="preserve">1,359 </w:t>
            </w:r>
          </w:p>
        </w:tc>
      </w:tr>
      <w:tr w:rsidR="00DC1966" w:rsidRPr="00DE475B" w:rsidTr="00E445DC">
        <w:trPr>
          <w:trHeight w:val="139"/>
        </w:trPr>
        <w:tc>
          <w:tcPr>
            <w:tcW w:w="441" w:type="dxa"/>
            <w:shd w:val="clear" w:color="auto" w:fill="auto"/>
            <w:vAlign w:val="bottom"/>
          </w:tcPr>
          <w:p w:rsidR="00DC1966" w:rsidRPr="00DE475B" w:rsidRDefault="00DC1966" w:rsidP="00A056EE">
            <w:pPr>
              <w:snapToGrid w:val="0"/>
              <w:rPr>
                <w:rFonts w:ascii="Arial" w:hAnsi="Arial" w:cs="Arial"/>
                <w:sz w:val="20"/>
                <w:szCs w:val="20"/>
              </w:rPr>
            </w:pPr>
          </w:p>
        </w:tc>
        <w:tc>
          <w:tcPr>
            <w:tcW w:w="1037" w:type="dxa"/>
            <w:shd w:val="clear" w:color="auto" w:fill="auto"/>
            <w:vAlign w:val="bottom"/>
          </w:tcPr>
          <w:p w:rsidR="00DC1966" w:rsidRPr="00DE475B" w:rsidRDefault="00DC1966" w:rsidP="00A056EE">
            <w:pPr>
              <w:snapToGrid w:val="0"/>
              <w:rPr>
                <w:rFonts w:ascii="Arial" w:hAnsi="Arial" w:cs="Arial"/>
                <w:sz w:val="20"/>
                <w:szCs w:val="20"/>
              </w:rPr>
            </w:pPr>
          </w:p>
        </w:tc>
        <w:tc>
          <w:tcPr>
            <w:tcW w:w="1037" w:type="dxa"/>
            <w:shd w:val="clear" w:color="auto" w:fill="auto"/>
            <w:vAlign w:val="bottom"/>
          </w:tcPr>
          <w:p w:rsidR="00DC1966" w:rsidRPr="00DE475B" w:rsidRDefault="00DC1966" w:rsidP="00A056EE">
            <w:pPr>
              <w:snapToGrid w:val="0"/>
              <w:rPr>
                <w:rFonts w:ascii="Arial" w:hAnsi="Arial" w:cs="Arial"/>
                <w:sz w:val="20"/>
                <w:szCs w:val="20"/>
              </w:rPr>
            </w:pPr>
          </w:p>
        </w:tc>
        <w:tc>
          <w:tcPr>
            <w:tcW w:w="994" w:type="dxa"/>
            <w:shd w:val="clear" w:color="auto" w:fill="auto"/>
            <w:vAlign w:val="bottom"/>
          </w:tcPr>
          <w:p w:rsidR="00DC1966" w:rsidRPr="00DE475B" w:rsidRDefault="00DC1966" w:rsidP="00A056EE">
            <w:pPr>
              <w:snapToGrid w:val="0"/>
              <w:rPr>
                <w:rFonts w:ascii="Arial" w:hAnsi="Arial" w:cs="Arial"/>
                <w:sz w:val="20"/>
                <w:szCs w:val="20"/>
              </w:rPr>
            </w:pPr>
          </w:p>
        </w:tc>
        <w:tc>
          <w:tcPr>
            <w:tcW w:w="611" w:type="dxa"/>
            <w:shd w:val="clear" w:color="auto" w:fill="auto"/>
            <w:vAlign w:val="bottom"/>
          </w:tcPr>
          <w:p w:rsidR="00DC1966" w:rsidRPr="00DE475B" w:rsidRDefault="00DC1966" w:rsidP="00A056EE">
            <w:pPr>
              <w:snapToGrid w:val="0"/>
              <w:rPr>
                <w:rFonts w:ascii="Arial" w:hAnsi="Arial" w:cs="Arial"/>
                <w:sz w:val="20"/>
                <w:szCs w:val="20"/>
              </w:rPr>
            </w:pPr>
          </w:p>
        </w:tc>
        <w:tc>
          <w:tcPr>
            <w:tcW w:w="452" w:type="dxa"/>
            <w:shd w:val="clear" w:color="auto" w:fill="auto"/>
            <w:vAlign w:val="bottom"/>
          </w:tcPr>
          <w:p w:rsidR="00DC1966" w:rsidRPr="00DE475B" w:rsidRDefault="00DC1966" w:rsidP="00A056EE">
            <w:pPr>
              <w:snapToGrid w:val="0"/>
              <w:rPr>
                <w:rFonts w:ascii="Arial" w:hAnsi="Arial" w:cs="Arial"/>
                <w:sz w:val="20"/>
                <w:szCs w:val="20"/>
              </w:rPr>
            </w:pPr>
          </w:p>
        </w:tc>
        <w:tc>
          <w:tcPr>
            <w:tcW w:w="1054" w:type="dxa"/>
            <w:tcBorders>
              <w:bottom w:val="single" w:sz="8" w:space="0" w:color="000000"/>
            </w:tcBorders>
            <w:shd w:val="clear" w:color="auto" w:fill="auto"/>
            <w:vAlign w:val="center"/>
          </w:tcPr>
          <w:p w:rsidR="00DC1966" w:rsidRPr="00DE475B" w:rsidRDefault="00DC1966" w:rsidP="00FA3347">
            <w:pPr>
              <w:jc w:val="right"/>
              <w:rPr>
                <w:rFonts w:ascii="Arial" w:hAnsi="Arial" w:cs="Arial"/>
                <w:sz w:val="20"/>
                <w:szCs w:val="20"/>
              </w:rPr>
            </w:pPr>
            <w:r w:rsidRPr="00DE475B">
              <w:rPr>
                <w:rFonts w:ascii="Arial" w:hAnsi="Arial" w:cs="Arial"/>
                <w:sz w:val="20"/>
                <w:szCs w:val="20"/>
              </w:rPr>
              <w:t> </w:t>
            </w:r>
          </w:p>
        </w:tc>
        <w:tc>
          <w:tcPr>
            <w:tcW w:w="1054" w:type="dxa"/>
            <w:tcBorders>
              <w:bottom w:val="single" w:sz="8" w:space="0" w:color="000000"/>
            </w:tcBorders>
            <w:shd w:val="clear" w:color="auto" w:fill="auto"/>
            <w:vAlign w:val="center"/>
          </w:tcPr>
          <w:p w:rsidR="00DC1966" w:rsidRPr="00DE475B" w:rsidRDefault="00DC1966" w:rsidP="00FA3347">
            <w:pPr>
              <w:jc w:val="right"/>
              <w:rPr>
                <w:rFonts w:ascii="Arial" w:hAnsi="Arial" w:cs="Arial"/>
                <w:sz w:val="20"/>
                <w:szCs w:val="20"/>
              </w:rPr>
            </w:pPr>
          </w:p>
        </w:tc>
        <w:tc>
          <w:tcPr>
            <w:tcW w:w="1205" w:type="dxa"/>
            <w:tcBorders>
              <w:bottom w:val="single" w:sz="8" w:space="0" w:color="000000"/>
            </w:tcBorders>
            <w:shd w:val="clear" w:color="auto" w:fill="auto"/>
            <w:vAlign w:val="center"/>
          </w:tcPr>
          <w:p w:rsidR="00DC1966" w:rsidRPr="00DE475B" w:rsidRDefault="00DC1966" w:rsidP="00FA3347">
            <w:pPr>
              <w:jc w:val="right"/>
              <w:rPr>
                <w:rFonts w:ascii="Arial" w:hAnsi="Arial" w:cs="Arial"/>
                <w:sz w:val="20"/>
                <w:szCs w:val="20"/>
              </w:rPr>
            </w:pPr>
            <w:r w:rsidRPr="00DE475B">
              <w:rPr>
                <w:rFonts w:ascii="Arial" w:hAnsi="Arial" w:cs="Arial"/>
                <w:sz w:val="20"/>
                <w:szCs w:val="20"/>
              </w:rPr>
              <w:t> </w:t>
            </w:r>
          </w:p>
        </w:tc>
        <w:tc>
          <w:tcPr>
            <w:tcW w:w="904" w:type="dxa"/>
            <w:tcBorders>
              <w:bottom w:val="single" w:sz="8" w:space="0" w:color="000000"/>
            </w:tcBorders>
            <w:shd w:val="clear" w:color="auto" w:fill="auto"/>
            <w:vAlign w:val="center"/>
          </w:tcPr>
          <w:p w:rsidR="00DC1966" w:rsidRPr="00DE475B" w:rsidRDefault="00DC1966" w:rsidP="00FA3347">
            <w:pPr>
              <w:jc w:val="right"/>
              <w:rPr>
                <w:rFonts w:ascii="Arial" w:hAnsi="Arial" w:cs="Arial"/>
                <w:b/>
                <w:bCs/>
                <w:sz w:val="20"/>
                <w:szCs w:val="20"/>
              </w:rPr>
            </w:pPr>
          </w:p>
        </w:tc>
      </w:tr>
      <w:tr w:rsidR="00DC1966" w:rsidRPr="00DE475B" w:rsidTr="00CF2F3D">
        <w:trPr>
          <w:trHeight w:val="321"/>
        </w:trPr>
        <w:tc>
          <w:tcPr>
            <w:tcW w:w="1478" w:type="dxa"/>
            <w:gridSpan w:val="2"/>
            <w:shd w:val="clear" w:color="auto" w:fill="auto"/>
            <w:vAlign w:val="bottom"/>
          </w:tcPr>
          <w:p w:rsidR="00DC1966" w:rsidRPr="00DE475B" w:rsidRDefault="00DC1966" w:rsidP="00A056EE">
            <w:pPr>
              <w:rPr>
                <w:rFonts w:ascii="Arial" w:hAnsi="Arial" w:cs="Arial"/>
                <w:sz w:val="20"/>
                <w:szCs w:val="20"/>
              </w:rPr>
            </w:pPr>
            <w:r w:rsidRPr="00DE475B">
              <w:rPr>
                <w:rFonts w:ascii="Arial" w:hAnsi="Arial" w:cs="Arial"/>
                <w:b/>
                <w:bCs/>
                <w:sz w:val="20"/>
                <w:szCs w:val="20"/>
              </w:rPr>
              <w:t>Total</w:t>
            </w:r>
          </w:p>
        </w:tc>
        <w:tc>
          <w:tcPr>
            <w:tcW w:w="1037" w:type="dxa"/>
            <w:shd w:val="clear" w:color="auto" w:fill="auto"/>
            <w:vAlign w:val="bottom"/>
          </w:tcPr>
          <w:p w:rsidR="00DC1966" w:rsidRPr="00DE475B" w:rsidRDefault="00DC1966" w:rsidP="00A056EE">
            <w:pPr>
              <w:snapToGrid w:val="0"/>
              <w:rPr>
                <w:rFonts w:ascii="Arial" w:hAnsi="Arial" w:cs="Arial"/>
                <w:sz w:val="20"/>
                <w:szCs w:val="20"/>
              </w:rPr>
            </w:pPr>
          </w:p>
        </w:tc>
        <w:tc>
          <w:tcPr>
            <w:tcW w:w="994" w:type="dxa"/>
            <w:shd w:val="clear" w:color="auto" w:fill="auto"/>
            <w:vAlign w:val="bottom"/>
          </w:tcPr>
          <w:p w:rsidR="00DC1966" w:rsidRPr="00DE475B" w:rsidRDefault="00DC1966" w:rsidP="00A056EE">
            <w:pPr>
              <w:snapToGrid w:val="0"/>
              <w:rPr>
                <w:rFonts w:ascii="Arial" w:hAnsi="Arial" w:cs="Arial"/>
                <w:sz w:val="20"/>
                <w:szCs w:val="20"/>
              </w:rPr>
            </w:pPr>
          </w:p>
        </w:tc>
        <w:tc>
          <w:tcPr>
            <w:tcW w:w="611" w:type="dxa"/>
            <w:shd w:val="clear" w:color="auto" w:fill="auto"/>
            <w:vAlign w:val="bottom"/>
          </w:tcPr>
          <w:p w:rsidR="00DC1966" w:rsidRPr="00DE475B" w:rsidRDefault="00DC1966" w:rsidP="00A056EE">
            <w:pPr>
              <w:snapToGrid w:val="0"/>
              <w:rPr>
                <w:rFonts w:ascii="Arial" w:hAnsi="Arial" w:cs="Arial"/>
                <w:sz w:val="20"/>
                <w:szCs w:val="20"/>
              </w:rPr>
            </w:pPr>
          </w:p>
        </w:tc>
        <w:tc>
          <w:tcPr>
            <w:tcW w:w="452" w:type="dxa"/>
            <w:shd w:val="clear" w:color="auto" w:fill="auto"/>
            <w:vAlign w:val="bottom"/>
          </w:tcPr>
          <w:p w:rsidR="00DC1966" w:rsidRPr="00DE475B" w:rsidRDefault="00DC1966" w:rsidP="00A056EE">
            <w:pPr>
              <w:snapToGrid w:val="0"/>
              <w:rPr>
                <w:rFonts w:ascii="Arial" w:hAnsi="Arial" w:cs="Arial"/>
                <w:sz w:val="20"/>
                <w:szCs w:val="20"/>
              </w:rPr>
            </w:pPr>
          </w:p>
        </w:tc>
        <w:tc>
          <w:tcPr>
            <w:tcW w:w="1054" w:type="dxa"/>
            <w:tcBorders>
              <w:top w:val="single" w:sz="8" w:space="0" w:color="000000"/>
              <w:bottom w:val="single" w:sz="12" w:space="0" w:color="000000"/>
            </w:tcBorders>
            <w:shd w:val="clear" w:color="auto" w:fill="auto"/>
            <w:vAlign w:val="center"/>
          </w:tcPr>
          <w:p w:rsidR="00DC1966" w:rsidRPr="00DE475B" w:rsidRDefault="00D05599" w:rsidP="00FA3347">
            <w:pPr>
              <w:jc w:val="right"/>
              <w:rPr>
                <w:rFonts w:ascii="Arial" w:hAnsi="Arial" w:cs="Arial"/>
                <w:sz w:val="20"/>
                <w:szCs w:val="20"/>
              </w:rPr>
            </w:pPr>
            <w:r>
              <w:rPr>
                <w:rFonts w:ascii="Arial" w:hAnsi="Arial" w:cs="Arial"/>
                <w:sz w:val="20"/>
                <w:szCs w:val="20"/>
              </w:rPr>
              <w:t>25,017</w:t>
            </w:r>
          </w:p>
        </w:tc>
        <w:tc>
          <w:tcPr>
            <w:tcW w:w="1054" w:type="dxa"/>
            <w:tcBorders>
              <w:top w:val="single" w:sz="8" w:space="0" w:color="000000"/>
              <w:bottom w:val="single" w:sz="12" w:space="0" w:color="000000"/>
            </w:tcBorders>
            <w:shd w:val="clear" w:color="auto" w:fill="auto"/>
            <w:vAlign w:val="center"/>
          </w:tcPr>
          <w:p w:rsidR="00DC1966" w:rsidRPr="00DE475B" w:rsidRDefault="00DC1966" w:rsidP="00A2292F">
            <w:pPr>
              <w:jc w:val="right"/>
              <w:rPr>
                <w:rFonts w:ascii="Arial" w:hAnsi="Arial" w:cs="Arial"/>
                <w:sz w:val="20"/>
                <w:szCs w:val="20"/>
              </w:rPr>
            </w:pPr>
            <w:r w:rsidRPr="00DE475B">
              <w:rPr>
                <w:rFonts w:ascii="Arial" w:hAnsi="Arial" w:cs="Arial"/>
                <w:sz w:val="20"/>
                <w:szCs w:val="20"/>
              </w:rPr>
              <w:t>24,850</w:t>
            </w:r>
          </w:p>
        </w:tc>
        <w:tc>
          <w:tcPr>
            <w:tcW w:w="1205" w:type="dxa"/>
            <w:tcBorders>
              <w:top w:val="single" w:sz="8" w:space="0" w:color="000000"/>
              <w:bottom w:val="single" w:sz="12" w:space="0" w:color="000000"/>
            </w:tcBorders>
            <w:shd w:val="clear" w:color="auto" w:fill="auto"/>
            <w:vAlign w:val="center"/>
          </w:tcPr>
          <w:p w:rsidR="00DC1966" w:rsidRPr="00DE475B" w:rsidRDefault="00D05599" w:rsidP="00A2292F">
            <w:pPr>
              <w:jc w:val="right"/>
              <w:rPr>
                <w:rFonts w:ascii="Arial" w:hAnsi="Arial" w:cs="Arial"/>
                <w:sz w:val="20"/>
                <w:szCs w:val="20"/>
              </w:rPr>
            </w:pPr>
            <w:r>
              <w:rPr>
                <w:rFonts w:ascii="Arial" w:hAnsi="Arial" w:cs="Arial"/>
                <w:sz w:val="20"/>
                <w:szCs w:val="20"/>
              </w:rPr>
              <w:t>25,267</w:t>
            </w:r>
          </w:p>
        </w:tc>
        <w:tc>
          <w:tcPr>
            <w:tcW w:w="904" w:type="dxa"/>
            <w:tcBorders>
              <w:top w:val="single" w:sz="8" w:space="0" w:color="000000"/>
              <w:bottom w:val="single" w:sz="12" w:space="0" w:color="000000"/>
            </w:tcBorders>
            <w:shd w:val="clear" w:color="auto" w:fill="auto"/>
            <w:vAlign w:val="center"/>
          </w:tcPr>
          <w:p w:rsidR="00DC1966" w:rsidRPr="00DE475B" w:rsidRDefault="00DC1966" w:rsidP="00A2292F">
            <w:pPr>
              <w:jc w:val="right"/>
              <w:rPr>
                <w:rFonts w:ascii="Arial" w:hAnsi="Arial" w:cs="Arial"/>
                <w:sz w:val="20"/>
                <w:szCs w:val="20"/>
              </w:rPr>
            </w:pPr>
            <w:r w:rsidRPr="00DE475B">
              <w:rPr>
                <w:rFonts w:ascii="Arial" w:hAnsi="Arial" w:cs="Arial"/>
                <w:sz w:val="20"/>
                <w:szCs w:val="20"/>
              </w:rPr>
              <w:t xml:space="preserve">25,100 </w:t>
            </w:r>
          </w:p>
        </w:tc>
      </w:tr>
    </w:tbl>
    <w:p w:rsidR="00CD5FA4" w:rsidRDefault="00CD5FA4" w:rsidP="00D943B6">
      <w:pPr>
        <w:tabs>
          <w:tab w:val="left" w:pos="284"/>
          <w:tab w:val="left" w:pos="5878"/>
          <w:tab w:val="left" w:pos="8548"/>
          <w:tab w:val="left" w:pos="8770"/>
          <w:tab w:val="left" w:pos="10266"/>
          <w:tab w:val="left" w:pos="11702"/>
        </w:tabs>
        <w:rPr>
          <w:rFonts w:ascii="Arial" w:hAnsi="Arial" w:cs="Arial"/>
          <w:b/>
          <w:bCs/>
          <w:sz w:val="20"/>
          <w:szCs w:val="20"/>
        </w:rPr>
      </w:pPr>
    </w:p>
    <w:p w:rsidR="0040492F" w:rsidRPr="00DE475B" w:rsidRDefault="0040492F" w:rsidP="00D943B6">
      <w:pPr>
        <w:tabs>
          <w:tab w:val="left" w:pos="284"/>
          <w:tab w:val="left" w:pos="5878"/>
          <w:tab w:val="left" w:pos="8548"/>
          <w:tab w:val="left" w:pos="8770"/>
          <w:tab w:val="left" w:pos="10266"/>
          <w:tab w:val="left" w:pos="11702"/>
        </w:tabs>
        <w:rPr>
          <w:rFonts w:ascii="Arial" w:hAnsi="Arial" w:cs="Arial"/>
          <w:b/>
          <w:bCs/>
          <w:sz w:val="20"/>
          <w:szCs w:val="20"/>
        </w:rPr>
        <w:sectPr w:rsidR="0040492F" w:rsidRPr="00DE475B" w:rsidSect="00B53922">
          <w:type w:val="continuous"/>
          <w:pgSz w:w="11906" w:h="16838"/>
          <w:pgMar w:top="1440" w:right="1701" w:bottom="1440" w:left="1701" w:header="680" w:footer="680" w:gutter="0"/>
          <w:cols w:space="720"/>
          <w:docGrid w:linePitch="360"/>
        </w:sectPr>
      </w:pPr>
    </w:p>
    <w:p w:rsidR="00D943B6" w:rsidRPr="00DE475B" w:rsidRDefault="00D943B6" w:rsidP="0040492F">
      <w:pPr>
        <w:tabs>
          <w:tab w:val="left" w:pos="284"/>
          <w:tab w:val="left" w:pos="5878"/>
          <w:tab w:val="left" w:pos="8548"/>
          <w:tab w:val="left" w:pos="8770"/>
          <w:tab w:val="left" w:pos="10266"/>
          <w:tab w:val="left" w:pos="11702"/>
        </w:tabs>
        <w:spacing w:after="120"/>
        <w:rPr>
          <w:rFonts w:ascii="Arial" w:hAnsi="Arial" w:cs="Arial"/>
          <w:b/>
          <w:bCs/>
          <w:sz w:val="20"/>
          <w:szCs w:val="20"/>
        </w:rPr>
      </w:pPr>
      <w:r w:rsidRPr="00DE475B">
        <w:rPr>
          <w:rFonts w:ascii="Arial" w:hAnsi="Arial" w:cs="Arial"/>
          <w:b/>
          <w:bCs/>
          <w:sz w:val="20"/>
          <w:szCs w:val="20"/>
        </w:rPr>
        <w:lastRenderedPageBreak/>
        <w:t xml:space="preserve">B2-4 </w:t>
      </w:r>
      <w:proofErr w:type="gramStart"/>
      <w:r w:rsidRPr="00DE475B">
        <w:rPr>
          <w:rFonts w:ascii="Arial" w:hAnsi="Arial" w:cs="Arial"/>
          <w:b/>
          <w:bCs/>
          <w:sz w:val="20"/>
          <w:szCs w:val="20"/>
        </w:rPr>
        <w:t>Other</w:t>
      </w:r>
      <w:proofErr w:type="gramEnd"/>
      <w:r w:rsidRPr="00DE475B">
        <w:rPr>
          <w:rFonts w:ascii="Arial" w:hAnsi="Arial" w:cs="Arial"/>
          <w:b/>
          <w:bCs/>
          <w:sz w:val="20"/>
          <w:szCs w:val="20"/>
        </w:rPr>
        <w:t xml:space="preserve"> expenses</w:t>
      </w:r>
    </w:p>
    <w:tbl>
      <w:tblPr>
        <w:tblW w:w="8794" w:type="dxa"/>
        <w:tblInd w:w="108" w:type="dxa"/>
        <w:tblLayout w:type="fixed"/>
        <w:tblLook w:val="0000" w:firstRow="0" w:lastRow="0" w:firstColumn="0" w:lastColumn="0" w:noHBand="0" w:noVBand="0"/>
      </w:tblPr>
      <w:tblGrid>
        <w:gridCol w:w="426"/>
        <w:gridCol w:w="381"/>
        <w:gridCol w:w="753"/>
        <w:gridCol w:w="1054"/>
        <w:gridCol w:w="602"/>
        <w:gridCol w:w="1356"/>
        <w:gridCol w:w="1084"/>
        <w:gridCol w:w="1024"/>
        <w:gridCol w:w="1205"/>
        <w:gridCol w:w="909"/>
      </w:tblGrid>
      <w:tr w:rsidR="0040492F" w:rsidRPr="00DE475B" w:rsidTr="00487B9D">
        <w:trPr>
          <w:trHeight w:val="300"/>
        </w:trPr>
        <w:tc>
          <w:tcPr>
            <w:tcW w:w="4572" w:type="dxa"/>
            <w:gridSpan w:val="6"/>
            <w:shd w:val="clear" w:color="auto" w:fill="auto"/>
            <w:vAlign w:val="center"/>
          </w:tcPr>
          <w:p w:rsidR="0040492F" w:rsidRPr="00DE475B" w:rsidRDefault="0040492F" w:rsidP="00FB3766">
            <w:pPr>
              <w:rPr>
                <w:rFonts w:ascii="Arial" w:hAnsi="Arial" w:cs="Arial"/>
                <w:sz w:val="20"/>
                <w:szCs w:val="20"/>
              </w:rPr>
            </w:pPr>
            <w:r w:rsidRPr="00DE475B">
              <w:rPr>
                <w:rFonts w:ascii="Arial" w:hAnsi="Arial" w:cs="Arial"/>
                <w:sz w:val="20"/>
                <w:szCs w:val="20"/>
              </w:rPr>
              <w:t>External audit fees</w:t>
            </w:r>
          </w:p>
        </w:tc>
        <w:tc>
          <w:tcPr>
            <w:tcW w:w="1084" w:type="dxa"/>
            <w:shd w:val="clear" w:color="auto" w:fill="auto"/>
            <w:vAlign w:val="center"/>
          </w:tcPr>
          <w:p w:rsidR="0040492F" w:rsidRPr="00DE475B" w:rsidRDefault="00D05599" w:rsidP="00487B9D">
            <w:pPr>
              <w:jc w:val="right"/>
              <w:rPr>
                <w:rFonts w:ascii="Arial" w:hAnsi="Arial" w:cs="Arial"/>
                <w:sz w:val="20"/>
                <w:szCs w:val="20"/>
              </w:rPr>
            </w:pPr>
            <w:r>
              <w:rPr>
                <w:rFonts w:ascii="Arial" w:hAnsi="Arial" w:cs="Arial"/>
                <w:sz w:val="20"/>
                <w:szCs w:val="20"/>
              </w:rPr>
              <w:t>47</w:t>
            </w:r>
          </w:p>
        </w:tc>
        <w:tc>
          <w:tcPr>
            <w:tcW w:w="1024" w:type="dxa"/>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 xml:space="preserve">47 </w:t>
            </w:r>
          </w:p>
        </w:tc>
        <w:tc>
          <w:tcPr>
            <w:tcW w:w="1205" w:type="dxa"/>
            <w:shd w:val="clear" w:color="auto" w:fill="auto"/>
            <w:vAlign w:val="center"/>
          </w:tcPr>
          <w:p w:rsidR="0040492F" w:rsidRPr="00DE475B" w:rsidRDefault="00D05599" w:rsidP="00A2292F">
            <w:pPr>
              <w:jc w:val="right"/>
              <w:rPr>
                <w:rFonts w:ascii="Arial" w:hAnsi="Arial" w:cs="Arial"/>
                <w:sz w:val="20"/>
                <w:szCs w:val="20"/>
              </w:rPr>
            </w:pPr>
            <w:r>
              <w:rPr>
                <w:rFonts w:ascii="Arial" w:hAnsi="Arial" w:cs="Arial"/>
                <w:sz w:val="20"/>
                <w:szCs w:val="20"/>
              </w:rPr>
              <w:t>41</w:t>
            </w:r>
          </w:p>
        </w:tc>
        <w:tc>
          <w:tcPr>
            <w:tcW w:w="909" w:type="dxa"/>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 xml:space="preserve">41 </w:t>
            </w:r>
          </w:p>
        </w:tc>
      </w:tr>
      <w:tr w:rsidR="0040492F" w:rsidRPr="00DE475B" w:rsidTr="00487B9D">
        <w:trPr>
          <w:trHeight w:val="300"/>
        </w:trPr>
        <w:tc>
          <w:tcPr>
            <w:tcW w:w="4572" w:type="dxa"/>
            <w:gridSpan w:val="6"/>
            <w:shd w:val="clear" w:color="auto" w:fill="auto"/>
            <w:vAlign w:val="center"/>
          </w:tcPr>
          <w:p w:rsidR="0040492F" w:rsidRPr="00DE475B" w:rsidRDefault="0040492F" w:rsidP="00FB3766">
            <w:pPr>
              <w:rPr>
                <w:rFonts w:ascii="Arial" w:hAnsi="Arial" w:cs="Arial"/>
                <w:sz w:val="20"/>
                <w:szCs w:val="20"/>
              </w:rPr>
            </w:pPr>
            <w:r w:rsidRPr="00DE475B">
              <w:rPr>
                <w:rFonts w:ascii="Arial" w:hAnsi="Arial" w:cs="Arial"/>
                <w:sz w:val="20"/>
                <w:szCs w:val="20"/>
              </w:rPr>
              <w:t>Internal audit fees</w:t>
            </w:r>
          </w:p>
        </w:tc>
        <w:tc>
          <w:tcPr>
            <w:tcW w:w="1084" w:type="dxa"/>
            <w:shd w:val="clear" w:color="auto" w:fill="auto"/>
            <w:vAlign w:val="center"/>
          </w:tcPr>
          <w:p w:rsidR="0040492F" w:rsidRPr="00DE475B" w:rsidRDefault="00D05599" w:rsidP="00487B9D">
            <w:pPr>
              <w:jc w:val="right"/>
              <w:rPr>
                <w:rFonts w:ascii="Arial" w:hAnsi="Arial" w:cs="Arial"/>
                <w:sz w:val="20"/>
                <w:szCs w:val="20"/>
              </w:rPr>
            </w:pPr>
            <w:r>
              <w:rPr>
                <w:rFonts w:ascii="Arial" w:hAnsi="Arial" w:cs="Arial"/>
                <w:sz w:val="20"/>
                <w:szCs w:val="20"/>
              </w:rPr>
              <w:t>56</w:t>
            </w:r>
          </w:p>
        </w:tc>
        <w:tc>
          <w:tcPr>
            <w:tcW w:w="1024" w:type="dxa"/>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 xml:space="preserve">55 </w:t>
            </w:r>
          </w:p>
        </w:tc>
        <w:tc>
          <w:tcPr>
            <w:tcW w:w="1205" w:type="dxa"/>
            <w:shd w:val="clear" w:color="auto" w:fill="auto"/>
            <w:vAlign w:val="center"/>
          </w:tcPr>
          <w:p w:rsidR="0040492F" w:rsidRPr="00DE475B" w:rsidRDefault="00D05599" w:rsidP="00A2292F">
            <w:pPr>
              <w:jc w:val="right"/>
              <w:rPr>
                <w:rFonts w:ascii="Arial" w:hAnsi="Arial" w:cs="Arial"/>
                <w:sz w:val="20"/>
                <w:szCs w:val="20"/>
              </w:rPr>
            </w:pPr>
            <w:r>
              <w:rPr>
                <w:rFonts w:ascii="Arial" w:hAnsi="Arial" w:cs="Arial"/>
                <w:sz w:val="20"/>
                <w:szCs w:val="20"/>
              </w:rPr>
              <w:t>56</w:t>
            </w:r>
          </w:p>
        </w:tc>
        <w:tc>
          <w:tcPr>
            <w:tcW w:w="909" w:type="dxa"/>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 xml:space="preserve">55 </w:t>
            </w:r>
          </w:p>
        </w:tc>
      </w:tr>
      <w:tr w:rsidR="0040492F" w:rsidRPr="00DE475B" w:rsidTr="00487B9D">
        <w:trPr>
          <w:trHeight w:val="300"/>
        </w:trPr>
        <w:tc>
          <w:tcPr>
            <w:tcW w:w="4572" w:type="dxa"/>
            <w:gridSpan w:val="6"/>
            <w:shd w:val="clear" w:color="auto" w:fill="auto"/>
            <w:vAlign w:val="center"/>
          </w:tcPr>
          <w:p w:rsidR="0040492F" w:rsidRPr="00DE475B" w:rsidRDefault="0040492F" w:rsidP="007747C9">
            <w:pPr>
              <w:rPr>
                <w:rFonts w:ascii="Arial" w:hAnsi="Arial" w:cs="Arial"/>
                <w:sz w:val="20"/>
                <w:szCs w:val="20"/>
              </w:rPr>
            </w:pPr>
            <w:r w:rsidRPr="00DE475B">
              <w:rPr>
                <w:rFonts w:ascii="Arial" w:hAnsi="Arial" w:cs="Arial"/>
                <w:sz w:val="20"/>
                <w:szCs w:val="20"/>
              </w:rPr>
              <w:t>Insurance premiums</w:t>
            </w:r>
          </w:p>
        </w:tc>
        <w:tc>
          <w:tcPr>
            <w:tcW w:w="1084" w:type="dxa"/>
            <w:shd w:val="clear" w:color="auto" w:fill="auto"/>
            <w:vAlign w:val="center"/>
          </w:tcPr>
          <w:p w:rsidR="0040492F" w:rsidRPr="00DE475B" w:rsidRDefault="00D05599" w:rsidP="00487B9D">
            <w:pPr>
              <w:jc w:val="right"/>
              <w:rPr>
                <w:rFonts w:ascii="Arial" w:hAnsi="Arial" w:cs="Arial"/>
                <w:sz w:val="20"/>
                <w:szCs w:val="20"/>
              </w:rPr>
            </w:pPr>
            <w:r>
              <w:rPr>
                <w:rFonts w:ascii="Arial" w:hAnsi="Arial" w:cs="Arial"/>
                <w:sz w:val="20"/>
                <w:szCs w:val="20"/>
              </w:rPr>
              <w:t>85</w:t>
            </w:r>
          </w:p>
        </w:tc>
        <w:tc>
          <w:tcPr>
            <w:tcW w:w="1024" w:type="dxa"/>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 xml:space="preserve">75 </w:t>
            </w:r>
          </w:p>
        </w:tc>
        <w:tc>
          <w:tcPr>
            <w:tcW w:w="1205" w:type="dxa"/>
            <w:shd w:val="clear" w:color="auto" w:fill="auto"/>
            <w:vAlign w:val="center"/>
          </w:tcPr>
          <w:p w:rsidR="0040492F" w:rsidRPr="00DE475B" w:rsidRDefault="00D05599" w:rsidP="00A2292F">
            <w:pPr>
              <w:jc w:val="right"/>
              <w:rPr>
                <w:rFonts w:ascii="Arial" w:hAnsi="Arial" w:cs="Arial"/>
                <w:sz w:val="20"/>
                <w:szCs w:val="20"/>
              </w:rPr>
            </w:pPr>
            <w:r>
              <w:rPr>
                <w:rFonts w:ascii="Arial" w:hAnsi="Arial" w:cs="Arial"/>
                <w:sz w:val="20"/>
                <w:szCs w:val="20"/>
              </w:rPr>
              <w:t>85</w:t>
            </w:r>
          </w:p>
        </w:tc>
        <w:tc>
          <w:tcPr>
            <w:tcW w:w="909" w:type="dxa"/>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 xml:space="preserve">75 </w:t>
            </w:r>
          </w:p>
        </w:tc>
      </w:tr>
      <w:tr w:rsidR="0040492F" w:rsidRPr="00DE475B" w:rsidTr="00487B9D">
        <w:trPr>
          <w:trHeight w:val="300"/>
        </w:trPr>
        <w:tc>
          <w:tcPr>
            <w:tcW w:w="4572" w:type="dxa"/>
            <w:gridSpan w:val="6"/>
            <w:shd w:val="clear" w:color="auto" w:fill="auto"/>
            <w:vAlign w:val="center"/>
          </w:tcPr>
          <w:p w:rsidR="0040492F" w:rsidRPr="00DE475B" w:rsidRDefault="0040492F" w:rsidP="00FB3766">
            <w:pPr>
              <w:rPr>
                <w:rFonts w:ascii="Arial" w:hAnsi="Arial" w:cs="Arial"/>
                <w:sz w:val="20"/>
                <w:szCs w:val="20"/>
              </w:rPr>
            </w:pPr>
            <w:r w:rsidRPr="00DE475B">
              <w:rPr>
                <w:rFonts w:ascii="Arial" w:hAnsi="Arial" w:cs="Arial"/>
                <w:sz w:val="20"/>
                <w:szCs w:val="20"/>
              </w:rPr>
              <w:t>Bad and doubtful debts</w:t>
            </w:r>
          </w:p>
        </w:tc>
        <w:tc>
          <w:tcPr>
            <w:tcW w:w="1084" w:type="dxa"/>
            <w:shd w:val="clear" w:color="auto" w:fill="auto"/>
            <w:vAlign w:val="center"/>
          </w:tcPr>
          <w:p w:rsidR="0040492F" w:rsidRPr="00DE475B" w:rsidRDefault="00D05599" w:rsidP="00487B9D">
            <w:pPr>
              <w:jc w:val="right"/>
              <w:rPr>
                <w:rFonts w:ascii="Arial" w:hAnsi="Arial" w:cs="Arial"/>
                <w:sz w:val="20"/>
                <w:szCs w:val="20"/>
              </w:rPr>
            </w:pPr>
            <w:r>
              <w:rPr>
                <w:rFonts w:ascii="Arial" w:hAnsi="Arial" w:cs="Arial"/>
                <w:sz w:val="20"/>
                <w:szCs w:val="20"/>
              </w:rPr>
              <w:t>8</w:t>
            </w:r>
          </w:p>
        </w:tc>
        <w:tc>
          <w:tcPr>
            <w:tcW w:w="1024" w:type="dxa"/>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 xml:space="preserve">14 </w:t>
            </w:r>
          </w:p>
        </w:tc>
        <w:tc>
          <w:tcPr>
            <w:tcW w:w="1205" w:type="dxa"/>
            <w:shd w:val="clear" w:color="auto" w:fill="auto"/>
            <w:vAlign w:val="center"/>
          </w:tcPr>
          <w:p w:rsidR="0040492F" w:rsidRPr="00DE475B" w:rsidRDefault="00D05599" w:rsidP="00A2292F">
            <w:pPr>
              <w:jc w:val="right"/>
              <w:rPr>
                <w:rFonts w:ascii="Arial" w:hAnsi="Arial" w:cs="Arial"/>
                <w:sz w:val="20"/>
                <w:szCs w:val="20"/>
              </w:rPr>
            </w:pPr>
            <w:r>
              <w:rPr>
                <w:rFonts w:ascii="Arial" w:hAnsi="Arial" w:cs="Arial"/>
                <w:sz w:val="20"/>
                <w:szCs w:val="20"/>
              </w:rPr>
              <w:t>8</w:t>
            </w:r>
          </w:p>
        </w:tc>
        <w:tc>
          <w:tcPr>
            <w:tcW w:w="909" w:type="dxa"/>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 xml:space="preserve">14 </w:t>
            </w:r>
          </w:p>
        </w:tc>
      </w:tr>
      <w:tr w:rsidR="0040492F" w:rsidRPr="00DE475B" w:rsidTr="00487B9D">
        <w:trPr>
          <w:trHeight w:val="300"/>
        </w:trPr>
        <w:tc>
          <w:tcPr>
            <w:tcW w:w="4572" w:type="dxa"/>
            <w:gridSpan w:val="6"/>
            <w:shd w:val="clear" w:color="auto" w:fill="auto"/>
            <w:vAlign w:val="center"/>
          </w:tcPr>
          <w:p w:rsidR="0040492F" w:rsidRPr="00DE475B" w:rsidRDefault="0040492F" w:rsidP="00FB3766">
            <w:pPr>
              <w:rPr>
                <w:rFonts w:ascii="Arial" w:hAnsi="Arial" w:cs="Arial"/>
                <w:sz w:val="20"/>
                <w:szCs w:val="20"/>
              </w:rPr>
            </w:pPr>
            <w:r w:rsidRPr="00DE475B">
              <w:rPr>
                <w:rFonts w:ascii="Arial" w:hAnsi="Arial" w:cs="Arial"/>
                <w:sz w:val="20"/>
                <w:szCs w:val="20"/>
              </w:rPr>
              <w:t>Board fees and expenses</w:t>
            </w:r>
          </w:p>
        </w:tc>
        <w:tc>
          <w:tcPr>
            <w:tcW w:w="1084" w:type="dxa"/>
            <w:shd w:val="clear" w:color="auto" w:fill="auto"/>
            <w:vAlign w:val="center"/>
          </w:tcPr>
          <w:p w:rsidR="0040492F" w:rsidRPr="00DE475B" w:rsidRDefault="00D05599" w:rsidP="00487B9D">
            <w:pPr>
              <w:jc w:val="right"/>
              <w:rPr>
                <w:rFonts w:ascii="Arial" w:hAnsi="Arial" w:cs="Arial"/>
                <w:sz w:val="20"/>
                <w:szCs w:val="20"/>
              </w:rPr>
            </w:pPr>
            <w:r>
              <w:rPr>
                <w:rFonts w:ascii="Arial" w:hAnsi="Arial" w:cs="Arial"/>
                <w:sz w:val="20"/>
                <w:szCs w:val="20"/>
              </w:rPr>
              <w:t>37</w:t>
            </w:r>
          </w:p>
        </w:tc>
        <w:tc>
          <w:tcPr>
            <w:tcW w:w="1024" w:type="dxa"/>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 xml:space="preserve">34 </w:t>
            </w:r>
          </w:p>
        </w:tc>
        <w:tc>
          <w:tcPr>
            <w:tcW w:w="1205" w:type="dxa"/>
            <w:shd w:val="clear" w:color="auto" w:fill="auto"/>
            <w:vAlign w:val="center"/>
          </w:tcPr>
          <w:p w:rsidR="0040492F" w:rsidRPr="00DE475B" w:rsidRDefault="00D05599" w:rsidP="00A2292F">
            <w:pPr>
              <w:jc w:val="right"/>
              <w:rPr>
                <w:rFonts w:ascii="Arial" w:hAnsi="Arial" w:cs="Arial"/>
                <w:sz w:val="20"/>
                <w:szCs w:val="20"/>
              </w:rPr>
            </w:pPr>
            <w:r>
              <w:rPr>
                <w:rFonts w:ascii="Arial" w:hAnsi="Arial" w:cs="Arial"/>
                <w:sz w:val="20"/>
                <w:szCs w:val="20"/>
              </w:rPr>
              <w:t>37</w:t>
            </w:r>
          </w:p>
        </w:tc>
        <w:tc>
          <w:tcPr>
            <w:tcW w:w="909" w:type="dxa"/>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 xml:space="preserve">34 </w:t>
            </w:r>
          </w:p>
        </w:tc>
      </w:tr>
      <w:tr w:rsidR="0040492F" w:rsidRPr="00DE475B" w:rsidTr="00487B9D">
        <w:trPr>
          <w:trHeight w:val="300"/>
        </w:trPr>
        <w:tc>
          <w:tcPr>
            <w:tcW w:w="4572" w:type="dxa"/>
            <w:gridSpan w:val="6"/>
            <w:shd w:val="clear" w:color="auto" w:fill="auto"/>
            <w:vAlign w:val="center"/>
          </w:tcPr>
          <w:p w:rsidR="0040492F" w:rsidRPr="00DE475B" w:rsidRDefault="0040492F" w:rsidP="00FB3766">
            <w:pPr>
              <w:rPr>
                <w:rFonts w:ascii="Arial" w:hAnsi="Arial" w:cs="Arial"/>
                <w:sz w:val="20"/>
                <w:szCs w:val="20"/>
              </w:rPr>
            </w:pPr>
            <w:r w:rsidRPr="00DE475B">
              <w:rPr>
                <w:rFonts w:ascii="Arial" w:hAnsi="Arial" w:cs="Arial"/>
                <w:sz w:val="20"/>
                <w:szCs w:val="20"/>
              </w:rPr>
              <w:t>Loss on disposal of assets</w:t>
            </w:r>
          </w:p>
        </w:tc>
        <w:tc>
          <w:tcPr>
            <w:tcW w:w="1084" w:type="dxa"/>
            <w:shd w:val="clear" w:color="auto" w:fill="auto"/>
            <w:vAlign w:val="center"/>
          </w:tcPr>
          <w:p w:rsidR="0040492F" w:rsidRPr="00DE475B" w:rsidRDefault="00D05599" w:rsidP="00487B9D">
            <w:pPr>
              <w:jc w:val="right"/>
              <w:rPr>
                <w:rFonts w:ascii="Arial" w:hAnsi="Arial" w:cs="Arial"/>
                <w:sz w:val="20"/>
                <w:szCs w:val="20"/>
              </w:rPr>
            </w:pPr>
            <w:r>
              <w:rPr>
                <w:rFonts w:ascii="Arial" w:hAnsi="Arial" w:cs="Arial"/>
                <w:sz w:val="20"/>
                <w:szCs w:val="20"/>
              </w:rPr>
              <w:t>2</w:t>
            </w:r>
          </w:p>
        </w:tc>
        <w:tc>
          <w:tcPr>
            <w:tcW w:w="1024" w:type="dxa"/>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 xml:space="preserve">12 </w:t>
            </w:r>
          </w:p>
        </w:tc>
        <w:tc>
          <w:tcPr>
            <w:tcW w:w="1205" w:type="dxa"/>
            <w:shd w:val="clear" w:color="auto" w:fill="auto"/>
            <w:vAlign w:val="center"/>
          </w:tcPr>
          <w:p w:rsidR="0040492F" w:rsidRPr="00DE475B" w:rsidRDefault="00D05599" w:rsidP="00A2292F">
            <w:pPr>
              <w:jc w:val="right"/>
              <w:rPr>
                <w:rFonts w:ascii="Arial" w:hAnsi="Arial" w:cs="Arial"/>
                <w:sz w:val="20"/>
                <w:szCs w:val="20"/>
              </w:rPr>
            </w:pPr>
            <w:r>
              <w:rPr>
                <w:rFonts w:ascii="Arial" w:hAnsi="Arial" w:cs="Arial"/>
                <w:sz w:val="20"/>
                <w:szCs w:val="20"/>
              </w:rPr>
              <w:t>2</w:t>
            </w:r>
          </w:p>
        </w:tc>
        <w:tc>
          <w:tcPr>
            <w:tcW w:w="909" w:type="dxa"/>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 xml:space="preserve">12 </w:t>
            </w:r>
          </w:p>
        </w:tc>
      </w:tr>
      <w:tr w:rsidR="0040492F" w:rsidRPr="00DE475B" w:rsidTr="00487B9D">
        <w:trPr>
          <w:trHeight w:val="300"/>
        </w:trPr>
        <w:tc>
          <w:tcPr>
            <w:tcW w:w="4572" w:type="dxa"/>
            <w:gridSpan w:val="6"/>
            <w:shd w:val="clear" w:color="auto" w:fill="auto"/>
            <w:vAlign w:val="center"/>
          </w:tcPr>
          <w:p w:rsidR="0040492F" w:rsidRPr="00DE475B" w:rsidRDefault="0040492F" w:rsidP="00FB3766">
            <w:pPr>
              <w:rPr>
                <w:rFonts w:ascii="Arial" w:hAnsi="Arial" w:cs="Arial"/>
                <w:sz w:val="20"/>
                <w:szCs w:val="20"/>
              </w:rPr>
            </w:pPr>
            <w:r w:rsidRPr="00DE475B">
              <w:rPr>
                <w:rFonts w:ascii="Arial" w:hAnsi="Arial" w:cs="Arial"/>
                <w:sz w:val="20"/>
                <w:szCs w:val="20"/>
              </w:rPr>
              <w:t>Special payments:</w:t>
            </w:r>
          </w:p>
        </w:tc>
        <w:tc>
          <w:tcPr>
            <w:tcW w:w="1084" w:type="dxa"/>
            <w:shd w:val="clear" w:color="auto" w:fill="auto"/>
            <w:vAlign w:val="center"/>
          </w:tcPr>
          <w:p w:rsidR="0040492F" w:rsidRPr="00DE475B" w:rsidRDefault="0040492F" w:rsidP="00487B9D">
            <w:pPr>
              <w:jc w:val="right"/>
              <w:rPr>
                <w:rFonts w:ascii="Arial" w:hAnsi="Arial" w:cs="Arial"/>
                <w:sz w:val="20"/>
                <w:szCs w:val="20"/>
              </w:rPr>
            </w:pPr>
          </w:p>
        </w:tc>
        <w:tc>
          <w:tcPr>
            <w:tcW w:w="1024" w:type="dxa"/>
            <w:shd w:val="clear" w:color="auto" w:fill="auto"/>
            <w:vAlign w:val="center"/>
          </w:tcPr>
          <w:p w:rsidR="0040492F" w:rsidRPr="00DE475B" w:rsidRDefault="0040492F" w:rsidP="00487B9D">
            <w:pPr>
              <w:jc w:val="right"/>
              <w:rPr>
                <w:rFonts w:ascii="Arial" w:hAnsi="Arial" w:cs="Arial"/>
                <w:sz w:val="20"/>
                <w:szCs w:val="20"/>
              </w:rPr>
            </w:pPr>
          </w:p>
        </w:tc>
        <w:tc>
          <w:tcPr>
            <w:tcW w:w="1205" w:type="dxa"/>
            <w:shd w:val="clear" w:color="auto" w:fill="auto"/>
            <w:vAlign w:val="center"/>
          </w:tcPr>
          <w:p w:rsidR="0040492F" w:rsidRPr="00DE475B" w:rsidRDefault="0040492F" w:rsidP="00487B9D">
            <w:pPr>
              <w:jc w:val="right"/>
              <w:rPr>
                <w:rFonts w:ascii="Arial" w:hAnsi="Arial" w:cs="Arial"/>
                <w:sz w:val="20"/>
                <w:szCs w:val="20"/>
              </w:rPr>
            </w:pPr>
          </w:p>
        </w:tc>
        <w:tc>
          <w:tcPr>
            <w:tcW w:w="909" w:type="dxa"/>
            <w:shd w:val="clear" w:color="auto" w:fill="auto"/>
            <w:vAlign w:val="center"/>
          </w:tcPr>
          <w:p w:rsidR="0040492F" w:rsidRPr="00DE475B" w:rsidRDefault="0040492F" w:rsidP="00487B9D">
            <w:pPr>
              <w:jc w:val="right"/>
              <w:rPr>
                <w:rFonts w:ascii="Arial" w:hAnsi="Arial" w:cs="Arial"/>
                <w:sz w:val="20"/>
                <w:szCs w:val="20"/>
              </w:rPr>
            </w:pPr>
          </w:p>
        </w:tc>
      </w:tr>
      <w:tr w:rsidR="0040492F" w:rsidRPr="00DE475B" w:rsidTr="00487B9D">
        <w:trPr>
          <w:trHeight w:val="300"/>
        </w:trPr>
        <w:tc>
          <w:tcPr>
            <w:tcW w:w="426" w:type="dxa"/>
            <w:shd w:val="clear" w:color="auto" w:fill="auto"/>
            <w:vAlign w:val="center"/>
          </w:tcPr>
          <w:p w:rsidR="0040492F" w:rsidRPr="00DE475B" w:rsidRDefault="0040492F" w:rsidP="00FB3766">
            <w:pPr>
              <w:rPr>
                <w:rFonts w:ascii="Arial" w:hAnsi="Arial" w:cs="Arial"/>
                <w:sz w:val="20"/>
                <w:szCs w:val="20"/>
              </w:rPr>
            </w:pPr>
          </w:p>
        </w:tc>
        <w:tc>
          <w:tcPr>
            <w:tcW w:w="4146" w:type="dxa"/>
            <w:gridSpan w:val="5"/>
            <w:shd w:val="clear" w:color="auto" w:fill="auto"/>
            <w:vAlign w:val="center"/>
          </w:tcPr>
          <w:p w:rsidR="0040492F" w:rsidRPr="00DE475B" w:rsidRDefault="0040492F" w:rsidP="00FB3766">
            <w:pPr>
              <w:rPr>
                <w:rFonts w:ascii="Arial" w:hAnsi="Arial" w:cs="Arial"/>
                <w:sz w:val="20"/>
                <w:szCs w:val="20"/>
              </w:rPr>
            </w:pPr>
            <w:r w:rsidRPr="00DE475B">
              <w:rPr>
                <w:rFonts w:ascii="Arial" w:hAnsi="Arial" w:cs="Arial"/>
                <w:sz w:val="20"/>
                <w:szCs w:val="20"/>
              </w:rPr>
              <w:t>Ex Gratia payments</w:t>
            </w:r>
          </w:p>
        </w:tc>
        <w:tc>
          <w:tcPr>
            <w:tcW w:w="1084" w:type="dxa"/>
            <w:shd w:val="clear" w:color="auto" w:fill="auto"/>
            <w:vAlign w:val="center"/>
          </w:tcPr>
          <w:p w:rsidR="0040492F" w:rsidRPr="00DE475B" w:rsidRDefault="00D05599" w:rsidP="00487B9D">
            <w:pPr>
              <w:jc w:val="right"/>
              <w:rPr>
                <w:rFonts w:ascii="Arial" w:hAnsi="Arial" w:cs="Arial"/>
                <w:sz w:val="20"/>
                <w:szCs w:val="20"/>
              </w:rPr>
            </w:pPr>
            <w:r>
              <w:rPr>
                <w:rFonts w:ascii="Arial" w:hAnsi="Arial" w:cs="Arial"/>
                <w:sz w:val="20"/>
                <w:szCs w:val="20"/>
              </w:rPr>
              <w:t>75</w:t>
            </w:r>
          </w:p>
        </w:tc>
        <w:tc>
          <w:tcPr>
            <w:tcW w:w="1024" w:type="dxa"/>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 xml:space="preserve">90 </w:t>
            </w:r>
          </w:p>
        </w:tc>
        <w:tc>
          <w:tcPr>
            <w:tcW w:w="1205" w:type="dxa"/>
            <w:shd w:val="clear" w:color="auto" w:fill="auto"/>
            <w:vAlign w:val="center"/>
          </w:tcPr>
          <w:p w:rsidR="0040492F" w:rsidRPr="00DE475B" w:rsidRDefault="00D05599" w:rsidP="00A2292F">
            <w:pPr>
              <w:jc w:val="right"/>
              <w:rPr>
                <w:rFonts w:ascii="Arial" w:hAnsi="Arial" w:cs="Arial"/>
                <w:sz w:val="20"/>
                <w:szCs w:val="20"/>
              </w:rPr>
            </w:pPr>
            <w:r>
              <w:rPr>
                <w:rFonts w:ascii="Arial" w:hAnsi="Arial" w:cs="Arial"/>
                <w:sz w:val="20"/>
                <w:szCs w:val="20"/>
              </w:rPr>
              <w:t>75</w:t>
            </w:r>
          </w:p>
        </w:tc>
        <w:tc>
          <w:tcPr>
            <w:tcW w:w="909" w:type="dxa"/>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 xml:space="preserve">90 </w:t>
            </w:r>
          </w:p>
        </w:tc>
      </w:tr>
      <w:tr w:rsidR="0040492F" w:rsidRPr="00DE475B" w:rsidTr="00487B9D">
        <w:trPr>
          <w:trHeight w:val="300"/>
        </w:trPr>
        <w:tc>
          <w:tcPr>
            <w:tcW w:w="426" w:type="dxa"/>
            <w:shd w:val="clear" w:color="auto" w:fill="auto"/>
            <w:vAlign w:val="center"/>
          </w:tcPr>
          <w:p w:rsidR="0040492F" w:rsidRPr="00DE475B" w:rsidRDefault="0040492F" w:rsidP="00FB3766">
            <w:pPr>
              <w:rPr>
                <w:rFonts w:ascii="Arial" w:hAnsi="Arial" w:cs="Arial"/>
                <w:sz w:val="20"/>
                <w:szCs w:val="20"/>
              </w:rPr>
            </w:pPr>
          </w:p>
        </w:tc>
        <w:tc>
          <w:tcPr>
            <w:tcW w:w="4146" w:type="dxa"/>
            <w:gridSpan w:val="5"/>
            <w:shd w:val="clear" w:color="auto" w:fill="auto"/>
            <w:vAlign w:val="center"/>
          </w:tcPr>
          <w:p w:rsidR="0040492F" w:rsidRPr="00DE475B" w:rsidRDefault="0040492F" w:rsidP="00FB3766">
            <w:pPr>
              <w:rPr>
                <w:rFonts w:ascii="Arial" w:hAnsi="Arial" w:cs="Arial"/>
                <w:sz w:val="20"/>
                <w:szCs w:val="20"/>
              </w:rPr>
            </w:pPr>
            <w:r w:rsidRPr="00DE475B">
              <w:rPr>
                <w:rFonts w:ascii="Arial" w:hAnsi="Arial" w:cs="Arial"/>
                <w:sz w:val="20"/>
                <w:szCs w:val="20"/>
              </w:rPr>
              <w:t>Section 831 payment to previous employee</w:t>
            </w:r>
          </w:p>
        </w:tc>
        <w:tc>
          <w:tcPr>
            <w:tcW w:w="1084" w:type="dxa"/>
            <w:shd w:val="clear" w:color="auto" w:fill="auto"/>
            <w:vAlign w:val="center"/>
          </w:tcPr>
          <w:p w:rsidR="0040492F" w:rsidRPr="00DE475B" w:rsidRDefault="00D05599" w:rsidP="00487B9D">
            <w:pPr>
              <w:jc w:val="right"/>
              <w:rPr>
                <w:rFonts w:ascii="Arial" w:hAnsi="Arial" w:cs="Arial"/>
                <w:sz w:val="20"/>
                <w:szCs w:val="20"/>
              </w:rPr>
            </w:pPr>
            <w:r>
              <w:rPr>
                <w:rFonts w:ascii="Arial" w:hAnsi="Arial" w:cs="Arial"/>
                <w:sz w:val="20"/>
                <w:szCs w:val="20"/>
              </w:rPr>
              <w:t>-</w:t>
            </w:r>
          </w:p>
        </w:tc>
        <w:tc>
          <w:tcPr>
            <w:tcW w:w="1024" w:type="dxa"/>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 xml:space="preserve">14 </w:t>
            </w:r>
          </w:p>
        </w:tc>
        <w:tc>
          <w:tcPr>
            <w:tcW w:w="1205" w:type="dxa"/>
            <w:shd w:val="clear" w:color="auto" w:fill="auto"/>
            <w:vAlign w:val="center"/>
          </w:tcPr>
          <w:p w:rsidR="0040492F" w:rsidRPr="00DE475B" w:rsidRDefault="00D05599" w:rsidP="00A2292F">
            <w:pPr>
              <w:jc w:val="right"/>
              <w:rPr>
                <w:rFonts w:ascii="Arial" w:hAnsi="Arial" w:cs="Arial"/>
                <w:sz w:val="20"/>
                <w:szCs w:val="20"/>
              </w:rPr>
            </w:pPr>
            <w:r>
              <w:rPr>
                <w:rFonts w:ascii="Arial" w:hAnsi="Arial" w:cs="Arial"/>
                <w:sz w:val="20"/>
                <w:szCs w:val="20"/>
              </w:rPr>
              <w:t>-</w:t>
            </w:r>
          </w:p>
        </w:tc>
        <w:tc>
          <w:tcPr>
            <w:tcW w:w="909" w:type="dxa"/>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 xml:space="preserve">14 </w:t>
            </w:r>
          </w:p>
        </w:tc>
      </w:tr>
      <w:tr w:rsidR="0040492F" w:rsidRPr="00DE475B" w:rsidTr="00E445DC">
        <w:trPr>
          <w:trHeight w:val="368"/>
        </w:trPr>
        <w:tc>
          <w:tcPr>
            <w:tcW w:w="4572" w:type="dxa"/>
            <w:gridSpan w:val="6"/>
            <w:shd w:val="clear" w:color="auto" w:fill="auto"/>
            <w:vAlign w:val="center"/>
          </w:tcPr>
          <w:p w:rsidR="0040492F" w:rsidRPr="00DE475B" w:rsidRDefault="0040492F" w:rsidP="00215FAA">
            <w:pPr>
              <w:rPr>
                <w:rFonts w:ascii="Arial" w:hAnsi="Arial" w:cs="Arial"/>
                <w:sz w:val="20"/>
                <w:szCs w:val="20"/>
              </w:rPr>
            </w:pPr>
            <w:r w:rsidRPr="00DE475B">
              <w:rPr>
                <w:rFonts w:ascii="Arial" w:hAnsi="Arial" w:cs="Arial"/>
                <w:sz w:val="20"/>
                <w:szCs w:val="20"/>
              </w:rPr>
              <w:t>Other</w:t>
            </w:r>
          </w:p>
        </w:tc>
        <w:tc>
          <w:tcPr>
            <w:tcW w:w="1084" w:type="dxa"/>
            <w:tcBorders>
              <w:bottom w:val="single" w:sz="8" w:space="0" w:color="000000"/>
            </w:tcBorders>
            <w:shd w:val="clear" w:color="auto" w:fill="auto"/>
            <w:vAlign w:val="center"/>
          </w:tcPr>
          <w:p w:rsidR="0040492F" w:rsidRPr="00DE475B" w:rsidRDefault="00D05599" w:rsidP="00487B9D">
            <w:pPr>
              <w:jc w:val="right"/>
              <w:rPr>
                <w:rFonts w:ascii="Arial" w:hAnsi="Arial" w:cs="Arial"/>
                <w:sz w:val="20"/>
                <w:szCs w:val="20"/>
              </w:rPr>
            </w:pPr>
            <w:r>
              <w:rPr>
                <w:rFonts w:ascii="Arial" w:hAnsi="Arial" w:cs="Arial"/>
                <w:sz w:val="20"/>
                <w:szCs w:val="20"/>
              </w:rPr>
              <w:t>57</w:t>
            </w:r>
          </w:p>
        </w:tc>
        <w:tc>
          <w:tcPr>
            <w:tcW w:w="1024" w:type="dxa"/>
            <w:tcBorders>
              <w:bottom w:val="single" w:sz="8" w:space="0" w:color="000000"/>
            </w:tcBorders>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39</w:t>
            </w:r>
          </w:p>
        </w:tc>
        <w:tc>
          <w:tcPr>
            <w:tcW w:w="1205" w:type="dxa"/>
            <w:tcBorders>
              <w:bottom w:val="single" w:sz="8" w:space="0" w:color="000000"/>
            </w:tcBorders>
            <w:shd w:val="clear" w:color="auto" w:fill="auto"/>
            <w:vAlign w:val="center"/>
          </w:tcPr>
          <w:p w:rsidR="0040492F" w:rsidRPr="00DE475B" w:rsidRDefault="00D05599" w:rsidP="00A2292F">
            <w:pPr>
              <w:jc w:val="right"/>
              <w:rPr>
                <w:rFonts w:ascii="Arial" w:hAnsi="Arial" w:cs="Arial"/>
                <w:sz w:val="20"/>
                <w:szCs w:val="20"/>
              </w:rPr>
            </w:pPr>
            <w:r>
              <w:rPr>
                <w:rFonts w:ascii="Arial" w:hAnsi="Arial" w:cs="Arial"/>
                <w:sz w:val="20"/>
                <w:szCs w:val="20"/>
              </w:rPr>
              <w:t>49</w:t>
            </w:r>
          </w:p>
        </w:tc>
        <w:tc>
          <w:tcPr>
            <w:tcW w:w="909" w:type="dxa"/>
            <w:tcBorders>
              <w:bottom w:val="single" w:sz="8" w:space="0" w:color="000000"/>
            </w:tcBorders>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35</w:t>
            </w:r>
          </w:p>
        </w:tc>
      </w:tr>
      <w:tr w:rsidR="0040492F" w:rsidRPr="00DE475B" w:rsidTr="00CF2F3D">
        <w:trPr>
          <w:trHeight w:val="335"/>
        </w:trPr>
        <w:tc>
          <w:tcPr>
            <w:tcW w:w="807" w:type="dxa"/>
            <w:gridSpan w:val="2"/>
            <w:shd w:val="clear" w:color="auto" w:fill="auto"/>
            <w:vAlign w:val="bottom"/>
          </w:tcPr>
          <w:p w:rsidR="0040492F" w:rsidRPr="00DE475B" w:rsidRDefault="0040492F" w:rsidP="00FB3766">
            <w:pPr>
              <w:rPr>
                <w:rFonts w:ascii="Arial" w:hAnsi="Arial" w:cs="Arial"/>
                <w:sz w:val="20"/>
                <w:szCs w:val="20"/>
              </w:rPr>
            </w:pPr>
            <w:r w:rsidRPr="00DE475B">
              <w:rPr>
                <w:rFonts w:ascii="Arial" w:hAnsi="Arial" w:cs="Arial"/>
                <w:b/>
                <w:bCs/>
                <w:sz w:val="20"/>
                <w:szCs w:val="20"/>
              </w:rPr>
              <w:t>Total</w:t>
            </w:r>
          </w:p>
        </w:tc>
        <w:tc>
          <w:tcPr>
            <w:tcW w:w="753" w:type="dxa"/>
            <w:shd w:val="clear" w:color="auto" w:fill="auto"/>
            <w:vAlign w:val="bottom"/>
          </w:tcPr>
          <w:p w:rsidR="0040492F" w:rsidRPr="00DE475B" w:rsidRDefault="0040492F" w:rsidP="00FB3766">
            <w:pPr>
              <w:snapToGrid w:val="0"/>
              <w:rPr>
                <w:rFonts w:ascii="Arial" w:hAnsi="Arial" w:cs="Arial"/>
                <w:sz w:val="20"/>
                <w:szCs w:val="20"/>
              </w:rPr>
            </w:pPr>
          </w:p>
        </w:tc>
        <w:tc>
          <w:tcPr>
            <w:tcW w:w="1054" w:type="dxa"/>
            <w:shd w:val="clear" w:color="auto" w:fill="auto"/>
            <w:vAlign w:val="bottom"/>
          </w:tcPr>
          <w:p w:rsidR="0040492F" w:rsidRPr="00DE475B" w:rsidRDefault="0040492F" w:rsidP="00FB3766">
            <w:pPr>
              <w:snapToGrid w:val="0"/>
              <w:rPr>
                <w:rFonts w:ascii="Arial" w:hAnsi="Arial" w:cs="Arial"/>
                <w:sz w:val="20"/>
                <w:szCs w:val="20"/>
              </w:rPr>
            </w:pPr>
          </w:p>
        </w:tc>
        <w:tc>
          <w:tcPr>
            <w:tcW w:w="602" w:type="dxa"/>
            <w:shd w:val="clear" w:color="auto" w:fill="auto"/>
            <w:vAlign w:val="bottom"/>
          </w:tcPr>
          <w:p w:rsidR="0040492F" w:rsidRPr="00DE475B" w:rsidRDefault="0040492F" w:rsidP="00FB3766">
            <w:pPr>
              <w:snapToGrid w:val="0"/>
              <w:rPr>
                <w:rFonts w:ascii="Arial" w:hAnsi="Arial" w:cs="Arial"/>
                <w:sz w:val="20"/>
                <w:szCs w:val="20"/>
              </w:rPr>
            </w:pPr>
          </w:p>
        </w:tc>
        <w:tc>
          <w:tcPr>
            <w:tcW w:w="1356" w:type="dxa"/>
            <w:shd w:val="clear" w:color="auto" w:fill="auto"/>
            <w:vAlign w:val="bottom"/>
          </w:tcPr>
          <w:p w:rsidR="0040492F" w:rsidRPr="00DE475B" w:rsidRDefault="0040492F" w:rsidP="00FB3766">
            <w:pPr>
              <w:snapToGrid w:val="0"/>
              <w:jc w:val="center"/>
              <w:rPr>
                <w:rFonts w:ascii="Arial" w:hAnsi="Arial" w:cs="Arial"/>
                <w:sz w:val="20"/>
                <w:szCs w:val="20"/>
              </w:rPr>
            </w:pPr>
          </w:p>
        </w:tc>
        <w:tc>
          <w:tcPr>
            <w:tcW w:w="1084" w:type="dxa"/>
            <w:tcBorders>
              <w:top w:val="single" w:sz="8" w:space="0" w:color="000000"/>
              <w:bottom w:val="single" w:sz="12" w:space="0" w:color="000000"/>
            </w:tcBorders>
            <w:shd w:val="clear" w:color="auto" w:fill="auto"/>
            <w:vAlign w:val="center"/>
          </w:tcPr>
          <w:p w:rsidR="0040492F" w:rsidRPr="00DE475B" w:rsidRDefault="00D05599" w:rsidP="00487B9D">
            <w:pPr>
              <w:jc w:val="right"/>
              <w:rPr>
                <w:rFonts w:ascii="Arial" w:hAnsi="Arial" w:cs="Arial"/>
                <w:sz w:val="20"/>
                <w:szCs w:val="20"/>
              </w:rPr>
            </w:pPr>
            <w:r>
              <w:rPr>
                <w:rFonts w:ascii="Arial" w:hAnsi="Arial" w:cs="Arial"/>
                <w:sz w:val="20"/>
                <w:szCs w:val="20"/>
              </w:rPr>
              <w:t>367</w:t>
            </w:r>
          </w:p>
        </w:tc>
        <w:tc>
          <w:tcPr>
            <w:tcW w:w="1024" w:type="dxa"/>
            <w:tcBorders>
              <w:top w:val="single" w:sz="8" w:space="0" w:color="000000"/>
              <w:bottom w:val="single" w:sz="12" w:space="0" w:color="000000"/>
            </w:tcBorders>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380</w:t>
            </w:r>
          </w:p>
        </w:tc>
        <w:tc>
          <w:tcPr>
            <w:tcW w:w="1205" w:type="dxa"/>
            <w:tcBorders>
              <w:top w:val="single" w:sz="8" w:space="0" w:color="000000"/>
              <w:bottom w:val="single" w:sz="12" w:space="0" w:color="000000"/>
            </w:tcBorders>
            <w:shd w:val="clear" w:color="auto" w:fill="auto"/>
            <w:vAlign w:val="center"/>
          </w:tcPr>
          <w:p w:rsidR="0040492F" w:rsidRPr="00DE475B" w:rsidRDefault="00D05599" w:rsidP="00A2292F">
            <w:pPr>
              <w:jc w:val="right"/>
              <w:rPr>
                <w:rFonts w:ascii="Arial" w:hAnsi="Arial" w:cs="Arial"/>
                <w:sz w:val="20"/>
                <w:szCs w:val="20"/>
              </w:rPr>
            </w:pPr>
            <w:r>
              <w:rPr>
                <w:rFonts w:ascii="Arial" w:hAnsi="Arial" w:cs="Arial"/>
                <w:sz w:val="20"/>
                <w:szCs w:val="20"/>
              </w:rPr>
              <w:t>353</w:t>
            </w:r>
          </w:p>
        </w:tc>
        <w:tc>
          <w:tcPr>
            <w:tcW w:w="909" w:type="dxa"/>
            <w:tcBorders>
              <w:top w:val="single" w:sz="8" w:space="0" w:color="000000"/>
              <w:bottom w:val="single" w:sz="12" w:space="0" w:color="000000"/>
            </w:tcBorders>
            <w:shd w:val="clear" w:color="auto" w:fill="auto"/>
            <w:vAlign w:val="center"/>
          </w:tcPr>
          <w:p w:rsidR="0040492F" w:rsidRPr="00DE475B" w:rsidRDefault="0040492F" w:rsidP="00A2292F">
            <w:pPr>
              <w:jc w:val="right"/>
              <w:rPr>
                <w:rFonts w:ascii="Arial" w:hAnsi="Arial" w:cs="Arial"/>
                <w:sz w:val="20"/>
                <w:szCs w:val="20"/>
              </w:rPr>
            </w:pPr>
            <w:r w:rsidRPr="00DE475B">
              <w:rPr>
                <w:rFonts w:ascii="Arial" w:hAnsi="Arial" w:cs="Arial"/>
                <w:sz w:val="20"/>
                <w:szCs w:val="20"/>
              </w:rPr>
              <w:t>370</w:t>
            </w:r>
          </w:p>
        </w:tc>
      </w:tr>
    </w:tbl>
    <w:p w:rsidR="0040492F" w:rsidRDefault="0040492F" w:rsidP="0040492F">
      <w:pPr>
        <w:spacing w:after="120"/>
        <w:rPr>
          <w:rFonts w:ascii="Arial" w:hAnsi="Arial" w:cs="Arial"/>
          <w:i/>
          <w:iCs/>
          <w:sz w:val="20"/>
          <w:szCs w:val="20"/>
        </w:rPr>
      </w:pPr>
    </w:p>
    <w:p w:rsidR="0040492F" w:rsidRPr="00DE475B" w:rsidRDefault="0040492F" w:rsidP="0040492F">
      <w:pPr>
        <w:rPr>
          <w:rFonts w:ascii="Arial" w:hAnsi="Arial" w:cs="Arial"/>
          <w:i/>
          <w:iCs/>
          <w:sz w:val="20"/>
          <w:szCs w:val="20"/>
        </w:rPr>
      </w:pPr>
      <w:r w:rsidRPr="00DE475B">
        <w:rPr>
          <w:rFonts w:ascii="Arial" w:hAnsi="Arial" w:cs="Arial"/>
          <w:i/>
          <w:iCs/>
          <w:sz w:val="20"/>
          <w:szCs w:val="20"/>
        </w:rPr>
        <w:t>Accounting policy — Insurance</w:t>
      </w:r>
    </w:p>
    <w:p w:rsidR="0040492F" w:rsidRDefault="0040492F" w:rsidP="0040492F">
      <w:pPr>
        <w:tabs>
          <w:tab w:val="left" w:pos="504"/>
          <w:tab w:val="left" w:pos="5878"/>
        </w:tabs>
        <w:spacing w:after="120"/>
        <w:rPr>
          <w:rFonts w:ascii="Arial" w:hAnsi="Arial" w:cs="Arial"/>
          <w:sz w:val="20"/>
          <w:szCs w:val="20"/>
        </w:rPr>
      </w:pPr>
      <w:r w:rsidRPr="00DE475B">
        <w:rPr>
          <w:rFonts w:ascii="Arial" w:hAnsi="Arial" w:cs="Arial"/>
          <w:sz w:val="20"/>
          <w:szCs w:val="20"/>
        </w:rPr>
        <w:t>The Library Board's non-current physical assets and other risks are insured through the Queensland Government Insurance Fund with premiums being paid on a risk assessment basis. In addition, the Library Board pays premiums to WorkCover Queensland in respect of its obligations for employee compensation</w:t>
      </w:r>
      <w:r w:rsidRPr="00DE475B">
        <w:t xml:space="preserve"> </w:t>
      </w:r>
      <w:r w:rsidRPr="00DE475B">
        <w:rPr>
          <w:rFonts w:ascii="Arial" w:hAnsi="Arial" w:cs="Arial"/>
          <w:sz w:val="20"/>
          <w:szCs w:val="20"/>
        </w:rPr>
        <w:t>and Directors and Officers insurance on behalf of Library Board members and staff.</w:t>
      </w:r>
    </w:p>
    <w:p w:rsidR="00427251" w:rsidRPr="00DE475B" w:rsidRDefault="00427251" w:rsidP="0040492F">
      <w:pPr>
        <w:tabs>
          <w:tab w:val="left" w:pos="504"/>
          <w:tab w:val="left" w:pos="5878"/>
        </w:tabs>
        <w:spacing w:after="120"/>
        <w:rPr>
          <w:rFonts w:ascii="Arial" w:hAnsi="Arial" w:cs="Arial"/>
          <w:sz w:val="20"/>
          <w:szCs w:val="20"/>
        </w:rPr>
      </w:pPr>
      <w:r w:rsidRPr="00DE475B">
        <w:rPr>
          <w:rFonts w:ascii="Arial" w:hAnsi="Arial" w:cs="Arial"/>
          <w:sz w:val="20"/>
          <w:szCs w:val="20"/>
        </w:rPr>
        <w:t>Total external audit fees for the economic entity relating to the 201</w:t>
      </w:r>
      <w:r w:rsidR="0040492F">
        <w:rPr>
          <w:rFonts w:ascii="Arial" w:hAnsi="Arial" w:cs="Arial"/>
          <w:sz w:val="20"/>
          <w:szCs w:val="20"/>
        </w:rPr>
        <w:t>6–17</w:t>
      </w:r>
      <w:r w:rsidRPr="00DE475B">
        <w:rPr>
          <w:rFonts w:ascii="Arial" w:hAnsi="Arial" w:cs="Arial"/>
          <w:sz w:val="20"/>
          <w:szCs w:val="20"/>
        </w:rPr>
        <w:t xml:space="preserve"> financial year are es</w:t>
      </w:r>
      <w:r w:rsidR="0040492F">
        <w:rPr>
          <w:rFonts w:ascii="Arial" w:hAnsi="Arial" w:cs="Arial"/>
          <w:sz w:val="20"/>
          <w:szCs w:val="20"/>
        </w:rPr>
        <w:t>timated to be $47,200 (2016: $46,5</w:t>
      </w:r>
      <w:r w:rsidRPr="00DE475B">
        <w:rPr>
          <w:rFonts w:ascii="Arial" w:hAnsi="Arial" w:cs="Arial"/>
          <w:sz w:val="20"/>
          <w:szCs w:val="20"/>
        </w:rPr>
        <w:t>00). These fees, paid to the Queensland Audit Office, relate to the audit of the financial statements only.</w:t>
      </w:r>
    </w:p>
    <w:p w:rsidR="00CD5FA4" w:rsidRPr="000839FB" w:rsidRDefault="000A48C4" w:rsidP="000839FB">
      <w:pPr>
        <w:tabs>
          <w:tab w:val="left" w:pos="504"/>
          <w:tab w:val="left" w:pos="5878"/>
        </w:tabs>
        <w:spacing w:after="120"/>
        <w:rPr>
          <w:rFonts w:ascii="Arial" w:hAnsi="Arial" w:cs="Arial"/>
          <w:sz w:val="20"/>
          <w:szCs w:val="20"/>
        </w:rPr>
        <w:sectPr w:rsidR="00CD5FA4" w:rsidRPr="000839FB" w:rsidSect="00B53922">
          <w:type w:val="continuous"/>
          <w:pgSz w:w="11906" w:h="16838"/>
          <w:pgMar w:top="1440" w:right="1701" w:bottom="1440" w:left="1701" w:header="680" w:footer="680" w:gutter="0"/>
          <w:cols w:space="566"/>
          <w:docGrid w:linePitch="360"/>
        </w:sectPr>
      </w:pPr>
      <w:r w:rsidRPr="00DE475B">
        <w:rPr>
          <w:rFonts w:ascii="Arial" w:hAnsi="Arial" w:cs="Arial"/>
          <w:sz w:val="20"/>
          <w:szCs w:val="20"/>
        </w:rPr>
        <w:t xml:space="preserve">Special payments include </w:t>
      </w:r>
      <w:r w:rsidRPr="000839FB">
        <w:rPr>
          <w:rFonts w:ascii="Arial" w:hAnsi="Arial" w:cs="Arial"/>
          <w:sz w:val="20"/>
          <w:szCs w:val="20"/>
        </w:rPr>
        <w:t xml:space="preserve">Ex Gratia </w:t>
      </w:r>
      <w:r w:rsidR="00542BE5" w:rsidRPr="000839FB">
        <w:rPr>
          <w:rFonts w:ascii="Arial" w:hAnsi="Arial" w:cs="Arial"/>
          <w:sz w:val="20"/>
          <w:szCs w:val="20"/>
        </w:rPr>
        <w:t xml:space="preserve">payments </w:t>
      </w:r>
      <w:r w:rsidR="000839FB">
        <w:rPr>
          <w:rFonts w:ascii="Arial" w:hAnsi="Arial" w:cs="Arial"/>
          <w:sz w:val="20"/>
          <w:szCs w:val="20"/>
        </w:rPr>
        <w:t>in respect to</w:t>
      </w:r>
      <w:r w:rsidRPr="000839FB">
        <w:rPr>
          <w:rFonts w:ascii="Arial" w:hAnsi="Arial" w:cs="Arial"/>
          <w:sz w:val="20"/>
          <w:szCs w:val="20"/>
        </w:rPr>
        <w:t xml:space="preserve"> negotiated settlements </w:t>
      </w:r>
      <w:r w:rsidR="000839FB">
        <w:rPr>
          <w:rFonts w:ascii="Arial" w:hAnsi="Arial" w:cs="Arial"/>
          <w:sz w:val="20"/>
          <w:szCs w:val="20"/>
        </w:rPr>
        <w:t>for</w:t>
      </w:r>
      <w:r w:rsidRPr="000839FB">
        <w:rPr>
          <w:rFonts w:ascii="Arial" w:hAnsi="Arial" w:cs="Arial"/>
          <w:sz w:val="20"/>
          <w:szCs w:val="20"/>
        </w:rPr>
        <w:t xml:space="preserve"> former employees.</w:t>
      </w:r>
    </w:p>
    <w:p w:rsidR="00ED6BD2" w:rsidRPr="00DE475B" w:rsidRDefault="00ED6BD2" w:rsidP="00ED6BD2">
      <w:pPr>
        <w:pStyle w:val="ARbodytext"/>
        <w:rPr>
          <w:b/>
          <w:bCs/>
        </w:rPr>
      </w:pPr>
      <w:r w:rsidRPr="00DE475B">
        <w:rPr>
          <w:b/>
          <w:bCs/>
          <w:i/>
          <w:iCs/>
        </w:rPr>
        <w:lastRenderedPageBreak/>
        <w:t>Library Board of Queensland and controlled entities</w:t>
      </w:r>
    </w:p>
    <w:p w:rsidR="00ED6BD2" w:rsidRPr="00DE475B" w:rsidRDefault="00373FFE" w:rsidP="00ED6BD2">
      <w:pPr>
        <w:rPr>
          <w:rFonts w:ascii="Arial" w:hAnsi="Arial" w:cs="Arial"/>
          <w:b/>
          <w:bCs/>
          <w:sz w:val="20"/>
          <w:szCs w:val="20"/>
        </w:rPr>
      </w:pPr>
      <w:r w:rsidRPr="00DE475B">
        <w:rPr>
          <w:noProof/>
          <w:lang w:eastAsia="en-AU"/>
        </w:rPr>
        <mc:AlternateContent>
          <mc:Choice Requires="wps">
            <w:drawing>
              <wp:anchor distT="0" distB="0" distL="114300" distR="114300" simplePos="0" relativeHeight="251639808" behindDoc="0" locked="0" layoutInCell="1" allowOverlap="1" wp14:anchorId="39FFE8CC" wp14:editId="2992B8E5">
                <wp:simplePos x="0" y="0"/>
                <wp:positionH relativeFrom="column">
                  <wp:posOffset>-66040</wp:posOffset>
                </wp:positionH>
                <wp:positionV relativeFrom="paragraph">
                  <wp:posOffset>-222250</wp:posOffset>
                </wp:positionV>
                <wp:extent cx="5573395" cy="0"/>
                <wp:effectExtent l="13970" t="9525" r="13335" b="9525"/>
                <wp:wrapNone/>
                <wp:docPr id="54"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ygnAIAAHoFAAAOAAAAZHJzL2Uyb0RvYy54bWysVE1v2zAMvQ/YfxB0d23Hdj6MOkXrOLt0&#10;W4F22FmR5ViYLHmSGicY+t9HKYnXdJdhaAIYokRSj3yPur7ZdwLtmDZcyQLHVxFGTFJVc7kt8Len&#10;dTDHyFgiayKUZAU+MINvlh8/XA99ziaqVaJmGkESafKhL3BrbZ+HoaEt64i5Uj2TcNgo3RELpt6G&#10;tSYDZO9EOImiaTgoXfdaUWYM7K6Oh3jp8zcNo/Zr0xhmkSgwYLP+q/13477h8prkW036ltMTDPIf&#10;KDrCJVw6ploRS9Cz5n+l6jjVyqjGXlHVhappOGW+Bqgmjt5U89iSnvlaoDmmH9tk3i8t/bJ70IjX&#10;Bc5SjCTpgKN7LhmaRFPXnKE3OfiU8kG78uhePvb3iv4wSKqyJXLLPMinQw+BsYsIL0KcYXq4YjN8&#10;VjX4kGerfKf2je5cSugB2ntCDiMhbG8Rhc0smyXJIsOIns9Ckp8De23sJ6Y65BYFFoDaJya7e2Md&#10;EJKfXdw9Uq25EJ5vIdFQ4EUyBUVQAqozP32kUYLXzsv5G73dlEKjHXHS8T9fHpy8duu4BQEL3hV4&#10;PjqRvGWkrmTtr7OEi+MaIAnpkjMvzSNOsPYWln4fCvey+bWIFtW8mqdBOplWQRqtVsHtukyD6Tqe&#10;ZatkVZar+MWhjtO85XXNpAN+lnCc/ptETsN0FN8o4rFV4WV231MAe4n0dp1FszSZB7NZlgRpUkXB&#10;3XxdBrdlPJ3OqrvyrnqDtPLVm/cBO7bSoVLPwMZjWw+o5k4USbaYxBgMGPnJ7MgPImILbxW1GiOt&#10;7HduW69hpz6X44L4eeT+J+LH7MdGnDl01sjCqbY/rQLOz/z60XDTcJyrjaoPD/o8MjDgPuj0GLkX&#10;5LUN69dP5vI3AAAA//8DAFBLAwQUAAYACAAAACEA3tirZ+AAAAALAQAADwAAAGRycy9kb3ducmV2&#10;LnhtbEyPQUvDQBCF74L/YRnBi7SbmlhLzKaIIB4Eaaso3rbZMRvMzobdbRP/vSMIepuZ93jzvWo9&#10;uV4cMcTOk4LFPAOB1HjTUavg5fl+tgIRkyaje0+o4AsjrOvTk0qXxo+0xeMutYJDKJZagU1pKKWM&#10;jUWn49wPSKx9+OB04jW00gQ9crjr5WWWLaXTHfEHqwe8s9h87g5OwVMYu5jyothgen99eHyzmwu3&#10;Ver8bLq9AZFwSn9m+MFndKiZae8PZKLoFcwWWcFWHvIrLsWO1fI6B7H/vci6kv871N8AAAD//wMA&#10;UEsBAi0AFAAGAAgAAAAhALaDOJL+AAAA4QEAABMAAAAAAAAAAAAAAAAAAAAAAFtDb250ZW50X1R5&#10;cGVzXS54bWxQSwECLQAUAAYACAAAACEAOP0h/9YAAACUAQAACwAAAAAAAAAAAAAAAAAvAQAAX3Jl&#10;bHMvLnJlbHNQSwECLQAUAAYACAAAACEA6UosoJwCAAB6BQAADgAAAAAAAAAAAAAAAAAuAgAAZHJz&#10;L2Uyb0RvYy54bWxQSwECLQAUAAYACAAAACEA3tirZ+AAAAALAQAADwAAAAAAAAAAAAAAAAD2BAAA&#10;ZHJzL2Rvd25yZXYueG1sUEsFBgAAAAAEAAQA8wAAAAMGAAAAAA==&#10;" strokeweight=".26mm">
                <v:stroke joinstyle="miter" endcap="square"/>
              </v:line>
            </w:pict>
          </mc:Fallback>
        </mc:AlternateContent>
      </w:r>
      <w:r w:rsidR="00ED6BD2" w:rsidRPr="00DE475B">
        <w:rPr>
          <w:rFonts w:ascii="Arial" w:hAnsi="Arial" w:cs="Arial"/>
          <w:b/>
          <w:bCs/>
          <w:sz w:val="20"/>
          <w:szCs w:val="20"/>
        </w:rPr>
        <w:t>NOTES TO THE FINANCIAL STATEMENTS</w:t>
      </w:r>
    </w:p>
    <w:p w:rsidR="00ED6BD2" w:rsidRPr="00DE475B" w:rsidRDefault="007C4DFB" w:rsidP="00ED6BD2">
      <w:r>
        <w:rPr>
          <w:rFonts w:ascii="Arial" w:hAnsi="Arial" w:cs="Arial"/>
          <w:b/>
          <w:bCs/>
          <w:sz w:val="20"/>
          <w:szCs w:val="20"/>
        </w:rPr>
        <w:t>For the year ended 30 June 2017</w:t>
      </w:r>
    </w:p>
    <w:p w:rsidR="00ED6BD2" w:rsidRPr="00185D50" w:rsidRDefault="00373FFE" w:rsidP="00ED6BD2">
      <w:pPr>
        <w:pStyle w:val="ARbodytext"/>
        <w:rPr>
          <w:rFonts w:eastAsia="Times New Roman"/>
          <w:b/>
          <w:bCs/>
          <w:sz w:val="18"/>
          <w:szCs w:val="18"/>
          <w:lang w:eastAsia="en-US"/>
        </w:rPr>
      </w:pPr>
      <w:r w:rsidRPr="00185D50">
        <w:rPr>
          <w:rFonts w:eastAsia="Times New Roman"/>
          <w:b/>
          <w:bCs/>
          <w:noProof/>
          <w:sz w:val="18"/>
          <w:szCs w:val="18"/>
          <w:lang w:eastAsia="en-AU"/>
        </w:rPr>
        <mc:AlternateContent>
          <mc:Choice Requires="wps">
            <w:drawing>
              <wp:anchor distT="0" distB="0" distL="114300" distR="114300" simplePos="0" relativeHeight="251638784" behindDoc="0" locked="0" layoutInCell="1" allowOverlap="1" wp14:anchorId="7CCBFA69" wp14:editId="38528A74">
                <wp:simplePos x="0" y="0"/>
                <wp:positionH relativeFrom="column">
                  <wp:posOffset>-66040</wp:posOffset>
                </wp:positionH>
                <wp:positionV relativeFrom="paragraph">
                  <wp:posOffset>70485</wp:posOffset>
                </wp:positionV>
                <wp:extent cx="5573395" cy="0"/>
                <wp:effectExtent l="13970" t="13335" r="13335" b="5715"/>
                <wp:wrapNone/>
                <wp:docPr id="5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KSmwIAAHoFAAAOAAAAZHJzL2Uyb0RvYy54bWysVE1v2zAMvQ/YfxB0d23Hdj6MOkXrOLt0&#10;W4F22FmR5FiYLXmSGicY+t9HKYnXdJdhaAIYokRSj3yPur7Zdy3acW2EkgWOryKMuKSKCbkt8Len&#10;dTDHyFgiGWmV5AU+cINvlh8/XA99zieqUS3jGkESafKhL3BjbZ+HoaEN74i5Uj2XcFgr3RELpt6G&#10;TJMBsndtOImiaTgozXqtKDcGdlfHQ7z0+euaU/u1rg23qC0wYLP+q/13477h8prkW036RtATDPIf&#10;KDoiJFw6ploRS9CzFn+l6gTVyqjaXlHVhaquBeW+Bqgmjt5U89iQnvtaoDmmH9tk3i8t/bJ70Eiw&#10;AmcJRpJ0wNG9kBxNosw1Z+hNDj6lfNCuPLqXj/29oj8MkqpsiNxyD/Lp0ENg7CLCixBnmB6u2Ayf&#10;FQMf8myV79S+1p1LCT1Ae0/IYSSE7y2isJllsyRZZBjR81lI8nNgr439xFWH3KLALaD2icnu3lgH&#10;hORnF3ePVGvRtp7vVqKhwItkCoqgBFRnfvpIo1rBnJfzN3q7KVuNdsRJx/98eXDy2q0TFgTciq7A&#10;89GJ5A0nrJLMX2eJaI9rgNRKl5x7aR5xgrW3sPT7ULiXza9FtKjm1TwN0sm0CtJotQpu12UaTNfx&#10;LFslq7JcxS8OdZzmjWCMSwf8LOE4/TeJnIbpKL5RxGOrwsvsvqcA9hLp7TqLZmkyD2azLAnSpIqC&#10;u/m6DG7LeDqdVXflXfUGaeWrN+8DdmylQ6WegY3Hhg2ICSeKJFtMYgwGjPxkduQHkXYLbxW1GiOt&#10;7HdhG69hpz6X44L4eeT+J+LH7MdGnDl01sjCqbY/rQLOz/z60XDTcJyrjWKHB30eGRhwH3R6jNwL&#10;8tqG9esnc/kbAAD//wMAUEsDBBQABgAIAAAAIQDwQGlx3gAAAAkBAAAPAAAAZHJzL2Rvd25yZXYu&#10;eG1sTI/BSsNAEIbvgu+wjOBF2k1sqCVmU0QQD4K0VRRv2+yYDWZnw+62iW/vSA96nPk//vmmWk+u&#10;F0cMsfOkIJ9nIJAabzpqFby+PMxWIGLSZHTvCRV8Y4R1fX5W6dL4kbZ43KVWcAnFUiuwKQ2llLGx&#10;6HSc+wGJs08fnE48hlaaoEcud728zrKldLojvmD1gPcWm6/dwSl4DmMX06IoNpg+3h6f3u3mym2V&#10;uryY7m5BJJzSHwy/+qwONTvt/YFMFL2CWZ4VjHKQ5yAYWC1vFiD2p4WsK/n/g/oHAAD//wMAUEsB&#10;Ai0AFAAGAAgAAAAhALaDOJL+AAAA4QEAABMAAAAAAAAAAAAAAAAAAAAAAFtDb250ZW50X1R5cGVz&#10;XS54bWxQSwECLQAUAAYACAAAACEAOP0h/9YAAACUAQAACwAAAAAAAAAAAAAAAAAvAQAAX3JlbHMv&#10;LnJlbHNQSwECLQAUAAYACAAAACEAQwlSkpsCAAB6BQAADgAAAAAAAAAAAAAAAAAuAgAAZHJzL2Uy&#10;b0RvYy54bWxQSwECLQAUAAYACAAAACEA8EBpcd4AAAAJAQAADwAAAAAAAAAAAAAAAAD1BAAAZHJz&#10;L2Rvd25yZXYueG1sUEsFBgAAAAAEAAQA8wAAAAAGAAAAAA==&#10;" strokeweight=".26mm">
                <v:stroke joinstyle="miter" endcap="square"/>
              </v:line>
            </w:pict>
          </mc:Fallback>
        </mc:AlternateContent>
      </w:r>
    </w:p>
    <w:p w:rsidR="00ED6BD2" w:rsidRPr="00DE475B" w:rsidRDefault="00ED6BD2" w:rsidP="00ED6BD2">
      <w:pPr>
        <w:pStyle w:val="ARheading3"/>
        <w:tabs>
          <w:tab w:val="left" w:pos="851"/>
        </w:tabs>
        <w:spacing w:after="120"/>
        <w:rPr>
          <w:color w:val="808080"/>
        </w:rPr>
        <w:sectPr w:rsidR="00ED6BD2" w:rsidRPr="00DE475B" w:rsidSect="00B53922">
          <w:pgSz w:w="11906" w:h="16838"/>
          <w:pgMar w:top="1440" w:right="1701" w:bottom="1440" w:left="1701" w:header="680" w:footer="680" w:gutter="0"/>
          <w:cols w:space="720"/>
          <w:docGrid w:linePitch="360"/>
        </w:sectPr>
      </w:pPr>
      <w:r w:rsidRPr="00DE475B">
        <w:rPr>
          <w:color w:val="808080"/>
        </w:rPr>
        <w:t>C1 Cash and equivalents</w:t>
      </w:r>
    </w:p>
    <w:p w:rsidR="00ED6BD2" w:rsidRPr="00DE475B" w:rsidRDefault="00ED6BD2" w:rsidP="00185D50">
      <w:pPr>
        <w:rPr>
          <w:rFonts w:ascii="Arial" w:hAnsi="Arial" w:cs="Arial"/>
          <w:i/>
          <w:iCs/>
          <w:sz w:val="20"/>
          <w:szCs w:val="20"/>
        </w:rPr>
      </w:pPr>
      <w:r w:rsidRPr="00DE475B">
        <w:rPr>
          <w:rFonts w:ascii="Arial" w:hAnsi="Arial" w:cs="Arial"/>
          <w:i/>
          <w:iCs/>
          <w:sz w:val="20"/>
          <w:szCs w:val="20"/>
        </w:rPr>
        <w:lastRenderedPageBreak/>
        <w:t>Accounting policy</w:t>
      </w:r>
      <w:r w:rsidR="007C4DFB">
        <w:rPr>
          <w:rFonts w:ascii="Arial" w:hAnsi="Arial" w:cs="Arial"/>
          <w:i/>
          <w:iCs/>
          <w:sz w:val="20"/>
          <w:szCs w:val="20"/>
        </w:rPr>
        <w:t xml:space="preserve"> — Cash and cash equivalents</w:t>
      </w:r>
    </w:p>
    <w:p w:rsidR="00ED6BD2" w:rsidRPr="00DE475B" w:rsidRDefault="00ED6BD2" w:rsidP="00185D50">
      <w:pPr>
        <w:tabs>
          <w:tab w:val="left" w:pos="504"/>
          <w:tab w:val="left" w:pos="5878"/>
        </w:tabs>
        <w:rPr>
          <w:rFonts w:ascii="Arial" w:hAnsi="Arial" w:cs="Arial"/>
          <w:sz w:val="20"/>
          <w:szCs w:val="20"/>
        </w:rPr>
      </w:pPr>
      <w:r w:rsidRPr="00DE475B">
        <w:rPr>
          <w:rFonts w:ascii="Arial" w:hAnsi="Arial" w:cs="Arial"/>
          <w:sz w:val="20"/>
          <w:szCs w:val="20"/>
        </w:rPr>
        <w:t xml:space="preserve">For the purposes of the Statements of Financial Position and the Statements of Cash Flows, cash assets include all cash and cheques receipted but not banked at 30 June as well as deposits at call with financial institutions. </w:t>
      </w:r>
    </w:p>
    <w:tbl>
      <w:tblPr>
        <w:tblW w:w="8647" w:type="dxa"/>
        <w:tblInd w:w="108" w:type="dxa"/>
        <w:tblLayout w:type="fixed"/>
        <w:tblLook w:val="0000" w:firstRow="0" w:lastRow="0" w:firstColumn="0" w:lastColumn="0" w:noHBand="0" w:noVBand="0"/>
      </w:tblPr>
      <w:tblGrid>
        <w:gridCol w:w="535"/>
        <w:gridCol w:w="318"/>
        <w:gridCol w:w="794"/>
        <w:gridCol w:w="1111"/>
        <w:gridCol w:w="635"/>
        <w:gridCol w:w="1430"/>
        <w:gridCol w:w="956"/>
        <w:gridCol w:w="956"/>
        <w:gridCol w:w="956"/>
        <w:gridCol w:w="956"/>
      </w:tblGrid>
      <w:tr w:rsidR="00A627F9" w:rsidRPr="00DE475B" w:rsidTr="007C4DFB">
        <w:trPr>
          <w:trHeight w:val="255"/>
        </w:trPr>
        <w:tc>
          <w:tcPr>
            <w:tcW w:w="535" w:type="dxa"/>
            <w:shd w:val="clear" w:color="auto" w:fill="auto"/>
            <w:vAlign w:val="bottom"/>
          </w:tcPr>
          <w:p w:rsidR="00A627F9" w:rsidRPr="00DE475B" w:rsidRDefault="00A627F9" w:rsidP="00FB3766">
            <w:pPr>
              <w:snapToGrid w:val="0"/>
              <w:rPr>
                <w:rFonts w:ascii="Arial" w:hAnsi="Arial" w:cs="Arial"/>
                <w:b/>
                <w:bCs/>
                <w:sz w:val="20"/>
                <w:szCs w:val="20"/>
              </w:rPr>
            </w:pPr>
          </w:p>
        </w:tc>
        <w:tc>
          <w:tcPr>
            <w:tcW w:w="318" w:type="dxa"/>
            <w:shd w:val="clear" w:color="auto" w:fill="auto"/>
            <w:vAlign w:val="bottom"/>
          </w:tcPr>
          <w:p w:rsidR="00A627F9" w:rsidRPr="00DE475B" w:rsidRDefault="00A627F9" w:rsidP="00FB3766">
            <w:pPr>
              <w:snapToGrid w:val="0"/>
              <w:rPr>
                <w:rFonts w:ascii="Arial" w:hAnsi="Arial" w:cs="Arial"/>
                <w:b/>
                <w:bCs/>
                <w:sz w:val="20"/>
                <w:szCs w:val="20"/>
              </w:rPr>
            </w:pPr>
          </w:p>
        </w:tc>
        <w:tc>
          <w:tcPr>
            <w:tcW w:w="794" w:type="dxa"/>
            <w:shd w:val="clear" w:color="auto" w:fill="auto"/>
            <w:vAlign w:val="bottom"/>
          </w:tcPr>
          <w:p w:rsidR="00A627F9" w:rsidRPr="00DE475B" w:rsidRDefault="00A627F9" w:rsidP="00FB3766">
            <w:pPr>
              <w:snapToGrid w:val="0"/>
              <w:rPr>
                <w:rFonts w:ascii="Arial" w:hAnsi="Arial" w:cs="Arial"/>
                <w:b/>
                <w:bCs/>
                <w:sz w:val="20"/>
                <w:szCs w:val="20"/>
              </w:rPr>
            </w:pPr>
          </w:p>
        </w:tc>
        <w:tc>
          <w:tcPr>
            <w:tcW w:w="1111" w:type="dxa"/>
            <w:shd w:val="clear" w:color="auto" w:fill="auto"/>
            <w:vAlign w:val="bottom"/>
          </w:tcPr>
          <w:p w:rsidR="00A627F9" w:rsidRPr="00DE475B" w:rsidRDefault="00A627F9" w:rsidP="00FB3766">
            <w:pPr>
              <w:snapToGrid w:val="0"/>
              <w:rPr>
                <w:rFonts w:ascii="Arial" w:hAnsi="Arial" w:cs="Arial"/>
                <w:b/>
                <w:bCs/>
                <w:sz w:val="20"/>
                <w:szCs w:val="20"/>
              </w:rPr>
            </w:pPr>
          </w:p>
        </w:tc>
        <w:tc>
          <w:tcPr>
            <w:tcW w:w="635" w:type="dxa"/>
            <w:shd w:val="clear" w:color="auto" w:fill="auto"/>
            <w:vAlign w:val="bottom"/>
          </w:tcPr>
          <w:p w:rsidR="00A627F9" w:rsidRPr="00DE475B" w:rsidRDefault="00A627F9" w:rsidP="00FB3766">
            <w:pPr>
              <w:snapToGrid w:val="0"/>
              <w:rPr>
                <w:rFonts w:ascii="Arial" w:hAnsi="Arial" w:cs="Arial"/>
                <w:b/>
                <w:bCs/>
                <w:sz w:val="20"/>
                <w:szCs w:val="20"/>
              </w:rPr>
            </w:pPr>
          </w:p>
        </w:tc>
        <w:tc>
          <w:tcPr>
            <w:tcW w:w="1430" w:type="dxa"/>
            <w:shd w:val="clear" w:color="auto" w:fill="auto"/>
            <w:vAlign w:val="bottom"/>
          </w:tcPr>
          <w:p w:rsidR="00A627F9" w:rsidRPr="00DE475B" w:rsidRDefault="00A627F9" w:rsidP="00FB3766">
            <w:pPr>
              <w:snapToGrid w:val="0"/>
              <w:jc w:val="center"/>
              <w:rPr>
                <w:rFonts w:ascii="Arial" w:hAnsi="Arial" w:cs="Arial"/>
                <w:b/>
                <w:bCs/>
                <w:sz w:val="20"/>
                <w:szCs w:val="20"/>
              </w:rPr>
            </w:pPr>
          </w:p>
        </w:tc>
        <w:tc>
          <w:tcPr>
            <w:tcW w:w="1912" w:type="dxa"/>
            <w:gridSpan w:val="2"/>
            <w:shd w:val="clear" w:color="auto" w:fill="auto"/>
            <w:vAlign w:val="bottom"/>
          </w:tcPr>
          <w:p w:rsidR="00A627F9" w:rsidRPr="00DE475B" w:rsidRDefault="00A627F9" w:rsidP="00FB3766">
            <w:pPr>
              <w:jc w:val="right"/>
              <w:rPr>
                <w:rFonts w:ascii="Arial" w:hAnsi="Arial" w:cs="Arial"/>
                <w:b/>
                <w:bCs/>
                <w:sz w:val="20"/>
                <w:szCs w:val="20"/>
              </w:rPr>
            </w:pPr>
            <w:r w:rsidRPr="00DE475B">
              <w:rPr>
                <w:rFonts w:ascii="Arial" w:hAnsi="Arial" w:cs="Arial"/>
                <w:b/>
                <w:bCs/>
                <w:sz w:val="20"/>
                <w:szCs w:val="20"/>
              </w:rPr>
              <w:t>Economic Entity</w:t>
            </w:r>
          </w:p>
        </w:tc>
        <w:tc>
          <w:tcPr>
            <w:tcW w:w="1912" w:type="dxa"/>
            <w:gridSpan w:val="2"/>
            <w:shd w:val="clear" w:color="auto" w:fill="auto"/>
            <w:vAlign w:val="bottom"/>
          </w:tcPr>
          <w:p w:rsidR="00A627F9" w:rsidRPr="00DE475B" w:rsidRDefault="00A627F9" w:rsidP="00FB3766">
            <w:pPr>
              <w:jc w:val="right"/>
              <w:rPr>
                <w:rFonts w:ascii="Arial" w:hAnsi="Arial" w:cs="Arial"/>
                <w:b/>
                <w:bCs/>
                <w:sz w:val="20"/>
                <w:szCs w:val="20"/>
              </w:rPr>
            </w:pPr>
            <w:r w:rsidRPr="00DE475B">
              <w:rPr>
                <w:rFonts w:ascii="Arial" w:hAnsi="Arial" w:cs="Arial"/>
                <w:b/>
                <w:bCs/>
                <w:sz w:val="20"/>
                <w:szCs w:val="20"/>
              </w:rPr>
              <w:t>Parent Entity</w:t>
            </w:r>
          </w:p>
        </w:tc>
      </w:tr>
      <w:tr w:rsidR="00A627F9" w:rsidRPr="00DE475B" w:rsidTr="007C4DFB">
        <w:trPr>
          <w:trHeight w:val="255"/>
        </w:trPr>
        <w:tc>
          <w:tcPr>
            <w:tcW w:w="535" w:type="dxa"/>
            <w:shd w:val="clear" w:color="auto" w:fill="auto"/>
            <w:vAlign w:val="bottom"/>
          </w:tcPr>
          <w:p w:rsidR="00A627F9" w:rsidRPr="00DE475B" w:rsidRDefault="00A627F9" w:rsidP="00FB3766">
            <w:pPr>
              <w:snapToGrid w:val="0"/>
              <w:jc w:val="right"/>
              <w:rPr>
                <w:rFonts w:ascii="Arial" w:hAnsi="Arial" w:cs="Arial"/>
                <w:b/>
                <w:bCs/>
                <w:sz w:val="20"/>
                <w:szCs w:val="20"/>
              </w:rPr>
            </w:pPr>
          </w:p>
        </w:tc>
        <w:tc>
          <w:tcPr>
            <w:tcW w:w="318" w:type="dxa"/>
            <w:shd w:val="clear" w:color="auto" w:fill="auto"/>
            <w:vAlign w:val="bottom"/>
          </w:tcPr>
          <w:p w:rsidR="00A627F9" w:rsidRPr="00DE475B" w:rsidRDefault="00A627F9" w:rsidP="00FB3766">
            <w:pPr>
              <w:snapToGrid w:val="0"/>
              <w:jc w:val="right"/>
              <w:rPr>
                <w:rFonts w:ascii="Arial" w:hAnsi="Arial" w:cs="Arial"/>
                <w:b/>
                <w:bCs/>
                <w:sz w:val="20"/>
                <w:szCs w:val="20"/>
              </w:rPr>
            </w:pPr>
          </w:p>
        </w:tc>
        <w:tc>
          <w:tcPr>
            <w:tcW w:w="794" w:type="dxa"/>
            <w:shd w:val="clear" w:color="auto" w:fill="auto"/>
            <w:vAlign w:val="bottom"/>
          </w:tcPr>
          <w:p w:rsidR="00A627F9" w:rsidRPr="00DE475B" w:rsidRDefault="00A627F9" w:rsidP="00FB3766">
            <w:pPr>
              <w:snapToGrid w:val="0"/>
              <w:jc w:val="right"/>
              <w:rPr>
                <w:rFonts w:ascii="Arial" w:hAnsi="Arial" w:cs="Arial"/>
                <w:b/>
                <w:bCs/>
                <w:sz w:val="20"/>
                <w:szCs w:val="20"/>
              </w:rPr>
            </w:pPr>
          </w:p>
        </w:tc>
        <w:tc>
          <w:tcPr>
            <w:tcW w:w="1111" w:type="dxa"/>
            <w:shd w:val="clear" w:color="auto" w:fill="auto"/>
            <w:vAlign w:val="bottom"/>
          </w:tcPr>
          <w:p w:rsidR="00A627F9" w:rsidRPr="00DE475B" w:rsidRDefault="00A627F9" w:rsidP="00FB3766">
            <w:pPr>
              <w:snapToGrid w:val="0"/>
              <w:jc w:val="right"/>
              <w:rPr>
                <w:rFonts w:ascii="Arial" w:hAnsi="Arial" w:cs="Arial"/>
                <w:b/>
                <w:bCs/>
                <w:sz w:val="20"/>
                <w:szCs w:val="20"/>
              </w:rPr>
            </w:pPr>
          </w:p>
        </w:tc>
        <w:tc>
          <w:tcPr>
            <w:tcW w:w="635" w:type="dxa"/>
            <w:shd w:val="clear" w:color="auto" w:fill="auto"/>
            <w:vAlign w:val="bottom"/>
          </w:tcPr>
          <w:p w:rsidR="00A627F9" w:rsidRPr="00DE475B" w:rsidRDefault="00A627F9" w:rsidP="00FB3766">
            <w:pPr>
              <w:snapToGrid w:val="0"/>
              <w:jc w:val="right"/>
              <w:rPr>
                <w:rFonts w:ascii="Arial" w:hAnsi="Arial" w:cs="Arial"/>
                <w:b/>
                <w:bCs/>
                <w:sz w:val="20"/>
                <w:szCs w:val="20"/>
              </w:rPr>
            </w:pPr>
          </w:p>
        </w:tc>
        <w:tc>
          <w:tcPr>
            <w:tcW w:w="1430" w:type="dxa"/>
            <w:shd w:val="clear" w:color="auto" w:fill="auto"/>
            <w:vAlign w:val="bottom"/>
          </w:tcPr>
          <w:p w:rsidR="00A627F9" w:rsidRPr="00DE475B" w:rsidRDefault="00A627F9" w:rsidP="00FB3766">
            <w:pPr>
              <w:snapToGrid w:val="0"/>
              <w:jc w:val="center"/>
              <w:rPr>
                <w:rFonts w:ascii="Arial" w:hAnsi="Arial" w:cs="Arial"/>
                <w:b/>
                <w:bCs/>
                <w:sz w:val="20"/>
                <w:szCs w:val="20"/>
              </w:rPr>
            </w:pPr>
          </w:p>
        </w:tc>
        <w:tc>
          <w:tcPr>
            <w:tcW w:w="956" w:type="dxa"/>
            <w:shd w:val="clear" w:color="auto" w:fill="auto"/>
            <w:vAlign w:val="bottom"/>
          </w:tcPr>
          <w:p w:rsidR="00A627F9" w:rsidRPr="00DE475B" w:rsidRDefault="007C4DFB" w:rsidP="00FB3766">
            <w:pPr>
              <w:jc w:val="right"/>
              <w:rPr>
                <w:rFonts w:ascii="Arial" w:hAnsi="Arial" w:cs="Arial"/>
                <w:b/>
                <w:bCs/>
                <w:sz w:val="20"/>
                <w:szCs w:val="20"/>
              </w:rPr>
            </w:pPr>
            <w:r>
              <w:rPr>
                <w:rFonts w:ascii="Arial" w:hAnsi="Arial" w:cs="Arial"/>
                <w:b/>
                <w:bCs/>
                <w:sz w:val="20"/>
                <w:szCs w:val="20"/>
              </w:rPr>
              <w:t>2017</w:t>
            </w:r>
          </w:p>
        </w:tc>
        <w:tc>
          <w:tcPr>
            <w:tcW w:w="956" w:type="dxa"/>
            <w:shd w:val="clear" w:color="auto" w:fill="auto"/>
            <w:vAlign w:val="bottom"/>
          </w:tcPr>
          <w:p w:rsidR="00A627F9" w:rsidRPr="00DE475B" w:rsidRDefault="007C4DFB" w:rsidP="00A627F9">
            <w:pPr>
              <w:jc w:val="right"/>
              <w:rPr>
                <w:rFonts w:ascii="Arial" w:hAnsi="Arial" w:cs="Arial"/>
                <w:b/>
                <w:bCs/>
                <w:sz w:val="20"/>
                <w:szCs w:val="20"/>
              </w:rPr>
            </w:pPr>
            <w:r>
              <w:rPr>
                <w:rFonts w:ascii="Arial" w:hAnsi="Arial" w:cs="Arial"/>
                <w:b/>
                <w:bCs/>
                <w:sz w:val="20"/>
                <w:szCs w:val="20"/>
              </w:rPr>
              <w:t>2016</w:t>
            </w:r>
          </w:p>
        </w:tc>
        <w:tc>
          <w:tcPr>
            <w:tcW w:w="956" w:type="dxa"/>
            <w:shd w:val="clear" w:color="auto" w:fill="auto"/>
            <w:vAlign w:val="bottom"/>
          </w:tcPr>
          <w:p w:rsidR="00A627F9" w:rsidRPr="00DE475B" w:rsidRDefault="007C4DFB" w:rsidP="00A627F9">
            <w:pPr>
              <w:jc w:val="right"/>
              <w:rPr>
                <w:rFonts w:ascii="Arial" w:hAnsi="Arial" w:cs="Arial"/>
                <w:b/>
                <w:bCs/>
                <w:sz w:val="20"/>
                <w:szCs w:val="20"/>
              </w:rPr>
            </w:pPr>
            <w:r>
              <w:rPr>
                <w:rFonts w:ascii="Arial" w:hAnsi="Arial" w:cs="Arial"/>
                <w:b/>
                <w:bCs/>
                <w:sz w:val="20"/>
                <w:szCs w:val="20"/>
              </w:rPr>
              <w:t>2017</w:t>
            </w:r>
          </w:p>
        </w:tc>
        <w:tc>
          <w:tcPr>
            <w:tcW w:w="956" w:type="dxa"/>
            <w:shd w:val="clear" w:color="auto" w:fill="auto"/>
            <w:vAlign w:val="bottom"/>
          </w:tcPr>
          <w:p w:rsidR="00A627F9" w:rsidRPr="00DE475B" w:rsidRDefault="007C4DFB" w:rsidP="00A627F9">
            <w:pPr>
              <w:jc w:val="right"/>
              <w:rPr>
                <w:rFonts w:ascii="Arial" w:hAnsi="Arial" w:cs="Arial"/>
                <w:b/>
                <w:bCs/>
                <w:sz w:val="20"/>
                <w:szCs w:val="20"/>
              </w:rPr>
            </w:pPr>
            <w:r>
              <w:rPr>
                <w:rFonts w:ascii="Arial" w:hAnsi="Arial" w:cs="Arial"/>
                <w:b/>
                <w:bCs/>
                <w:sz w:val="20"/>
                <w:szCs w:val="20"/>
              </w:rPr>
              <w:t>2016</w:t>
            </w:r>
          </w:p>
        </w:tc>
      </w:tr>
      <w:tr w:rsidR="00A627F9" w:rsidRPr="00DE475B" w:rsidTr="007C4DFB">
        <w:trPr>
          <w:trHeight w:val="255"/>
        </w:trPr>
        <w:tc>
          <w:tcPr>
            <w:tcW w:w="535" w:type="dxa"/>
            <w:shd w:val="clear" w:color="auto" w:fill="auto"/>
            <w:vAlign w:val="bottom"/>
          </w:tcPr>
          <w:p w:rsidR="00A627F9" w:rsidRPr="00DE475B" w:rsidRDefault="00A627F9" w:rsidP="00FB3766">
            <w:pPr>
              <w:snapToGrid w:val="0"/>
              <w:jc w:val="right"/>
              <w:rPr>
                <w:rFonts w:ascii="Arial" w:hAnsi="Arial" w:cs="Arial"/>
                <w:b/>
                <w:bCs/>
                <w:sz w:val="20"/>
                <w:szCs w:val="20"/>
              </w:rPr>
            </w:pPr>
          </w:p>
        </w:tc>
        <w:tc>
          <w:tcPr>
            <w:tcW w:w="318" w:type="dxa"/>
            <w:shd w:val="clear" w:color="auto" w:fill="auto"/>
            <w:vAlign w:val="bottom"/>
          </w:tcPr>
          <w:p w:rsidR="00A627F9" w:rsidRPr="00DE475B" w:rsidRDefault="00A627F9" w:rsidP="00FB3766">
            <w:pPr>
              <w:snapToGrid w:val="0"/>
              <w:jc w:val="right"/>
              <w:rPr>
                <w:rFonts w:ascii="Arial" w:hAnsi="Arial" w:cs="Arial"/>
                <w:b/>
                <w:bCs/>
                <w:sz w:val="20"/>
                <w:szCs w:val="20"/>
              </w:rPr>
            </w:pPr>
          </w:p>
        </w:tc>
        <w:tc>
          <w:tcPr>
            <w:tcW w:w="794" w:type="dxa"/>
            <w:shd w:val="clear" w:color="auto" w:fill="auto"/>
            <w:vAlign w:val="bottom"/>
          </w:tcPr>
          <w:p w:rsidR="00A627F9" w:rsidRPr="00DE475B" w:rsidRDefault="00A627F9" w:rsidP="00FB3766">
            <w:pPr>
              <w:snapToGrid w:val="0"/>
              <w:jc w:val="right"/>
              <w:rPr>
                <w:rFonts w:ascii="Arial" w:hAnsi="Arial" w:cs="Arial"/>
                <w:b/>
                <w:bCs/>
                <w:sz w:val="20"/>
                <w:szCs w:val="20"/>
              </w:rPr>
            </w:pPr>
          </w:p>
        </w:tc>
        <w:tc>
          <w:tcPr>
            <w:tcW w:w="1111" w:type="dxa"/>
            <w:shd w:val="clear" w:color="auto" w:fill="auto"/>
            <w:vAlign w:val="bottom"/>
          </w:tcPr>
          <w:p w:rsidR="00A627F9" w:rsidRPr="00DE475B" w:rsidRDefault="00A627F9" w:rsidP="00FB3766">
            <w:pPr>
              <w:snapToGrid w:val="0"/>
              <w:jc w:val="right"/>
              <w:rPr>
                <w:rFonts w:ascii="Arial" w:hAnsi="Arial" w:cs="Arial"/>
                <w:b/>
                <w:bCs/>
                <w:sz w:val="20"/>
                <w:szCs w:val="20"/>
              </w:rPr>
            </w:pPr>
          </w:p>
        </w:tc>
        <w:tc>
          <w:tcPr>
            <w:tcW w:w="635" w:type="dxa"/>
            <w:shd w:val="clear" w:color="auto" w:fill="auto"/>
            <w:vAlign w:val="bottom"/>
          </w:tcPr>
          <w:p w:rsidR="00A627F9" w:rsidRPr="00DE475B" w:rsidRDefault="00A627F9" w:rsidP="00FB3766">
            <w:pPr>
              <w:snapToGrid w:val="0"/>
              <w:jc w:val="right"/>
              <w:rPr>
                <w:rFonts w:ascii="Arial" w:hAnsi="Arial" w:cs="Arial"/>
                <w:b/>
                <w:bCs/>
                <w:sz w:val="20"/>
                <w:szCs w:val="20"/>
              </w:rPr>
            </w:pPr>
          </w:p>
        </w:tc>
        <w:tc>
          <w:tcPr>
            <w:tcW w:w="1430" w:type="dxa"/>
            <w:shd w:val="clear" w:color="auto" w:fill="auto"/>
            <w:vAlign w:val="bottom"/>
          </w:tcPr>
          <w:p w:rsidR="00A627F9" w:rsidRPr="00DE475B" w:rsidRDefault="00A627F9" w:rsidP="00FB3766">
            <w:pPr>
              <w:snapToGrid w:val="0"/>
              <w:jc w:val="right"/>
              <w:rPr>
                <w:rFonts w:ascii="Arial" w:hAnsi="Arial" w:cs="Arial"/>
                <w:b/>
                <w:bCs/>
                <w:sz w:val="20"/>
                <w:szCs w:val="20"/>
              </w:rPr>
            </w:pPr>
          </w:p>
        </w:tc>
        <w:tc>
          <w:tcPr>
            <w:tcW w:w="956" w:type="dxa"/>
            <w:shd w:val="clear" w:color="auto" w:fill="auto"/>
            <w:vAlign w:val="bottom"/>
          </w:tcPr>
          <w:p w:rsidR="00A627F9" w:rsidRPr="00DE475B" w:rsidRDefault="00A627F9" w:rsidP="00FB3766">
            <w:pPr>
              <w:jc w:val="right"/>
              <w:rPr>
                <w:rFonts w:ascii="Arial" w:hAnsi="Arial" w:cs="Arial"/>
                <w:b/>
                <w:bCs/>
                <w:sz w:val="20"/>
                <w:szCs w:val="20"/>
              </w:rPr>
            </w:pPr>
            <w:r w:rsidRPr="00DE475B">
              <w:rPr>
                <w:rFonts w:ascii="Arial" w:hAnsi="Arial" w:cs="Arial"/>
                <w:b/>
                <w:bCs/>
                <w:sz w:val="20"/>
                <w:szCs w:val="20"/>
              </w:rPr>
              <w:t>$'000</w:t>
            </w:r>
          </w:p>
        </w:tc>
        <w:tc>
          <w:tcPr>
            <w:tcW w:w="956" w:type="dxa"/>
            <w:shd w:val="clear" w:color="auto" w:fill="auto"/>
            <w:vAlign w:val="bottom"/>
          </w:tcPr>
          <w:p w:rsidR="00A627F9" w:rsidRPr="00DE475B" w:rsidRDefault="00A627F9" w:rsidP="00FB3766">
            <w:pPr>
              <w:jc w:val="right"/>
              <w:rPr>
                <w:rFonts w:ascii="Arial" w:hAnsi="Arial" w:cs="Arial"/>
                <w:b/>
                <w:bCs/>
                <w:sz w:val="20"/>
                <w:szCs w:val="20"/>
              </w:rPr>
            </w:pPr>
            <w:r w:rsidRPr="00DE475B">
              <w:rPr>
                <w:rFonts w:ascii="Arial" w:hAnsi="Arial" w:cs="Arial"/>
                <w:b/>
                <w:bCs/>
                <w:sz w:val="20"/>
                <w:szCs w:val="20"/>
              </w:rPr>
              <w:t>$'000</w:t>
            </w:r>
          </w:p>
        </w:tc>
        <w:tc>
          <w:tcPr>
            <w:tcW w:w="956" w:type="dxa"/>
            <w:shd w:val="clear" w:color="auto" w:fill="auto"/>
            <w:vAlign w:val="bottom"/>
          </w:tcPr>
          <w:p w:rsidR="00A627F9" w:rsidRPr="00DE475B" w:rsidRDefault="00A627F9" w:rsidP="00FB3766">
            <w:pPr>
              <w:jc w:val="right"/>
              <w:rPr>
                <w:rFonts w:ascii="Arial" w:hAnsi="Arial" w:cs="Arial"/>
                <w:b/>
                <w:bCs/>
                <w:sz w:val="20"/>
                <w:szCs w:val="20"/>
              </w:rPr>
            </w:pPr>
            <w:r w:rsidRPr="00DE475B">
              <w:rPr>
                <w:rFonts w:ascii="Arial" w:hAnsi="Arial" w:cs="Arial"/>
                <w:b/>
                <w:bCs/>
                <w:sz w:val="20"/>
                <w:szCs w:val="20"/>
              </w:rPr>
              <w:t>$'000</w:t>
            </w:r>
          </w:p>
        </w:tc>
        <w:tc>
          <w:tcPr>
            <w:tcW w:w="956" w:type="dxa"/>
            <w:shd w:val="clear" w:color="auto" w:fill="auto"/>
            <w:vAlign w:val="bottom"/>
          </w:tcPr>
          <w:p w:rsidR="00A627F9" w:rsidRPr="00DE475B" w:rsidRDefault="00A627F9" w:rsidP="00FB3766">
            <w:pPr>
              <w:jc w:val="right"/>
              <w:rPr>
                <w:rFonts w:ascii="Arial" w:hAnsi="Arial" w:cs="Arial"/>
                <w:b/>
                <w:bCs/>
                <w:sz w:val="20"/>
                <w:szCs w:val="20"/>
              </w:rPr>
            </w:pPr>
            <w:r w:rsidRPr="00DE475B">
              <w:rPr>
                <w:rFonts w:ascii="Arial" w:hAnsi="Arial" w:cs="Arial"/>
                <w:b/>
                <w:bCs/>
                <w:sz w:val="20"/>
                <w:szCs w:val="20"/>
              </w:rPr>
              <w:t>$'000</w:t>
            </w:r>
          </w:p>
        </w:tc>
      </w:tr>
      <w:tr w:rsidR="007C4DFB" w:rsidRPr="00DE475B" w:rsidTr="007C4DFB">
        <w:trPr>
          <w:trHeight w:val="300"/>
        </w:trPr>
        <w:tc>
          <w:tcPr>
            <w:tcW w:w="3393" w:type="dxa"/>
            <w:gridSpan w:val="5"/>
            <w:shd w:val="clear" w:color="auto" w:fill="auto"/>
            <w:vAlign w:val="bottom"/>
          </w:tcPr>
          <w:p w:rsidR="007C4DFB" w:rsidRPr="00DE475B" w:rsidRDefault="007C4DFB" w:rsidP="00FB3766">
            <w:pPr>
              <w:rPr>
                <w:rFonts w:ascii="Arial" w:hAnsi="Arial" w:cs="Arial"/>
                <w:sz w:val="20"/>
                <w:szCs w:val="20"/>
              </w:rPr>
            </w:pPr>
            <w:proofErr w:type="spellStart"/>
            <w:r w:rsidRPr="00DE475B">
              <w:rPr>
                <w:rFonts w:ascii="Arial" w:hAnsi="Arial" w:cs="Arial"/>
                <w:sz w:val="20"/>
                <w:szCs w:val="20"/>
              </w:rPr>
              <w:t>Imprest</w:t>
            </w:r>
            <w:proofErr w:type="spellEnd"/>
            <w:r w:rsidRPr="00DE475B">
              <w:rPr>
                <w:rFonts w:ascii="Arial" w:hAnsi="Arial" w:cs="Arial"/>
                <w:sz w:val="20"/>
                <w:szCs w:val="20"/>
              </w:rPr>
              <w:t xml:space="preserve"> accounts</w:t>
            </w:r>
          </w:p>
        </w:tc>
        <w:tc>
          <w:tcPr>
            <w:tcW w:w="1430" w:type="dxa"/>
            <w:shd w:val="clear" w:color="auto" w:fill="auto"/>
            <w:vAlign w:val="bottom"/>
          </w:tcPr>
          <w:p w:rsidR="007C4DFB" w:rsidRPr="00DE475B" w:rsidRDefault="007C4DFB" w:rsidP="00FB3766">
            <w:pPr>
              <w:snapToGrid w:val="0"/>
              <w:jc w:val="center"/>
              <w:rPr>
                <w:rFonts w:ascii="Arial" w:hAnsi="Arial" w:cs="Arial"/>
                <w:sz w:val="20"/>
                <w:szCs w:val="20"/>
              </w:rPr>
            </w:pPr>
          </w:p>
        </w:tc>
        <w:tc>
          <w:tcPr>
            <w:tcW w:w="956" w:type="dxa"/>
            <w:shd w:val="clear" w:color="auto" w:fill="auto"/>
            <w:vAlign w:val="bottom"/>
          </w:tcPr>
          <w:p w:rsidR="007C4DFB" w:rsidRPr="00DE475B" w:rsidRDefault="00D05599" w:rsidP="00247E03">
            <w:pPr>
              <w:jc w:val="right"/>
              <w:rPr>
                <w:rFonts w:ascii="Arial" w:hAnsi="Arial" w:cs="Arial"/>
                <w:sz w:val="20"/>
                <w:szCs w:val="20"/>
              </w:rPr>
            </w:pPr>
            <w:r>
              <w:rPr>
                <w:rFonts w:ascii="Arial" w:hAnsi="Arial" w:cs="Arial"/>
                <w:sz w:val="20"/>
                <w:szCs w:val="20"/>
              </w:rPr>
              <w:t>6</w:t>
            </w:r>
          </w:p>
        </w:tc>
        <w:tc>
          <w:tcPr>
            <w:tcW w:w="956" w:type="dxa"/>
            <w:shd w:val="clear" w:color="auto" w:fill="auto"/>
            <w:vAlign w:val="bottom"/>
          </w:tcPr>
          <w:p w:rsidR="007C4DFB" w:rsidRPr="00DE475B" w:rsidRDefault="007C4DFB" w:rsidP="00A2292F">
            <w:pPr>
              <w:jc w:val="right"/>
              <w:rPr>
                <w:rFonts w:ascii="Arial" w:hAnsi="Arial" w:cs="Arial"/>
                <w:sz w:val="20"/>
                <w:szCs w:val="20"/>
              </w:rPr>
            </w:pPr>
            <w:r w:rsidRPr="00DE475B">
              <w:rPr>
                <w:rFonts w:ascii="Arial" w:hAnsi="Arial" w:cs="Arial"/>
                <w:sz w:val="20"/>
                <w:szCs w:val="20"/>
              </w:rPr>
              <w:t>6</w:t>
            </w:r>
          </w:p>
        </w:tc>
        <w:tc>
          <w:tcPr>
            <w:tcW w:w="956" w:type="dxa"/>
            <w:shd w:val="clear" w:color="auto" w:fill="auto"/>
            <w:vAlign w:val="bottom"/>
          </w:tcPr>
          <w:p w:rsidR="007C4DFB" w:rsidRPr="00DE475B" w:rsidRDefault="00D05599" w:rsidP="00A2292F">
            <w:pPr>
              <w:jc w:val="right"/>
              <w:rPr>
                <w:rFonts w:ascii="Arial" w:hAnsi="Arial" w:cs="Arial"/>
                <w:sz w:val="20"/>
                <w:szCs w:val="20"/>
              </w:rPr>
            </w:pPr>
            <w:r>
              <w:rPr>
                <w:rFonts w:ascii="Arial" w:hAnsi="Arial" w:cs="Arial"/>
                <w:sz w:val="20"/>
                <w:szCs w:val="20"/>
              </w:rPr>
              <w:t>6</w:t>
            </w:r>
          </w:p>
        </w:tc>
        <w:tc>
          <w:tcPr>
            <w:tcW w:w="956" w:type="dxa"/>
            <w:shd w:val="clear" w:color="auto" w:fill="auto"/>
            <w:vAlign w:val="bottom"/>
          </w:tcPr>
          <w:p w:rsidR="007C4DFB" w:rsidRPr="00DE475B" w:rsidRDefault="007C4DFB" w:rsidP="00A2292F">
            <w:pPr>
              <w:jc w:val="right"/>
              <w:rPr>
                <w:rFonts w:ascii="Arial" w:hAnsi="Arial" w:cs="Arial"/>
                <w:sz w:val="20"/>
                <w:szCs w:val="20"/>
              </w:rPr>
            </w:pPr>
            <w:r w:rsidRPr="00DE475B">
              <w:rPr>
                <w:rFonts w:ascii="Arial" w:hAnsi="Arial" w:cs="Arial"/>
                <w:sz w:val="20"/>
                <w:szCs w:val="20"/>
              </w:rPr>
              <w:t>6</w:t>
            </w:r>
          </w:p>
        </w:tc>
      </w:tr>
      <w:tr w:rsidR="007C4DFB" w:rsidRPr="00DE475B" w:rsidTr="007C4DFB">
        <w:trPr>
          <w:trHeight w:val="300"/>
        </w:trPr>
        <w:tc>
          <w:tcPr>
            <w:tcW w:w="3393" w:type="dxa"/>
            <w:gridSpan w:val="5"/>
            <w:shd w:val="clear" w:color="auto" w:fill="auto"/>
            <w:vAlign w:val="bottom"/>
          </w:tcPr>
          <w:p w:rsidR="007C4DFB" w:rsidRPr="00DE475B" w:rsidRDefault="007C4DFB" w:rsidP="00FB3766">
            <w:pPr>
              <w:rPr>
                <w:rFonts w:ascii="Arial" w:hAnsi="Arial" w:cs="Arial"/>
                <w:sz w:val="20"/>
                <w:szCs w:val="20"/>
              </w:rPr>
            </w:pPr>
            <w:r w:rsidRPr="00DE475B">
              <w:rPr>
                <w:rFonts w:ascii="Arial" w:hAnsi="Arial" w:cs="Arial"/>
                <w:sz w:val="20"/>
                <w:szCs w:val="20"/>
              </w:rPr>
              <w:t>Cash at bank and on hand</w:t>
            </w:r>
          </w:p>
        </w:tc>
        <w:tc>
          <w:tcPr>
            <w:tcW w:w="1430" w:type="dxa"/>
            <w:shd w:val="clear" w:color="auto" w:fill="auto"/>
            <w:vAlign w:val="bottom"/>
          </w:tcPr>
          <w:p w:rsidR="007C4DFB" w:rsidRPr="00DE475B" w:rsidRDefault="007C4DFB" w:rsidP="00FB3766">
            <w:pPr>
              <w:snapToGrid w:val="0"/>
              <w:jc w:val="center"/>
              <w:rPr>
                <w:rFonts w:ascii="Arial" w:hAnsi="Arial" w:cs="Arial"/>
                <w:sz w:val="20"/>
                <w:szCs w:val="20"/>
              </w:rPr>
            </w:pPr>
          </w:p>
        </w:tc>
        <w:tc>
          <w:tcPr>
            <w:tcW w:w="956" w:type="dxa"/>
            <w:shd w:val="clear" w:color="auto" w:fill="auto"/>
            <w:vAlign w:val="bottom"/>
          </w:tcPr>
          <w:p w:rsidR="007C4DFB" w:rsidRPr="00DE475B" w:rsidRDefault="00D05599" w:rsidP="00247E03">
            <w:pPr>
              <w:jc w:val="right"/>
              <w:rPr>
                <w:rFonts w:ascii="Arial" w:hAnsi="Arial" w:cs="Arial"/>
                <w:sz w:val="20"/>
                <w:szCs w:val="20"/>
              </w:rPr>
            </w:pPr>
            <w:r>
              <w:rPr>
                <w:rFonts w:ascii="Arial" w:hAnsi="Arial" w:cs="Arial"/>
                <w:sz w:val="20"/>
                <w:szCs w:val="20"/>
              </w:rPr>
              <w:t>124</w:t>
            </w:r>
          </w:p>
        </w:tc>
        <w:tc>
          <w:tcPr>
            <w:tcW w:w="956" w:type="dxa"/>
            <w:shd w:val="clear" w:color="auto" w:fill="auto"/>
            <w:vAlign w:val="bottom"/>
          </w:tcPr>
          <w:p w:rsidR="007C4DFB" w:rsidRPr="00DE475B" w:rsidRDefault="007C4DFB" w:rsidP="00A2292F">
            <w:pPr>
              <w:jc w:val="right"/>
              <w:rPr>
                <w:rFonts w:ascii="Arial" w:hAnsi="Arial" w:cs="Arial"/>
                <w:sz w:val="20"/>
                <w:szCs w:val="20"/>
              </w:rPr>
            </w:pPr>
            <w:r w:rsidRPr="00DE475B">
              <w:rPr>
                <w:rFonts w:ascii="Arial" w:hAnsi="Arial" w:cs="Arial"/>
                <w:sz w:val="20"/>
                <w:szCs w:val="20"/>
              </w:rPr>
              <w:t>59</w:t>
            </w:r>
          </w:p>
        </w:tc>
        <w:tc>
          <w:tcPr>
            <w:tcW w:w="956" w:type="dxa"/>
            <w:shd w:val="clear" w:color="auto" w:fill="auto"/>
            <w:vAlign w:val="bottom"/>
          </w:tcPr>
          <w:p w:rsidR="007C4DFB" w:rsidRPr="00DE475B" w:rsidRDefault="00D05599" w:rsidP="00A2292F">
            <w:pPr>
              <w:jc w:val="right"/>
              <w:rPr>
                <w:rFonts w:ascii="Arial" w:hAnsi="Arial" w:cs="Arial"/>
                <w:sz w:val="20"/>
                <w:szCs w:val="20"/>
              </w:rPr>
            </w:pPr>
            <w:r>
              <w:rPr>
                <w:rFonts w:ascii="Arial" w:hAnsi="Arial" w:cs="Arial"/>
                <w:sz w:val="20"/>
                <w:szCs w:val="20"/>
              </w:rPr>
              <w:t>90</w:t>
            </w:r>
          </w:p>
        </w:tc>
        <w:tc>
          <w:tcPr>
            <w:tcW w:w="956" w:type="dxa"/>
            <w:shd w:val="clear" w:color="auto" w:fill="auto"/>
            <w:vAlign w:val="bottom"/>
          </w:tcPr>
          <w:p w:rsidR="007C4DFB" w:rsidRPr="00DE475B" w:rsidRDefault="007C4DFB" w:rsidP="00A2292F">
            <w:pPr>
              <w:jc w:val="right"/>
              <w:rPr>
                <w:rFonts w:ascii="Arial" w:hAnsi="Arial" w:cs="Arial"/>
                <w:sz w:val="20"/>
                <w:szCs w:val="20"/>
              </w:rPr>
            </w:pPr>
            <w:r w:rsidRPr="00DE475B">
              <w:rPr>
                <w:rFonts w:ascii="Arial" w:hAnsi="Arial" w:cs="Arial"/>
                <w:sz w:val="20"/>
                <w:szCs w:val="20"/>
              </w:rPr>
              <w:t>44</w:t>
            </w:r>
          </w:p>
        </w:tc>
      </w:tr>
      <w:tr w:rsidR="007C4DFB" w:rsidRPr="00DE475B" w:rsidTr="007C4DFB">
        <w:trPr>
          <w:trHeight w:val="300"/>
        </w:trPr>
        <w:tc>
          <w:tcPr>
            <w:tcW w:w="3393" w:type="dxa"/>
            <w:gridSpan w:val="5"/>
            <w:shd w:val="clear" w:color="auto" w:fill="auto"/>
            <w:vAlign w:val="bottom"/>
          </w:tcPr>
          <w:p w:rsidR="007C4DFB" w:rsidRPr="00DE475B" w:rsidRDefault="007C4DFB" w:rsidP="00FB3766">
            <w:pPr>
              <w:rPr>
                <w:rFonts w:ascii="Arial" w:hAnsi="Arial" w:cs="Arial"/>
                <w:sz w:val="20"/>
                <w:szCs w:val="20"/>
              </w:rPr>
            </w:pPr>
            <w:r w:rsidRPr="00DE475B">
              <w:rPr>
                <w:rFonts w:ascii="Arial" w:hAnsi="Arial" w:cs="Arial"/>
                <w:sz w:val="20"/>
                <w:szCs w:val="20"/>
              </w:rPr>
              <w:t>Cash deposit accounts</w:t>
            </w:r>
          </w:p>
        </w:tc>
        <w:tc>
          <w:tcPr>
            <w:tcW w:w="1430" w:type="dxa"/>
            <w:shd w:val="clear" w:color="auto" w:fill="auto"/>
            <w:vAlign w:val="bottom"/>
          </w:tcPr>
          <w:p w:rsidR="007C4DFB" w:rsidRPr="00DE475B" w:rsidRDefault="007C4DFB" w:rsidP="00FB3766">
            <w:pPr>
              <w:snapToGrid w:val="0"/>
              <w:jc w:val="center"/>
              <w:rPr>
                <w:rFonts w:ascii="Arial" w:hAnsi="Arial" w:cs="Arial"/>
                <w:sz w:val="20"/>
                <w:szCs w:val="20"/>
              </w:rPr>
            </w:pPr>
          </w:p>
        </w:tc>
        <w:tc>
          <w:tcPr>
            <w:tcW w:w="956" w:type="dxa"/>
            <w:shd w:val="clear" w:color="auto" w:fill="auto"/>
            <w:vAlign w:val="bottom"/>
          </w:tcPr>
          <w:p w:rsidR="007C4DFB" w:rsidRPr="00DE475B" w:rsidRDefault="00D05599" w:rsidP="00F7189F">
            <w:pPr>
              <w:jc w:val="right"/>
              <w:rPr>
                <w:rFonts w:ascii="Arial" w:hAnsi="Arial" w:cs="Arial"/>
                <w:sz w:val="20"/>
                <w:szCs w:val="20"/>
              </w:rPr>
            </w:pPr>
            <w:r>
              <w:rPr>
                <w:rFonts w:ascii="Arial" w:hAnsi="Arial" w:cs="Arial"/>
                <w:sz w:val="20"/>
                <w:szCs w:val="20"/>
              </w:rPr>
              <w:t>18,730</w:t>
            </w:r>
          </w:p>
        </w:tc>
        <w:tc>
          <w:tcPr>
            <w:tcW w:w="956" w:type="dxa"/>
            <w:shd w:val="clear" w:color="auto" w:fill="auto"/>
            <w:vAlign w:val="bottom"/>
          </w:tcPr>
          <w:p w:rsidR="007C4DFB" w:rsidRPr="00DE475B" w:rsidRDefault="007C4DFB" w:rsidP="00A2292F">
            <w:pPr>
              <w:jc w:val="right"/>
              <w:rPr>
                <w:rFonts w:ascii="Arial" w:hAnsi="Arial" w:cs="Arial"/>
                <w:sz w:val="20"/>
                <w:szCs w:val="20"/>
              </w:rPr>
            </w:pPr>
            <w:r w:rsidRPr="00DE475B">
              <w:rPr>
                <w:rFonts w:ascii="Arial" w:hAnsi="Arial" w:cs="Arial"/>
                <w:sz w:val="20"/>
                <w:szCs w:val="20"/>
              </w:rPr>
              <w:t>16,855</w:t>
            </w:r>
          </w:p>
        </w:tc>
        <w:tc>
          <w:tcPr>
            <w:tcW w:w="956" w:type="dxa"/>
            <w:shd w:val="clear" w:color="auto" w:fill="auto"/>
            <w:vAlign w:val="bottom"/>
          </w:tcPr>
          <w:p w:rsidR="007C4DFB" w:rsidRPr="00DE475B" w:rsidRDefault="00D05599" w:rsidP="00A2292F">
            <w:pPr>
              <w:jc w:val="right"/>
              <w:rPr>
                <w:rFonts w:ascii="Arial" w:hAnsi="Arial" w:cs="Arial"/>
                <w:sz w:val="20"/>
                <w:szCs w:val="20"/>
              </w:rPr>
            </w:pPr>
            <w:r>
              <w:rPr>
                <w:rFonts w:ascii="Arial" w:hAnsi="Arial" w:cs="Arial"/>
                <w:sz w:val="20"/>
                <w:szCs w:val="20"/>
              </w:rPr>
              <w:t>12,797</w:t>
            </w:r>
          </w:p>
        </w:tc>
        <w:tc>
          <w:tcPr>
            <w:tcW w:w="956" w:type="dxa"/>
            <w:shd w:val="clear" w:color="auto" w:fill="auto"/>
            <w:vAlign w:val="bottom"/>
          </w:tcPr>
          <w:p w:rsidR="007C4DFB" w:rsidRPr="00DE475B" w:rsidRDefault="007C4DFB" w:rsidP="00A2292F">
            <w:pPr>
              <w:jc w:val="right"/>
              <w:rPr>
                <w:rFonts w:ascii="Arial" w:hAnsi="Arial" w:cs="Arial"/>
                <w:sz w:val="20"/>
                <w:szCs w:val="20"/>
              </w:rPr>
            </w:pPr>
            <w:r w:rsidRPr="00DE475B">
              <w:rPr>
                <w:rFonts w:ascii="Arial" w:hAnsi="Arial" w:cs="Arial"/>
                <w:sz w:val="20"/>
                <w:szCs w:val="20"/>
              </w:rPr>
              <w:t>11,167</w:t>
            </w:r>
          </w:p>
        </w:tc>
      </w:tr>
      <w:tr w:rsidR="007C4DFB" w:rsidRPr="00DE475B" w:rsidTr="007C4DFB">
        <w:trPr>
          <w:trHeight w:val="139"/>
        </w:trPr>
        <w:tc>
          <w:tcPr>
            <w:tcW w:w="535" w:type="dxa"/>
            <w:shd w:val="clear" w:color="auto" w:fill="auto"/>
            <w:vAlign w:val="bottom"/>
          </w:tcPr>
          <w:p w:rsidR="007C4DFB" w:rsidRPr="00DE475B" w:rsidRDefault="007C4DFB" w:rsidP="00FB3766">
            <w:pPr>
              <w:snapToGrid w:val="0"/>
              <w:rPr>
                <w:rFonts w:ascii="Arial" w:hAnsi="Arial" w:cs="Arial"/>
                <w:sz w:val="20"/>
                <w:szCs w:val="20"/>
              </w:rPr>
            </w:pPr>
          </w:p>
        </w:tc>
        <w:tc>
          <w:tcPr>
            <w:tcW w:w="318" w:type="dxa"/>
            <w:shd w:val="clear" w:color="auto" w:fill="auto"/>
            <w:vAlign w:val="bottom"/>
          </w:tcPr>
          <w:p w:rsidR="007C4DFB" w:rsidRPr="00DE475B" w:rsidRDefault="007C4DFB" w:rsidP="00FB3766">
            <w:pPr>
              <w:snapToGrid w:val="0"/>
              <w:rPr>
                <w:rFonts w:ascii="Arial" w:hAnsi="Arial" w:cs="Arial"/>
                <w:sz w:val="20"/>
                <w:szCs w:val="20"/>
              </w:rPr>
            </w:pPr>
          </w:p>
        </w:tc>
        <w:tc>
          <w:tcPr>
            <w:tcW w:w="794" w:type="dxa"/>
            <w:shd w:val="clear" w:color="auto" w:fill="auto"/>
            <w:vAlign w:val="bottom"/>
          </w:tcPr>
          <w:p w:rsidR="007C4DFB" w:rsidRPr="00DE475B" w:rsidRDefault="007C4DFB" w:rsidP="00FB3766">
            <w:pPr>
              <w:snapToGrid w:val="0"/>
              <w:rPr>
                <w:rFonts w:ascii="Arial" w:hAnsi="Arial" w:cs="Arial"/>
                <w:sz w:val="20"/>
                <w:szCs w:val="20"/>
              </w:rPr>
            </w:pPr>
          </w:p>
        </w:tc>
        <w:tc>
          <w:tcPr>
            <w:tcW w:w="1111" w:type="dxa"/>
            <w:shd w:val="clear" w:color="auto" w:fill="auto"/>
            <w:vAlign w:val="bottom"/>
          </w:tcPr>
          <w:p w:rsidR="007C4DFB" w:rsidRPr="00DE475B" w:rsidRDefault="007C4DFB" w:rsidP="00FB3766">
            <w:pPr>
              <w:snapToGrid w:val="0"/>
              <w:rPr>
                <w:rFonts w:ascii="Arial" w:hAnsi="Arial" w:cs="Arial"/>
                <w:sz w:val="20"/>
                <w:szCs w:val="20"/>
              </w:rPr>
            </w:pPr>
          </w:p>
        </w:tc>
        <w:tc>
          <w:tcPr>
            <w:tcW w:w="635" w:type="dxa"/>
            <w:shd w:val="clear" w:color="auto" w:fill="auto"/>
            <w:vAlign w:val="bottom"/>
          </w:tcPr>
          <w:p w:rsidR="007C4DFB" w:rsidRPr="00DE475B" w:rsidRDefault="007C4DFB" w:rsidP="00FB3766">
            <w:pPr>
              <w:snapToGrid w:val="0"/>
              <w:rPr>
                <w:rFonts w:ascii="Arial" w:hAnsi="Arial" w:cs="Arial"/>
                <w:sz w:val="20"/>
                <w:szCs w:val="20"/>
              </w:rPr>
            </w:pPr>
          </w:p>
        </w:tc>
        <w:tc>
          <w:tcPr>
            <w:tcW w:w="1430" w:type="dxa"/>
            <w:shd w:val="clear" w:color="auto" w:fill="auto"/>
            <w:vAlign w:val="bottom"/>
          </w:tcPr>
          <w:p w:rsidR="007C4DFB" w:rsidRPr="00DE475B" w:rsidRDefault="007C4DFB" w:rsidP="00FB3766">
            <w:pPr>
              <w:snapToGrid w:val="0"/>
              <w:jc w:val="center"/>
              <w:rPr>
                <w:rFonts w:ascii="Arial" w:hAnsi="Arial" w:cs="Arial"/>
                <w:sz w:val="20"/>
                <w:szCs w:val="20"/>
              </w:rPr>
            </w:pPr>
          </w:p>
        </w:tc>
        <w:tc>
          <w:tcPr>
            <w:tcW w:w="956" w:type="dxa"/>
            <w:tcBorders>
              <w:bottom w:val="single" w:sz="8" w:space="0" w:color="000000"/>
            </w:tcBorders>
            <w:shd w:val="clear" w:color="auto" w:fill="auto"/>
            <w:vAlign w:val="bottom"/>
          </w:tcPr>
          <w:p w:rsidR="007C4DFB" w:rsidRPr="00DE475B" w:rsidRDefault="007C4DFB" w:rsidP="00FB3766">
            <w:pPr>
              <w:rPr>
                <w:rFonts w:ascii="Arial" w:hAnsi="Arial" w:cs="Arial"/>
                <w:sz w:val="20"/>
                <w:szCs w:val="20"/>
              </w:rPr>
            </w:pPr>
            <w:r w:rsidRPr="00DE475B">
              <w:rPr>
                <w:rFonts w:ascii="Arial" w:hAnsi="Arial" w:cs="Arial"/>
                <w:sz w:val="20"/>
                <w:szCs w:val="20"/>
              </w:rPr>
              <w:t> </w:t>
            </w:r>
          </w:p>
        </w:tc>
        <w:tc>
          <w:tcPr>
            <w:tcW w:w="956" w:type="dxa"/>
            <w:tcBorders>
              <w:bottom w:val="single" w:sz="8" w:space="0" w:color="000000"/>
            </w:tcBorders>
            <w:shd w:val="clear" w:color="auto" w:fill="auto"/>
            <w:vAlign w:val="bottom"/>
          </w:tcPr>
          <w:p w:rsidR="007C4DFB" w:rsidRPr="00DE475B" w:rsidRDefault="007C4DFB" w:rsidP="00FB3766">
            <w:pPr>
              <w:rPr>
                <w:rFonts w:ascii="Arial" w:hAnsi="Arial" w:cs="Arial"/>
                <w:sz w:val="20"/>
                <w:szCs w:val="20"/>
              </w:rPr>
            </w:pPr>
          </w:p>
        </w:tc>
        <w:tc>
          <w:tcPr>
            <w:tcW w:w="956" w:type="dxa"/>
            <w:tcBorders>
              <w:bottom w:val="single" w:sz="8" w:space="0" w:color="000000"/>
            </w:tcBorders>
            <w:shd w:val="clear" w:color="auto" w:fill="auto"/>
            <w:vAlign w:val="bottom"/>
          </w:tcPr>
          <w:p w:rsidR="007C4DFB" w:rsidRPr="00DE475B" w:rsidRDefault="007C4DFB" w:rsidP="00FB3766">
            <w:pPr>
              <w:rPr>
                <w:rFonts w:ascii="Arial" w:hAnsi="Arial" w:cs="Arial"/>
                <w:sz w:val="20"/>
                <w:szCs w:val="20"/>
              </w:rPr>
            </w:pPr>
          </w:p>
        </w:tc>
        <w:tc>
          <w:tcPr>
            <w:tcW w:w="956" w:type="dxa"/>
            <w:tcBorders>
              <w:bottom w:val="single" w:sz="8" w:space="0" w:color="000000"/>
            </w:tcBorders>
            <w:shd w:val="clear" w:color="auto" w:fill="auto"/>
            <w:vAlign w:val="bottom"/>
          </w:tcPr>
          <w:p w:rsidR="007C4DFB" w:rsidRPr="00DE475B" w:rsidRDefault="007C4DFB" w:rsidP="00FB3766">
            <w:pPr>
              <w:rPr>
                <w:rFonts w:ascii="Arial" w:hAnsi="Arial" w:cs="Arial"/>
                <w:b/>
                <w:bCs/>
                <w:sz w:val="20"/>
                <w:szCs w:val="20"/>
              </w:rPr>
            </w:pPr>
          </w:p>
        </w:tc>
      </w:tr>
      <w:tr w:rsidR="007C4DFB" w:rsidRPr="00DE475B" w:rsidTr="007C4DFB">
        <w:trPr>
          <w:trHeight w:val="255"/>
        </w:trPr>
        <w:tc>
          <w:tcPr>
            <w:tcW w:w="853" w:type="dxa"/>
            <w:gridSpan w:val="2"/>
            <w:shd w:val="clear" w:color="auto" w:fill="auto"/>
            <w:vAlign w:val="bottom"/>
          </w:tcPr>
          <w:p w:rsidR="007C4DFB" w:rsidRPr="00DE475B" w:rsidRDefault="007C4DFB" w:rsidP="00FB3766">
            <w:pPr>
              <w:rPr>
                <w:rFonts w:ascii="Arial" w:hAnsi="Arial" w:cs="Arial"/>
                <w:sz w:val="20"/>
                <w:szCs w:val="20"/>
              </w:rPr>
            </w:pPr>
            <w:r w:rsidRPr="00DE475B">
              <w:rPr>
                <w:rFonts w:ascii="Arial" w:hAnsi="Arial" w:cs="Arial"/>
                <w:b/>
                <w:bCs/>
                <w:sz w:val="20"/>
                <w:szCs w:val="20"/>
              </w:rPr>
              <w:t>Total</w:t>
            </w:r>
          </w:p>
        </w:tc>
        <w:tc>
          <w:tcPr>
            <w:tcW w:w="794" w:type="dxa"/>
            <w:shd w:val="clear" w:color="auto" w:fill="auto"/>
            <w:vAlign w:val="bottom"/>
          </w:tcPr>
          <w:p w:rsidR="007C4DFB" w:rsidRPr="00DE475B" w:rsidRDefault="007C4DFB" w:rsidP="00FB3766">
            <w:pPr>
              <w:snapToGrid w:val="0"/>
              <w:rPr>
                <w:rFonts w:ascii="Arial" w:hAnsi="Arial" w:cs="Arial"/>
                <w:sz w:val="20"/>
                <w:szCs w:val="20"/>
              </w:rPr>
            </w:pPr>
          </w:p>
        </w:tc>
        <w:tc>
          <w:tcPr>
            <w:tcW w:w="1111" w:type="dxa"/>
            <w:shd w:val="clear" w:color="auto" w:fill="auto"/>
            <w:vAlign w:val="bottom"/>
          </w:tcPr>
          <w:p w:rsidR="007C4DFB" w:rsidRPr="00DE475B" w:rsidRDefault="007C4DFB" w:rsidP="00FB3766">
            <w:pPr>
              <w:snapToGrid w:val="0"/>
              <w:rPr>
                <w:rFonts w:ascii="Arial" w:hAnsi="Arial" w:cs="Arial"/>
                <w:sz w:val="20"/>
                <w:szCs w:val="20"/>
              </w:rPr>
            </w:pPr>
          </w:p>
        </w:tc>
        <w:tc>
          <w:tcPr>
            <w:tcW w:w="635" w:type="dxa"/>
            <w:shd w:val="clear" w:color="auto" w:fill="auto"/>
            <w:vAlign w:val="bottom"/>
          </w:tcPr>
          <w:p w:rsidR="007C4DFB" w:rsidRPr="00DE475B" w:rsidRDefault="007C4DFB" w:rsidP="00FB3766">
            <w:pPr>
              <w:snapToGrid w:val="0"/>
              <w:rPr>
                <w:rFonts w:ascii="Arial" w:hAnsi="Arial" w:cs="Arial"/>
                <w:sz w:val="20"/>
                <w:szCs w:val="20"/>
              </w:rPr>
            </w:pPr>
          </w:p>
        </w:tc>
        <w:tc>
          <w:tcPr>
            <w:tcW w:w="1430" w:type="dxa"/>
            <w:shd w:val="clear" w:color="auto" w:fill="auto"/>
            <w:vAlign w:val="bottom"/>
          </w:tcPr>
          <w:p w:rsidR="007C4DFB" w:rsidRPr="00DE475B" w:rsidRDefault="007C4DFB" w:rsidP="00FB3766">
            <w:pPr>
              <w:snapToGrid w:val="0"/>
              <w:jc w:val="center"/>
              <w:rPr>
                <w:rFonts w:ascii="Arial" w:hAnsi="Arial" w:cs="Arial"/>
                <w:sz w:val="20"/>
                <w:szCs w:val="20"/>
              </w:rPr>
            </w:pPr>
          </w:p>
        </w:tc>
        <w:tc>
          <w:tcPr>
            <w:tcW w:w="956" w:type="dxa"/>
            <w:tcBorders>
              <w:top w:val="single" w:sz="8" w:space="0" w:color="000000"/>
              <w:bottom w:val="single" w:sz="8" w:space="0" w:color="000000"/>
            </w:tcBorders>
            <w:shd w:val="clear" w:color="auto" w:fill="auto"/>
            <w:vAlign w:val="bottom"/>
          </w:tcPr>
          <w:p w:rsidR="007C4DFB" w:rsidRPr="00DE475B" w:rsidRDefault="00D05599" w:rsidP="00F7189F">
            <w:pPr>
              <w:jc w:val="right"/>
              <w:rPr>
                <w:rFonts w:ascii="Arial" w:hAnsi="Arial" w:cs="Arial"/>
                <w:sz w:val="20"/>
                <w:szCs w:val="20"/>
              </w:rPr>
            </w:pPr>
            <w:r>
              <w:rPr>
                <w:rFonts w:ascii="Arial" w:hAnsi="Arial" w:cs="Arial"/>
                <w:sz w:val="20"/>
                <w:szCs w:val="20"/>
              </w:rPr>
              <w:t>18,860</w:t>
            </w:r>
          </w:p>
        </w:tc>
        <w:tc>
          <w:tcPr>
            <w:tcW w:w="956" w:type="dxa"/>
            <w:tcBorders>
              <w:top w:val="single" w:sz="8" w:space="0" w:color="000000"/>
              <w:bottom w:val="single" w:sz="8" w:space="0" w:color="000000"/>
            </w:tcBorders>
            <w:shd w:val="clear" w:color="auto" w:fill="auto"/>
            <w:vAlign w:val="bottom"/>
          </w:tcPr>
          <w:p w:rsidR="007C4DFB" w:rsidRPr="00DE475B" w:rsidRDefault="007C4DFB" w:rsidP="00A2292F">
            <w:pPr>
              <w:jc w:val="right"/>
              <w:rPr>
                <w:rFonts w:ascii="Arial" w:hAnsi="Arial" w:cs="Arial"/>
                <w:sz w:val="20"/>
                <w:szCs w:val="20"/>
              </w:rPr>
            </w:pPr>
            <w:r w:rsidRPr="00DE475B">
              <w:rPr>
                <w:rFonts w:ascii="Arial" w:hAnsi="Arial" w:cs="Arial"/>
                <w:sz w:val="20"/>
                <w:szCs w:val="20"/>
              </w:rPr>
              <w:t>16,920</w:t>
            </w:r>
          </w:p>
        </w:tc>
        <w:tc>
          <w:tcPr>
            <w:tcW w:w="956" w:type="dxa"/>
            <w:tcBorders>
              <w:top w:val="single" w:sz="8" w:space="0" w:color="000000"/>
              <w:bottom w:val="single" w:sz="8" w:space="0" w:color="000000"/>
            </w:tcBorders>
            <w:shd w:val="clear" w:color="auto" w:fill="auto"/>
            <w:vAlign w:val="bottom"/>
          </w:tcPr>
          <w:p w:rsidR="007C4DFB" w:rsidRPr="00DE475B" w:rsidRDefault="00D05599" w:rsidP="00A2292F">
            <w:pPr>
              <w:jc w:val="right"/>
              <w:rPr>
                <w:rFonts w:ascii="Arial" w:hAnsi="Arial" w:cs="Arial"/>
                <w:sz w:val="20"/>
                <w:szCs w:val="20"/>
              </w:rPr>
            </w:pPr>
            <w:r>
              <w:rPr>
                <w:rFonts w:ascii="Arial" w:hAnsi="Arial" w:cs="Arial"/>
                <w:sz w:val="20"/>
                <w:szCs w:val="20"/>
              </w:rPr>
              <w:t>12,893</w:t>
            </w:r>
          </w:p>
        </w:tc>
        <w:tc>
          <w:tcPr>
            <w:tcW w:w="956" w:type="dxa"/>
            <w:tcBorders>
              <w:top w:val="single" w:sz="8" w:space="0" w:color="000000"/>
              <w:bottom w:val="single" w:sz="8" w:space="0" w:color="000000"/>
            </w:tcBorders>
            <w:shd w:val="clear" w:color="auto" w:fill="auto"/>
            <w:vAlign w:val="bottom"/>
          </w:tcPr>
          <w:p w:rsidR="007C4DFB" w:rsidRPr="00DE475B" w:rsidRDefault="007C4DFB" w:rsidP="00A2292F">
            <w:pPr>
              <w:jc w:val="right"/>
              <w:rPr>
                <w:rFonts w:ascii="Arial" w:hAnsi="Arial" w:cs="Arial"/>
                <w:sz w:val="20"/>
                <w:szCs w:val="20"/>
              </w:rPr>
            </w:pPr>
            <w:r w:rsidRPr="00DE475B">
              <w:rPr>
                <w:rFonts w:ascii="Arial" w:hAnsi="Arial" w:cs="Arial"/>
                <w:sz w:val="20"/>
                <w:szCs w:val="20"/>
              </w:rPr>
              <w:t>11,217</w:t>
            </w:r>
          </w:p>
        </w:tc>
      </w:tr>
    </w:tbl>
    <w:p w:rsidR="00B10D8F" w:rsidRPr="00DE475B" w:rsidRDefault="00A627F9" w:rsidP="00185D50">
      <w:pPr>
        <w:tabs>
          <w:tab w:val="left" w:pos="504"/>
          <w:tab w:val="left" w:pos="5878"/>
        </w:tabs>
        <w:spacing w:before="120"/>
        <w:rPr>
          <w:rFonts w:ascii="Arial" w:hAnsi="Arial" w:cs="Arial"/>
          <w:sz w:val="20"/>
          <w:szCs w:val="20"/>
        </w:rPr>
      </w:pPr>
      <w:r w:rsidRPr="00DE475B">
        <w:rPr>
          <w:rFonts w:ascii="Arial" w:hAnsi="Arial" w:cs="Arial"/>
          <w:sz w:val="20"/>
          <w:szCs w:val="20"/>
        </w:rPr>
        <w:t>Funds are held in a Queensland Treasury Corporation 'at call' account as well as short-term term deposi</w:t>
      </w:r>
      <w:r w:rsidR="007C4DFB">
        <w:rPr>
          <w:rFonts w:ascii="Arial" w:hAnsi="Arial" w:cs="Arial"/>
          <w:sz w:val="20"/>
          <w:szCs w:val="20"/>
        </w:rPr>
        <w:t>ts with financial institutions.</w:t>
      </w:r>
    </w:p>
    <w:p w:rsidR="00185D50" w:rsidRDefault="00185D50" w:rsidP="00185D50">
      <w:pPr>
        <w:pStyle w:val="ARheading3"/>
        <w:tabs>
          <w:tab w:val="left" w:pos="851"/>
        </w:tabs>
        <w:spacing w:before="240"/>
        <w:rPr>
          <w:color w:val="808080"/>
        </w:rPr>
        <w:sectPr w:rsidR="00185D50" w:rsidSect="00B53922">
          <w:type w:val="continuous"/>
          <w:pgSz w:w="11906" w:h="16838"/>
          <w:pgMar w:top="1440" w:right="1701" w:bottom="1440" w:left="1701" w:header="680" w:footer="680" w:gutter="0"/>
          <w:cols w:space="720"/>
          <w:docGrid w:linePitch="360"/>
        </w:sectPr>
      </w:pPr>
    </w:p>
    <w:p w:rsidR="00B10D8F" w:rsidRPr="00DE475B" w:rsidRDefault="00B10D8F" w:rsidP="008A1853">
      <w:pPr>
        <w:pStyle w:val="ARheading3"/>
        <w:tabs>
          <w:tab w:val="left" w:pos="851"/>
        </w:tabs>
        <w:spacing w:before="120" w:after="120"/>
        <w:rPr>
          <w:color w:val="808080"/>
        </w:rPr>
        <w:sectPr w:rsidR="00B10D8F" w:rsidRPr="00DE475B" w:rsidSect="00B53922">
          <w:type w:val="continuous"/>
          <w:pgSz w:w="11906" w:h="16838"/>
          <w:pgMar w:top="1440" w:right="1701" w:bottom="1440" w:left="1701" w:header="680" w:footer="680" w:gutter="0"/>
          <w:cols w:num="2" w:space="720"/>
          <w:docGrid w:linePitch="360"/>
        </w:sectPr>
      </w:pPr>
      <w:r w:rsidRPr="00DE475B">
        <w:rPr>
          <w:color w:val="808080"/>
        </w:rPr>
        <w:lastRenderedPageBreak/>
        <w:t>C2 Receivables</w:t>
      </w:r>
    </w:p>
    <w:p w:rsidR="00B10D8F" w:rsidRPr="00DE475B" w:rsidRDefault="00B10D8F" w:rsidP="007C4DFB">
      <w:pPr>
        <w:rPr>
          <w:rFonts w:ascii="Arial" w:hAnsi="Arial" w:cs="Arial"/>
          <w:i/>
          <w:iCs/>
          <w:sz w:val="20"/>
          <w:szCs w:val="20"/>
        </w:rPr>
      </w:pPr>
      <w:r w:rsidRPr="00DE475B">
        <w:rPr>
          <w:rFonts w:ascii="Arial" w:hAnsi="Arial" w:cs="Arial"/>
          <w:i/>
          <w:iCs/>
          <w:sz w:val="20"/>
          <w:szCs w:val="20"/>
        </w:rPr>
        <w:lastRenderedPageBreak/>
        <w:t>Accounting policy</w:t>
      </w:r>
      <w:r w:rsidR="007C4DFB">
        <w:rPr>
          <w:rFonts w:ascii="Arial" w:hAnsi="Arial" w:cs="Arial"/>
          <w:i/>
          <w:iCs/>
          <w:sz w:val="20"/>
          <w:szCs w:val="20"/>
        </w:rPr>
        <w:t xml:space="preserve"> — Receivables</w:t>
      </w:r>
    </w:p>
    <w:p w:rsidR="007C4DFB" w:rsidRPr="00FA49A6" w:rsidRDefault="007C4DFB" w:rsidP="00973FF2">
      <w:pPr>
        <w:tabs>
          <w:tab w:val="left" w:pos="504"/>
          <w:tab w:val="left" w:pos="5878"/>
        </w:tabs>
        <w:spacing w:after="120"/>
        <w:rPr>
          <w:rFonts w:ascii="Arial" w:hAnsi="Arial" w:cs="Arial"/>
          <w:spacing w:val="-2"/>
          <w:sz w:val="20"/>
          <w:szCs w:val="20"/>
        </w:rPr>
      </w:pPr>
      <w:r w:rsidRPr="00FA49A6">
        <w:rPr>
          <w:rFonts w:ascii="Arial" w:hAnsi="Arial" w:cs="Arial"/>
          <w:spacing w:val="-2"/>
          <w:sz w:val="20"/>
          <w:szCs w:val="20"/>
        </w:rPr>
        <w:t>Receivables are measured at amortised cost which approximates their fair value at reporting date.</w:t>
      </w:r>
    </w:p>
    <w:p w:rsidR="00973FF2" w:rsidRDefault="00973FF2" w:rsidP="00973FF2">
      <w:pPr>
        <w:tabs>
          <w:tab w:val="left" w:pos="504"/>
          <w:tab w:val="left" w:pos="5878"/>
        </w:tabs>
        <w:spacing w:after="120"/>
        <w:rPr>
          <w:rFonts w:ascii="Arial" w:hAnsi="Arial" w:cs="Arial"/>
          <w:sz w:val="20"/>
          <w:szCs w:val="20"/>
        </w:rPr>
      </w:pPr>
      <w:r w:rsidRPr="00DE475B">
        <w:rPr>
          <w:rFonts w:ascii="Arial" w:hAnsi="Arial" w:cs="Arial"/>
          <w:sz w:val="20"/>
          <w:szCs w:val="20"/>
        </w:rPr>
        <w:t>Trade debtors are recognised at the amounts due at the time of sale or service delivery i.e. the agreed purchase/contract price. Settlement of these amounts is required within 30 days from invoice date.</w:t>
      </w:r>
    </w:p>
    <w:p w:rsidR="00FA49A6" w:rsidRDefault="00FA49A6" w:rsidP="00973FF2">
      <w:pPr>
        <w:tabs>
          <w:tab w:val="left" w:pos="504"/>
          <w:tab w:val="left" w:pos="5878"/>
        </w:tabs>
        <w:spacing w:after="120"/>
        <w:rPr>
          <w:rFonts w:ascii="Arial" w:hAnsi="Arial" w:cs="Arial"/>
          <w:sz w:val="20"/>
          <w:szCs w:val="20"/>
        </w:rPr>
      </w:pPr>
      <w:r w:rsidRPr="00FA49A6">
        <w:rPr>
          <w:rFonts w:ascii="Arial" w:hAnsi="Arial" w:cs="Arial"/>
          <w:sz w:val="20"/>
          <w:szCs w:val="20"/>
        </w:rPr>
        <w:t>Other debtors generally arise from transactions outside the usual operating activities of the Library Board and are recognised at their assessed values. Terms are a maximum of three months, no interest is charge</w:t>
      </w:r>
      <w:r>
        <w:rPr>
          <w:rFonts w:ascii="Arial" w:hAnsi="Arial" w:cs="Arial"/>
          <w:sz w:val="20"/>
          <w:szCs w:val="20"/>
        </w:rPr>
        <w:t>d and no security is obtained.</w:t>
      </w:r>
    </w:p>
    <w:p w:rsidR="00FA49A6" w:rsidRPr="00FA49A6" w:rsidRDefault="00FA49A6" w:rsidP="00FA49A6">
      <w:pPr>
        <w:rPr>
          <w:rFonts w:ascii="Arial" w:hAnsi="Arial" w:cs="Arial"/>
          <w:i/>
          <w:iCs/>
          <w:sz w:val="20"/>
          <w:szCs w:val="20"/>
        </w:rPr>
      </w:pPr>
      <w:r w:rsidRPr="00FA49A6">
        <w:rPr>
          <w:rFonts w:ascii="Arial" w:hAnsi="Arial" w:cs="Arial"/>
          <w:i/>
          <w:iCs/>
          <w:sz w:val="20"/>
          <w:szCs w:val="20"/>
        </w:rPr>
        <w:t xml:space="preserve">Disclosure </w:t>
      </w:r>
      <w:r>
        <w:rPr>
          <w:rFonts w:ascii="Arial" w:hAnsi="Arial" w:cs="Arial"/>
          <w:i/>
          <w:iCs/>
          <w:sz w:val="20"/>
          <w:szCs w:val="20"/>
        </w:rPr>
        <w:t>—</w:t>
      </w:r>
      <w:r w:rsidRPr="00FA49A6">
        <w:rPr>
          <w:rFonts w:ascii="Arial" w:hAnsi="Arial" w:cs="Arial"/>
          <w:i/>
          <w:iCs/>
          <w:sz w:val="20"/>
          <w:szCs w:val="20"/>
        </w:rPr>
        <w:t xml:space="preserve"> Credit Risk Exposure of Receivables</w:t>
      </w:r>
    </w:p>
    <w:p w:rsidR="00FA49A6" w:rsidRPr="00185D50" w:rsidRDefault="00FA49A6" w:rsidP="00185D50">
      <w:pPr>
        <w:tabs>
          <w:tab w:val="left" w:pos="504"/>
          <w:tab w:val="left" w:pos="5878"/>
        </w:tabs>
        <w:spacing w:after="120"/>
        <w:rPr>
          <w:rFonts w:ascii="Arial" w:hAnsi="Arial" w:cs="Arial"/>
          <w:spacing w:val="-2"/>
          <w:sz w:val="20"/>
          <w:szCs w:val="20"/>
        </w:rPr>
      </w:pPr>
      <w:r w:rsidRPr="00FA49A6">
        <w:rPr>
          <w:rFonts w:ascii="Arial" w:hAnsi="Arial" w:cs="Arial"/>
          <w:spacing w:val="-2"/>
          <w:sz w:val="20"/>
          <w:szCs w:val="20"/>
        </w:rPr>
        <w:t xml:space="preserve">The maximum exposure to credit risk at balance date for receivables is the gross </w:t>
      </w:r>
      <w:r w:rsidRPr="00FA49A6">
        <w:rPr>
          <w:rFonts w:ascii="Arial" w:hAnsi="Arial" w:cs="Arial"/>
          <w:spacing w:val="-2"/>
          <w:sz w:val="20"/>
          <w:szCs w:val="20"/>
        </w:rPr>
        <w:lastRenderedPageBreak/>
        <w:t>carrying amount of those assets inclusive of any provisions for impairment.</w:t>
      </w:r>
    </w:p>
    <w:p w:rsidR="00FA49A6" w:rsidRPr="00185D50" w:rsidRDefault="00FA49A6" w:rsidP="00185D50">
      <w:pPr>
        <w:tabs>
          <w:tab w:val="left" w:pos="504"/>
          <w:tab w:val="left" w:pos="5878"/>
        </w:tabs>
        <w:spacing w:after="40"/>
        <w:rPr>
          <w:rFonts w:ascii="Arial" w:hAnsi="Arial" w:cs="Arial"/>
          <w:spacing w:val="-2"/>
          <w:sz w:val="20"/>
          <w:szCs w:val="20"/>
        </w:rPr>
      </w:pPr>
      <w:r w:rsidRPr="00FA49A6">
        <w:rPr>
          <w:rFonts w:ascii="Arial" w:hAnsi="Arial" w:cs="Arial"/>
          <w:spacing w:val="-2"/>
          <w:sz w:val="20"/>
          <w:szCs w:val="20"/>
        </w:rPr>
        <w:t xml:space="preserve">No collateral is held as security and no credit enhancements relate to receivables held by the Library Board. </w:t>
      </w:r>
      <w:r w:rsidR="00185D50" w:rsidRPr="00185D50">
        <w:rPr>
          <w:rFonts w:ascii="Arial" w:hAnsi="Arial" w:cs="Arial"/>
          <w:spacing w:val="-2"/>
          <w:sz w:val="20"/>
          <w:szCs w:val="20"/>
        </w:rPr>
        <w:t>R</w:t>
      </w:r>
      <w:r w:rsidRPr="00FA49A6">
        <w:rPr>
          <w:rFonts w:ascii="Arial" w:hAnsi="Arial" w:cs="Arial"/>
          <w:spacing w:val="-2"/>
          <w:sz w:val="20"/>
          <w:szCs w:val="20"/>
        </w:rPr>
        <w:t>eceivables fall into one of the following categories when assessing collectability:</w:t>
      </w:r>
    </w:p>
    <w:p w:rsidR="00FA49A6" w:rsidRPr="00FA49A6" w:rsidRDefault="00FA49A6" w:rsidP="00185D50">
      <w:pPr>
        <w:numPr>
          <w:ilvl w:val="0"/>
          <w:numId w:val="5"/>
        </w:numPr>
        <w:tabs>
          <w:tab w:val="left" w:pos="284"/>
          <w:tab w:val="left" w:pos="360"/>
        </w:tabs>
        <w:ind w:left="284" w:hanging="284"/>
        <w:rPr>
          <w:rFonts w:ascii="Arial" w:hAnsi="Arial" w:cs="Arial"/>
          <w:sz w:val="20"/>
          <w:szCs w:val="20"/>
        </w:rPr>
      </w:pPr>
      <w:r w:rsidRPr="00FA49A6">
        <w:rPr>
          <w:rFonts w:ascii="Arial" w:hAnsi="Arial" w:cs="Arial"/>
          <w:sz w:val="20"/>
          <w:szCs w:val="20"/>
        </w:rPr>
        <w:t>within terms and expected to be fully collectible</w:t>
      </w:r>
    </w:p>
    <w:p w:rsidR="00FA49A6" w:rsidRPr="00FA49A6" w:rsidRDefault="00FA49A6" w:rsidP="00185D50">
      <w:pPr>
        <w:numPr>
          <w:ilvl w:val="0"/>
          <w:numId w:val="5"/>
        </w:numPr>
        <w:tabs>
          <w:tab w:val="left" w:pos="284"/>
          <w:tab w:val="left" w:pos="360"/>
        </w:tabs>
        <w:ind w:left="284" w:hanging="284"/>
        <w:rPr>
          <w:rFonts w:ascii="Arial" w:hAnsi="Arial" w:cs="Arial"/>
          <w:sz w:val="20"/>
          <w:szCs w:val="20"/>
        </w:rPr>
      </w:pPr>
      <w:r w:rsidRPr="00FA49A6">
        <w:rPr>
          <w:rFonts w:ascii="Arial" w:hAnsi="Arial" w:cs="Arial"/>
          <w:sz w:val="20"/>
          <w:szCs w:val="20"/>
        </w:rPr>
        <w:t>within terms but impaired</w:t>
      </w:r>
    </w:p>
    <w:p w:rsidR="00FA49A6" w:rsidRPr="00FA49A6" w:rsidRDefault="00FA49A6" w:rsidP="00185D50">
      <w:pPr>
        <w:numPr>
          <w:ilvl w:val="0"/>
          <w:numId w:val="5"/>
        </w:numPr>
        <w:tabs>
          <w:tab w:val="left" w:pos="284"/>
          <w:tab w:val="left" w:pos="360"/>
        </w:tabs>
        <w:ind w:left="284" w:hanging="284"/>
        <w:rPr>
          <w:rFonts w:ascii="Arial" w:hAnsi="Arial" w:cs="Arial"/>
          <w:sz w:val="20"/>
          <w:szCs w:val="20"/>
        </w:rPr>
      </w:pPr>
      <w:r w:rsidRPr="00FA49A6">
        <w:rPr>
          <w:rFonts w:ascii="Arial" w:hAnsi="Arial" w:cs="Arial"/>
          <w:sz w:val="20"/>
          <w:szCs w:val="20"/>
        </w:rPr>
        <w:t>past due but not impaired</w:t>
      </w:r>
    </w:p>
    <w:p w:rsidR="00FA49A6" w:rsidRDefault="00FA49A6" w:rsidP="00FA49A6">
      <w:pPr>
        <w:numPr>
          <w:ilvl w:val="0"/>
          <w:numId w:val="5"/>
        </w:numPr>
        <w:tabs>
          <w:tab w:val="left" w:pos="284"/>
          <w:tab w:val="left" w:pos="360"/>
        </w:tabs>
        <w:spacing w:after="120"/>
        <w:ind w:left="284" w:hanging="284"/>
        <w:rPr>
          <w:rFonts w:ascii="Arial" w:hAnsi="Arial" w:cs="Arial"/>
          <w:sz w:val="20"/>
          <w:szCs w:val="20"/>
        </w:rPr>
      </w:pPr>
      <w:proofErr w:type="gramStart"/>
      <w:r w:rsidRPr="00FA49A6">
        <w:rPr>
          <w:rFonts w:ascii="Arial" w:hAnsi="Arial" w:cs="Arial"/>
          <w:sz w:val="20"/>
          <w:szCs w:val="20"/>
        </w:rPr>
        <w:t>past</w:t>
      </w:r>
      <w:proofErr w:type="gramEnd"/>
      <w:r w:rsidRPr="00FA49A6">
        <w:rPr>
          <w:rFonts w:ascii="Arial" w:hAnsi="Arial" w:cs="Arial"/>
          <w:sz w:val="20"/>
          <w:szCs w:val="20"/>
        </w:rPr>
        <w:t xml:space="preserve"> due and impaired</w:t>
      </w:r>
      <w:r>
        <w:rPr>
          <w:rFonts w:ascii="Arial" w:hAnsi="Arial" w:cs="Arial"/>
          <w:sz w:val="20"/>
          <w:szCs w:val="20"/>
        </w:rPr>
        <w:t>.</w:t>
      </w:r>
    </w:p>
    <w:p w:rsidR="00FA49A6" w:rsidRPr="00185D50" w:rsidRDefault="00FA49A6" w:rsidP="00185D50">
      <w:pPr>
        <w:tabs>
          <w:tab w:val="left" w:pos="504"/>
          <w:tab w:val="left" w:pos="5878"/>
        </w:tabs>
        <w:spacing w:before="120" w:after="120"/>
        <w:rPr>
          <w:rFonts w:ascii="Arial" w:hAnsi="Arial" w:cs="Arial"/>
          <w:sz w:val="20"/>
          <w:szCs w:val="20"/>
        </w:rPr>
      </w:pPr>
      <w:r w:rsidRPr="00FA49A6">
        <w:rPr>
          <w:rFonts w:ascii="Arial" w:hAnsi="Arial" w:cs="Arial"/>
          <w:sz w:val="20"/>
          <w:szCs w:val="20"/>
        </w:rPr>
        <w:t>All receivables within terms and expected to be fully collectible are considered of good quality based on recent collection history. Credit risk management strategies are detailed in Note D2.</w:t>
      </w:r>
    </w:p>
    <w:p w:rsidR="00185D50" w:rsidRDefault="00FA49A6" w:rsidP="00185D50">
      <w:pPr>
        <w:tabs>
          <w:tab w:val="left" w:pos="504"/>
          <w:tab w:val="left" w:pos="5878"/>
        </w:tabs>
        <w:spacing w:before="120" w:after="120"/>
        <w:rPr>
          <w:rFonts w:ascii="Arial" w:hAnsi="Arial" w:cs="Arial"/>
          <w:sz w:val="20"/>
          <w:szCs w:val="20"/>
        </w:rPr>
        <w:sectPr w:rsidR="00185D50" w:rsidSect="00B53922">
          <w:type w:val="continuous"/>
          <w:pgSz w:w="11906" w:h="16838"/>
          <w:pgMar w:top="1440" w:right="1701" w:bottom="1440" w:left="1701" w:header="680" w:footer="680" w:gutter="0"/>
          <w:cols w:num="2" w:space="720"/>
          <w:docGrid w:linePitch="360"/>
        </w:sectPr>
      </w:pPr>
      <w:r w:rsidRPr="00FA49A6">
        <w:rPr>
          <w:rFonts w:ascii="Arial" w:hAnsi="Arial" w:cs="Arial"/>
          <w:sz w:val="20"/>
          <w:szCs w:val="20"/>
        </w:rPr>
        <w:t>The collectability of receivables is assessed periodically with allow</w:t>
      </w:r>
      <w:r w:rsidR="00185D50">
        <w:rPr>
          <w:rFonts w:ascii="Arial" w:hAnsi="Arial" w:cs="Arial"/>
          <w:sz w:val="20"/>
          <w:szCs w:val="20"/>
        </w:rPr>
        <w:t>ance being made for impairment.</w:t>
      </w:r>
    </w:p>
    <w:tbl>
      <w:tblPr>
        <w:tblW w:w="8647" w:type="dxa"/>
        <w:tblInd w:w="108" w:type="dxa"/>
        <w:tblLayout w:type="fixed"/>
        <w:tblLook w:val="0000" w:firstRow="0" w:lastRow="0" w:firstColumn="0" w:lastColumn="0" w:noHBand="0" w:noVBand="0"/>
      </w:tblPr>
      <w:tblGrid>
        <w:gridCol w:w="506"/>
        <w:gridCol w:w="301"/>
        <w:gridCol w:w="753"/>
        <w:gridCol w:w="1054"/>
        <w:gridCol w:w="602"/>
        <w:gridCol w:w="1356"/>
        <w:gridCol w:w="1240"/>
        <w:gridCol w:w="868"/>
        <w:gridCol w:w="975"/>
        <w:gridCol w:w="992"/>
      </w:tblGrid>
      <w:tr w:rsidR="000A531C" w:rsidRPr="00DE475B" w:rsidTr="00185D50">
        <w:trPr>
          <w:trHeight w:val="139"/>
        </w:trPr>
        <w:tc>
          <w:tcPr>
            <w:tcW w:w="4572" w:type="dxa"/>
            <w:gridSpan w:val="6"/>
            <w:shd w:val="clear" w:color="auto" w:fill="auto"/>
            <w:vAlign w:val="center"/>
          </w:tcPr>
          <w:p w:rsidR="000A531C" w:rsidRPr="00DE475B" w:rsidRDefault="000A531C" w:rsidP="00FB3766">
            <w:pPr>
              <w:rPr>
                <w:rFonts w:ascii="Arial" w:hAnsi="Arial" w:cs="Arial"/>
                <w:sz w:val="20"/>
                <w:szCs w:val="20"/>
              </w:rPr>
            </w:pPr>
            <w:r w:rsidRPr="00DE475B">
              <w:rPr>
                <w:rFonts w:ascii="Arial" w:hAnsi="Arial" w:cs="Arial"/>
                <w:sz w:val="20"/>
                <w:szCs w:val="20"/>
              </w:rPr>
              <w:lastRenderedPageBreak/>
              <w:t>Trade debtors</w:t>
            </w:r>
          </w:p>
        </w:tc>
        <w:tc>
          <w:tcPr>
            <w:tcW w:w="1240" w:type="dxa"/>
            <w:shd w:val="clear" w:color="auto" w:fill="auto"/>
            <w:vAlign w:val="center"/>
          </w:tcPr>
          <w:p w:rsidR="000A531C" w:rsidRPr="00DE475B" w:rsidRDefault="00D05599" w:rsidP="008A1148">
            <w:pPr>
              <w:jc w:val="right"/>
              <w:rPr>
                <w:rFonts w:ascii="Arial" w:hAnsi="Arial" w:cs="Arial"/>
                <w:sz w:val="20"/>
                <w:szCs w:val="20"/>
              </w:rPr>
            </w:pPr>
            <w:r>
              <w:rPr>
                <w:rFonts w:ascii="Arial" w:hAnsi="Arial" w:cs="Arial"/>
                <w:sz w:val="20"/>
                <w:szCs w:val="20"/>
              </w:rPr>
              <w:t>365</w:t>
            </w:r>
          </w:p>
        </w:tc>
        <w:tc>
          <w:tcPr>
            <w:tcW w:w="868" w:type="dxa"/>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 xml:space="preserve">1,272 </w:t>
            </w:r>
          </w:p>
        </w:tc>
        <w:tc>
          <w:tcPr>
            <w:tcW w:w="975" w:type="dxa"/>
            <w:shd w:val="clear" w:color="auto" w:fill="auto"/>
            <w:vAlign w:val="center"/>
          </w:tcPr>
          <w:p w:rsidR="000A531C" w:rsidRPr="00DE475B" w:rsidRDefault="00D05599" w:rsidP="00A2292F">
            <w:pPr>
              <w:jc w:val="right"/>
              <w:rPr>
                <w:rFonts w:ascii="Arial" w:hAnsi="Arial" w:cs="Arial"/>
                <w:sz w:val="20"/>
                <w:szCs w:val="20"/>
              </w:rPr>
            </w:pPr>
            <w:r>
              <w:rPr>
                <w:rFonts w:ascii="Arial" w:hAnsi="Arial" w:cs="Arial"/>
                <w:sz w:val="20"/>
                <w:szCs w:val="20"/>
              </w:rPr>
              <w:t>362</w:t>
            </w:r>
          </w:p>
        </w:tc>
        <w:tc>
          <w:tcPr>
            <w:tcW w:w="992" w:type="dxa"/>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 xml:space="preserve">1,250 </w:t>
            </w:r>
          </w:p>
        </w:tc>
      </w:tr>
      <w:tr w:rsidR="000A531C" w:rsidRPr="00DE475B" w:rsidTr="00185D50">
        <w:trPr>
          <w:trHeight w:val="247"/>
        </w:trPr>
        <w:tc>
          <w:tcPr>
            <w:tcW w:w="4572" w:type="dxa"/>
            <w:gridSpan w:val="6"/>
            <w:shd w:val="clear" w:color="auto" w:fill="auto"/>
            <w:vAlign w:val="center"/>
          </w:tcPr>
          <w:p w:rsidR="000A531C" w:rsidRPr="00DE475B" w:rsidRDefault="000A531C" w:rsidP="00FB3766">
            <w:pPr>
              <w:rPr>
                <w:rFonts w:ascii="Arial" w:hAnsi="Arial" w:cs="Arial"/>
                <w:sz w:val="20"/>
                <w:szCs w:val="20"/>
              </w:rPr>
            </w:pPr>
            <w:r w:rsidRPr="00DE475B">
              <w:rPr>
                <w:rFonts w:ascii="Arial" w:hAnsi="Arial" w:cs="Arial"/>
                <w:sz w:val="20"/>
                <w:szCs w:val="20"/>
              </w:rPr>
              <w:t>Less: Allowance for impairment loss</w:t>
            </w:r>
          </w:p>
        </w:tc>
        <w:tc>
          <w:tcPr>
            <w:tcW w:w="1240" w:type="dxa"/>
            <w:tcBorders>
              <w:bottom w:val="single" w:sz="8" w:space="0" w:color="000000"/>
            </w:tcBorders>
            <w:shd w:val="clear" w:color="auto" w:fill="auto"/>
            <w:vAlign w:val="center"/>
          </w:tcPr>
          <w:p w:rsidR="000A531C" w:rsidRPr="00DE475B" w:rsidRDefault="00D05599" w:rsidP="008A1148">
            <w:pPr>
              <w:jc w:val="right"/>
              <w:rPr>
                <w:rFonts w:ascii="Arial" w:hAnsi="Arial" w:cs="Arial"/>
                <w:sz w:val="20"/>
                <w:szCs w:val="20"/>
              </w:rPr>
            </w:pPr>
            <w:r>
              <w:rPr>
                <w:rFonts w:ascii="Arial" w:hAnsi="Arial" w:cs="Arial"/>
                <w:sz w:val="20"/>
                <w:szCs w:val="20"/>
              </w:rPr>
              <w:t>(11)</w:t>
            </w:r>
          </w:p>
        </w:tc>
        <w:tc>
          <w:tcPr>
            <w:tcW w:w="868" w:type="dxa"/>
            <w:tcBorders>
              <w:bottom w:val="single" w:sz="8" w:space="0" w:color="000000"/>
            </w:tcBorders>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(22)</w:t>
            </w:r>
          </w:p>
        </w:tc>
        <w:tc>
          <w:tcPr>
            <w:tcW w:w="975" w:type="dxa"/>
            <w:tcBorders>
              <w:bottom w:val="single" w:sz="8" w:space="0" w:color="000000"/>
            </w:tcBorders>
            <w:shd w:val="clear" w:color="auto" w:fill="auto"/>
            <w:vAlign w:val="center"/>
          </w:tcPr>
          <w:p w:rsidR="000A531C" w:rsidRPr="00DE475B" w:rsidRDefault="00D05599" w:rsidP="00A2292F">
            <w:pPr>
              <w:jc w:val="right"/>
              <w:rPr>
                <w:rFonts w:ascii="Arial" w:hAnsi="Arial" w:cs="Arial"/>
                <w:sz w:val="20"/>
                <w:szCs w:val="20"/>
              </w:rPr>
            </w:pPr>
            <w:r>
              <w:rPr>
                <w:rFonts w:ascii="Arial" w:hAnsi="Arial" w:cs="Arial"/>
                <w:sz w:val="20"/>
                <w:szCs w:val="20"/>
              </w:rPr>
              <w:t>(11)</w:t>
            </w:r>
          </w:p>
        </w:tc>
        <w:tc>
          <w:tcPr>
            <w:tcW w:w="992" w:type="dxa"/>
            <w:tcBorders>
              <w:bottom w:val="single" w:sz="8" w:space="0" w:color="000000"/>
            </w:tcBorders>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(22)</w:t>
            </w:r>
          </w:p>
        </w:tc>
      </w:tr>
      <w:tr w:rsidR="000A531C" w:rsidRPr="00DE475B" w:rsidTr="00185D50">
        <w:trPr>
          <w:trHeight w:val="217"/>
        </w:trPr>
        <w:tc>
          <w:tcPr>
            <w:tcW w:w="506" w:type="dxa"/>
            <w:shd w:val="clear" w:color="auto" w:fill="auto"/>
            <w:vAlign w:val="center"/>
          </w:tcPr>
          <w:p w:rsidR="000A531C" w:rsidRPr="00DE475B" w:rsidRDefault="000A531C" w:rsidP="00FB3766">
            <w:pPr>
              <w:snapToGrid w:val="0"/>
              <w:rPr>
                <w:rFonts w:ascii="Arial" w:hAnsi="Arial" w:cs="Arial"/>
                <w:sz w:val="20"/>
                <w:szCs w:val="20"/>
              </w:rPr>
            </w:pPr>
          </w:p>
        </w:tc>
        <w:tc>
          <w:tcPr>
            <w:tcW w:w="301" w:type="dxa"/>
            <w:shd w:val="clear" w:color="auto" w:fill="auto"/>
            <w:vAlign w:val="center"/>
          </w:tcPr>
          <w:p w:rsidR="000A531C" w:rsidRPr="00DE475B" w:rsidRDefault="000A531C" w:rsidP="00FB3766">
            <w:pPr>
              <w:snapToGrid w:val="0"/>
              <w:rPr>
                <w:rFonts w:ascii="Arial" w:hAnsi="Arial" w:cs="Arial"/>
                <w:sz w:val="20"/>
                <w:szCs w:val="20"/>
              </w:rPr>
            </w:pPr>
          </w:p>
        </w:tc>
        <w:tc>
          <w:tcPr>
            <w:tcW w:w="753" w:type="dxa"/>
            <w:shd w:val="clear" w:color="auto" w:fill="auto"/>
            <w:vAlign w:val="center"/>
          </w:tcPr>
          <w:p w:rsidR="000A531C" w:rsidRPr="00DE475B" w:rsidRDefault="000A531C" w:rsidP="00FB3766">
            <w:pPr>
              <w:snapToGrid w:val="0"/>
              <w:rPr>
                <w:rFonts w:ascii="Arial" w:hAnsi="Arial" w:cs="Arial"/>
                <w:sz w:val="20"/>
                <w:szCs w:val="20"/>
              </w:rPr>
            </w:pPr>
          </w:p>
        </w:tc>
        <w:tc>
          <w:tcPr>
            <w:tcW w:w="1054" w:type="dxa"/>
            <w:shd w:val="clear" w:color="auto" w:fill="auto"/>
            <w:vAlign w:val="center"/>
          </w:tcPr>
          <w:p w:rsidR="000A531C" w:rsidRPr="00DE475B" w:rsidRDefault="000A531C" w:rsidP="00FB3766">
            <w:pPr>
              <w:snapToGrid w:val="0"/>
              <w:rPr>
                <w:rFonts w:ascii="Arial" w:hAnsi="Arial" w:cs="Arial"/>
                <w:sz w:val="20"/>
                <w:szCs w:val="20"/>
              </w:rPr>
            </w:pPr>
          </w:p>
        </w:tc>
        <w:tc>
          <w:tcPr>
            <w:tcW w:w="602" w:type="dxa"/>
            <w:shd w:val="clear" w:color="auto" w:fill="auto"/>
            <w:vAlign w:val="center"/>
          </w:tcPr>
          <w:p w:rsidR="000A531C" w:rsidRPr="00DE475B" w:rsidRDefault="000A531C" w:rsidP="00FB3766">
            <w:pPr>
              <w:snapToGrid w:val="0"/>
              <w:rPr>
                <w:rFonts w:ascii="Arial" w:hAnsi="Arial" w:cs="Arial"/>
                <w:sz w:val="20"/>
                <w:szCs w:val="20"/>
              </w:rPr>
            </w:pPr>
          </w:p>
        </w:tc>
        <w:tc>
          <w:tcPr>
            <w:tcW w:w="1356" w:type="dxa"/>
            <w:shd w:val="clear" w:color="auto" w:fill="auto"/>
            <w:vAlign w:val="center"/>
          </w:tcPr>
          <w:p w:rsidR="000A531C" w:rsidRPr="00DE475B" w:rsidRDefault="000A531C" w:rsidP="00FB3766">
            <w:pPr>
              <w:snapToGrid w:val="0"/>
              <w:rPr>
                <w:rFonts w:ascii="Arial" w:hAnsi="Arial" w:cs="Arial"/>
                <w:sz w:val="20"/>
                <w:szCs w:val="20"/>
              </w:rPr>
            </w:pPr>
          </w:p>
        </w:tc>
        <w:tc>
          <w:tcPr>
            <w:tcW w:w="1240" w:type="dxa"/>
            <w:tcBorders>
              <w:top w:val="single" w:sz="8" w:space="0" w:color="000000"/>
            </w:tcBorders>
            <w:shd w:val="clear" w:color="auto" w:fill="auto"/>
            <w:vAlign w:val="center"/>
          </w:tcPr>
          <w:p w:rsidR="000A531C" w:rsidRPr="00DE475B" w:rsidRDefault="00D05599" w:rsidP="008A1148">
            <w:pPr>
              <w:jc w:val="right"/>
              <w:rPr>
                <w:rFonts w:ascii="Arial" w:hAnsi="Arial" w:cs="Arial"/>
                <w:sz w:val="20"/>
                <w:szCs w:val="20"/>
              </w:rPr>
            </w:pPr>
            <w:r>
              <w:rPr>
                <w:rFonts w:ascii="Arial" w:hAnsi="Arial" w:cs="Arial"/>
                <w:sz w:val="20"/>
                <w:szCs w:val="20"/>
              </w:rPr>
              <w:t>354</w:t>
            </w:r>
          </w:p>
        </w:tc>
        <w:tc>
          <w:tcPr>
            <w:tcW w:w="868" w:type="dxa"/>
            <w:tcBorders>
              <w:top w:val="single" w:sz="8" w:space="0" w:color="000000"/>
            </w:tcBorders>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1,250</w:t>
            </w:r>
          </w:p>
        </w:tc>
        <w:tc>
          <w:tcPr>
            <w:tcW w:w="975" w:type="dxa"/>
            <w:tcBorders>
              <w:top w:val="single" w:sz="8" w:space="0" w:color="000000"/>
            </w:tcBorders>
            <w:shd w:val="clear" w:color="auto" w:fill="auto"/>
            <w:vAlign w:val="center"/>
          </w:tcPr>
          <w:p w:rsidR="000A531C" w:rsidRPr="00DE475B" w:rsidRDefault="00D05599" w:rsidP="00A2292F">
            <w:pPr>
              <w:jc w:val="right"/>
              <w:rPr>
                <w:rFonts w:ascii="Arial" w:hAnsi="Arial" w:cs="Arial"/>
                <w:sz w:val="20"/>
                <w:szCs w:val="20"/>
              </w:rPr>
            </w:pPr>
            <w:r>
              <w:rPr>
                <w:rFonts w:ascii="Arial" w:hAnsi="Arial" w:cs="Arial"/>
                <w:sz w:val="20"/>
                <w:szCs w:val="20"/>
              </w:rPr>
              <w:t>351</w:t>
            </w:r>
          </w:p>
        </w:tc>
        <w:tc>
          <w:tcPr>
            <w:tcW w:w="992" w:type="dxa"/>
            <w:tcBorders>
              <w:top w:val="single" w:sz="8" w:space="0" w:color="000000"/>
            </w:tcBorders>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1,228</w:t>
            </w:r>
          </w:p>
        </w:tc>
      </w:tr>
      <w:tr w:rsidR="000A531C" w:rsidRPr="00DE475B" w:rsidTr="00185D50">
        <w:trPr>
          <w:trHeight w:val="93"/>
        </w:trPr>
        <w:tc>
          <w:tcPr>
            <w:tcW w:w="506" w:type="dxa"/>
            <w:shd w:val="clear" w:color="auto" w:fill="auto"/>
            <w:vAlign w:val="center"/>
          </w:tcPr>
          <w:p w:rsidR="000A531C" w:rsidRPr="00185D50" w:rsidRDefault="000A531C" w:rsidP="00FB3766">
            <w:pPr>
              <w:snapToGrid w:val="0"/>
              <w:rPr>
                <w:rFonts w:ascii="Arial" w:hAnsi="Arial" w:cs="Arial"/>
                <w:sz w:val="16"/>
                <w:szCs w:val="16"/>
              </w:rPr>
            </w:pPr>
          </w:p>
        </w:tc>
        <w:tc>
          <w:tcPr>
            <w:tcW w:w="301" w:type="dxa"/>
            <w:shd w:val="clear" w:color="auto" w:fill="auto"/>
            <w:vAlign w:val="center"/>
          </w:tcPr>
          <w:p w:rsidR="000A531C" w:rsidRPr="00185D50" w:rsidRDefault="000A531C" w:rsidP="00FB3766">
            <w:pPr>
              <w:snapToGrid w:val="0"/>
              <w:rPr>
                <w:rFonts w:ascii="Arial" w:hAnsi="Arial" w:cs="Arial"/>
                <w:sz w:val="16"/>
                <w:szCs w:val="16"/>
              </w:rPr>
            </w:pPr>
          </w:p>
        </w:tc>
        <w:tc>
          <w:tcPr>
            <w:tcW w:w="753" w:type="dxa"/>
            <w:shd w:val="clear" w:color="auto" w:fill="auto"/>
            <w:vAlign w:val="center"/>
          </w:tcPr>
          <w:p w:rsidR="000A531C" w:rsidRPr="00185D50" w:rsidRDefault="000A531C" w:rsidP="00FB3766">
            <w:pPr>
              <w:snapToGrid w:val="0"/>
              <w:rPr>
                <w:rFonts w:ascii="Arial" w:hAnsi="Arial" w:cs="Arial"/>
                <w:sz w:val="16"/>
                <w:szCs w:val="16"/>
              </w:rPr>
            </w:pPr>
          </w:p>
        </w:tc>
        <w:tc>
          <w:tcPr>
            <w:tcW w:w="1054" w:type="dxa"/>
            <w:shd w:val="clear" w:color="auto" w:fill="auto"/>
            <w:vAlign w:val="center"/>
          </w:tcPr>
          <w:p w:rsidR="000A531C" w:rsidRPr="00185D50" w:rsidRDefault="000A531C" w:rsidP="00FB3766">
            <w:pPr>
              <w:snapToGrid w:val="0"/>
              <w:rPr>
                <w:rFonts w:ascii="Arial" w:hAnsi="Arial" w:cs="Arial"/>
                <w:sz w:val="16"/>
                <w:szCs w:val="16"/>
              </w:rPr>
            </w:pPr>
          </w:p>
        </w:tc>
        <w:tc>
          <w:tcPr>
            <w:tcW w:w="602" w:type="dxa"/>
            <w:shd w:val="clear" w:color="auto" w:fill="auto"/>
            <w:vAlign w:val="center"/>
          </w:tcPr>
          <w:p w:rsidR="000A531C" w:rsidRPr="00185D50" w:rsidRDefault="000A531C" w:rsidP="00FB3766">
            <w:pPr>
              <w:snapToGrid w:val="0"/>
              <w:rPr>
                <w:rFonts w:ascii="Arial" w:hAnsi="Arial" w:cs="Arial"/>
                <w:sz w:val="16"/>
                <w:szCs w:val="16"/>
              </w:rPr>
            </w:pPr>
          </w:p>
        </w:tc>
        <w:tc>
          <w:tcPr>
            <w:tcW w:w="1356" w:type="dxa"/>
            <w:shd w:val="clear" w:color="auto" w:fill="auto"/>
            <w:vAlign w:val="center"/>
          </w:tcPr>
          <w:p w:rsidR="000A531C" w:rsidRPr="00185D50" w:rsidRDefault="000A531C" w:rsidP="00FB3766">
            <w:pPr>
              <w:snapToGrid w:val="0"/>
              <w:rPr>
                <w:rFonts w:ascii="Arial" w:hAnsi="Arial" w:cs="Arial"/>
                <w:sz w:val="16"/>
                <w:szCs w:val="16"/>
              </w:rPr>
            </w:pPr>
          </w:p>
        </w:tc>
        <w:tc>
          <w:tcPr>
            <w:tcW w:w="1240" w:type="dxa"/>
            <w:shd w:val="clear" w:color="auto" w:fill="auto"/>
            <w:vAlign w:val="bottom"/>
          </w:tcPr>
          <w:p w:rsidR="000A531C" w:rsidRPr="00185D50" w:rsidRDefault="000A531C" w:rsidP="00FB3766">
            <w:pPr>
              <w:snapToGrid w:val="0"/>
              <w:rPr>
                <w:rFonts w:ascii="Arial" w:hAnsi="Arial" w:cs="Arial"/>
                <w:sz w:val="16"/>
                <w:szCs w:val="16"/>
              </w:rPr>
            </w:pPr>
          </w:p>
        </w:tc>
        <w:tc>
          <w:tcPr>
            <w:tcW w:w="868" w:type="dxa"/>
            <w:shd w:val="clear" w:color="auto" w:fill="auto"/>
            <w:vAlign w:val="bottom"/>
          </w:tcPr>
          <w:p w:rsidR="000A531C" w:rsidRPr="00185D50" w:rsidRDefault="000A531C" w:rsidP="00FB3766">
            <w:pPr>
              <w:snapToGrid w:val="0"/>
              <w:rPr>
                <w:rFonts w:ascii="Arial" w:hAnsi="Arial" w:cs="Arial"/>
                <w:sz w:val="16"/>
                <w:szCs w:val="16"/>
              </w:rPr>
            </w:pPr>
          </w:p>
        </w:tc>
        <w:tc>
          <w:tcPr>
            <w:tcW w:w="975" w:type="dxa"/>
            <w:shd w:val="clear" w:color="auto" w:fill="auto"/>
            <w:vAlign w:val="bottom"/>
          </w:tcPr>
          <w:p w:rsidR="000A531C" w:rsidRPr="00185D50" w:rsidRDefault="000A531C" w:rsidP="00FB3766">
            <w:pPr>
              <w:snapToGrid w:val="0"/>
              <w:rPr>
                <w:rFonts w:ascii="Arial" w:hAnsi="Arial" w:cs="Arial"/>
                <w:sz w:val="16"/>
                <w:szCs w:val="16"/>
              </w:rPr>
            </w:pPr>
          </w:p>
        </w:tc>
        <w:tc>
          <w:tcPr>
            <w:tcW w:w="992" w:type="dxa"/>
            <w:shd w:val="clear" w:color="auto" w:fill="auto"/>
            <w:vAlign w:val="bottom"/>
          </w:tcPr>
          <w:p w:rsidR="000A531C" w:rsidRPr="00185D50" w:rsidRDefault="000A531C" w:rsidP="00FB3766">
            <w:pPr>
              <w:snapToGrid w:val="0"/>
              <w:rPr>
                <w:rFonts w:ascii="Arial" w:hAnsi="Arial" w:cs="Arial"/>
                <w:sz w:val="16"/>
                <w:szCs w:val="16"/>
              </w:rPr>
            </w:pPr>
          </w:p>
        </w:tc>
      </w:tr>
      <w:tr w:rsidR="000A531C" w:rsidRPr="00DE475B" w:rsidTr="00185D50">
        <w:trPr>
          <w:trHeight w:val="238"/>
        </w:trPr>
        <w:tc>
          <w:tcPr>
            <w:tcW w:w="3216" w:type="dxa"/>
            <w:gridSpan w:val="5"/>
            <w:shd w:val="clear" w:color="auto" w:fill="auto"/>
            <w:vAlign w:val="center"/>
          </w:tcPr>
          <w:p w:rsidR="000A531C" w:rsidRPr="00DE475B" w:rsidRDefault="000A531C" w:rsidP="00FB3766">
            <w:pPr>
              <w:rPr>
                <w:rFonts w:ascii="Arial" w:hAnsi="Arial" w:cs="Arial"/>
                <w:sz w:val="20"/>
                <w:szCs w:val="20"/>
              </w:rPr>
            </w:pPr>
            <w:r w:rsidRPr="00DE475B">
              <w:rPr>
                <w:rFonts w:ascii="Arial" w:hAnsi="Arial" w:cs="Arial"/>
                <w:sz w:val="20"/>
                <w:szCs w:val="20"/>
              </w:rPr>
              <w:t>GST receivable</w:t>
            </w:r>
          </w:p>
        </w:tc>
        <w:tc>
          <w:tcPr>
            <w:tcW w:w="1356" w:type="dxa"/>
            <w:shd w:val="clear" w:color="auto" w:fill="auto"/>
            <w:vAlign w:val="center"/>
          </w:tcPr>
          <w:p w:rsidR="000A531C" w:rsidRPr="00DE475B" w:rsidRDefault="000A531C" w:rsidP="00FB3766">
            <w:pPr>
              <w:snapToGrid w:val="0"/>
              <w:rPr>
                <w:rFonts w:ascii="Arial" w:hAnsi="Arial" w:cs="Arial"/>
                <w:sz w:val="20"/>
                <w:szCs w:val="20"/>
              </w:rPr>
            </w:pPr>
          </w:p>
        </w:tc>
        <w:tc>
          <w:tcPr>
            <w:tcW w:w="1240" w:type="dxa"/>
            <w:shd w:val="clear" w:color="auto" w:fill="auto"/>
            <w:vAlign w:val="center"/>
          </w:tcPr>
          <w:p w:rsidR="000A531C" w:rsidRPr="00DE475B" w:rsidRDefault="00D05599" w:rsidP="008A1148">
            <w:pPr>
              <w:jc w:val="right"/>
              <w:rPr>
                <w:rFonts w:ascii="Arial" w:hAnsi="Arial" w:cs="Arial"/>
                <w:sz w:val="20"/>
                <w:szCs w:val="20"/>
              </w:rPr>
            </w:pPr>
            <w:r>
              <w:rPr>
                <w:rFonts w:ascii="Arial" w:hAnsi="Arial" w:cs="Arial"/>
                <w:sz w:val="20"/>
                <w:szCs w:val="20"/>
              </w:rPr>
              <w:t>159</w:t>
            </w:r>
          </w:p>
        </w:tc>
        <w:tc>
          <w:tcPr>
            <w:tcW w:w="868" w:type="dxa"/>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 xml:space="preserve">199 </w:t>
            </w:r>
          </w:p>
        </w:tc>
        <w:tc>
          <w:tcPr>
            <w:tcW w:w="975" w:type="dxa"/>
            <w:shd w:val="clear" w:color="auto" w:fill="auto"/>
            <w:vAlign w:val="center"/>
          </w:tcPr>
          <w:p w:rsidR="000A531C" w:rsidRPr="00DE475B" w:rsidRDefault="00D05599" w:rsidP="00A2292F">
            <w:pPr>
              <w:jc w:val="right"/>
              <w:rPr>
                <w:rFonts w:ascii="Arial" w:hAnsi="Arial" w:cs="Arial"/>
                <w:sz w:val="20"/>
                <w:szCs w:val="20"/>
              </w:rPr>
            </w:pPr>
            <w:r>
              <w:rPr>
                <w:rFonts w:ascii="Arial" w:hAnsi="Arial" w:cs="Arial"/>
                <w:sz w:val="20"/>
                <w:szCs w:val="20"/>
              </w:rPr>
              <w:t>148</w:t>
            </w:r>
          </w:p>
        </w:tc>
        <w:tc>
          <w:tcPr>
            <w:tcW w:w="992" w:type="dxa"/>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 xml:space="preserve">199 </w:t>
            </w:r>
          </w:p>
        </w:tc>
      </w:tr>
      <w:tr w:rsidR="000A531C" w:rsidRPr="00DE475B" w:rsidTr="00E445DC">
        <w:trPr>
          <w:trHeight w:val="300"/>
        </w:trPr>
        <w:tc>
          <w:tcPr>
            <w:tcW w:w="3216" w:type="dxa"/>
            <w:gridSpan w:val="5"/>
            <w:shd w:val="clear" w:color="auto" w:fill="auto"/>
            <w:vAlign w:val="center"/>
          </w:tcPr>
          <w:p w:rsidR="000A531C" w:rsidRPr="00DE475B" w:rsidRDefault="000A531C" w:rsidP="00FB3766">
            <w:pPr>
              <w:rPr>
                <w:rFonts w:ascii="Arial" w:hAnsi="Arial" w:cs="Arial"/>
                <w:sz w:val="20"/>
                <w:szCs w:val="20"/>
              </w:rPr>
            </w:pPr>
            <w:r w:rsidRPr="00DE475B">
              <w:rPr>
                <w:rFonts w:ascii="Arial" w:hAnsi="Arial" w:cs="Arial"/>
                <w:sz w:val="20"/>
                <w:szCs w:val="20"/>
              </w:rPr>
              <w:t>GST payable</w:t>
            </w:r>
          </w:p>
        </w:tc>
        <w:tc>
          <w:tcPr>
            <w:tcW w:w="1356" w:type="dxa"/>
            <w:shd w:val="clear" w:color="auto" w:fill="auto"/>
            <w:vAlign w:val="center"/>
          </w:tcPr>
          <w:p w:rsidR="000A531C" w:rsidRPr="00DE475B" w:rsidRDefault="000A531C" w:rsidP="00FB3766">
            <w:pPr>
              <w:snapToGrid w:val="0"/>
              <w:rPr>
                <w:rFonts w:ascii="Arial" w:hAnsi="Arial" w:cs="Arial"/>
                <w:sz w:val="20"/>
                <w:szCs w:val="20"/>
              </w:rPr>
            </w:pPr>
          </w:p>
        </w:tc>
        <w:tc>
          <w:tcPr>
            <w:tcW w:w="1240" w:type="dxa"/>
            <w:tcBorders>
              <w:bottom w:val="single" w:sz="8" w:space="0" w:color="000000"/>
            </w:tcBorders>
            <w:shd w:val="clear" w:color="auto" w:fill="auto"/>
            <w:vAlign w:val="center"/>
          </w:tcPr>
          <w:p w:rsidR="000A531C" w:rsidRPr="00DE475B" w:rsidRDefault="00D05599" w:rsidP="008A1148">
            <w:pPr>
              <w:jc w:val="right"/>
              <w:rPr>
                <w:rFonts w:ascii="Arial" w:hAnsi="Arial" w:cs="Arial"/>
                <w:sz w:val="20"/>
                <w:szCs w:val="20"/>
              </w:rPr>
            </w:pPr>
            <w:r>
              <w:rPr>
                <w:rFonts w:ascii="Arial" w:hAnsi="Arial" w:cs="Arial"/>
                <w:sz w:val="20"/>
                <w:szCs w:val="20"/>
              </w:rPr>
              <w:t>(46)</w:t>
            </w:r>
          </w:p>
        </w:tc>
        <w:tc>
          <w:tcPr>
            <w:tcW w:w="868" w:type="dxa"/>
            <w:tcBorders>
              <w:bottom w:val="single" w:sz="8" w:space="0" w:color="000000"/>
            </w:tcBorders>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(41)</w:t>
            </w:r>
          </w:p>
        </w:tc>
        <w:tc>
          <w:tcPr>
            <w:tcW w:w="975" w:type="dxa"/>
            <w:tcBorders>
              <w:bottom w:val="single" w:sz="8" w:space="0" w:color="000000"/>
            </w:tcBorders>
            <w:shd w:val="clear" w:color="auto" w:fill="auto"/>
            <w:vAlign w:val="center"/>
          </w:tcPr>
          <w:p w:rsidR="000A531C" w:rsidRPr="00DE475B" w:rsidRDefault="00D05599" w:rsidP="00A2292F">
            <w:pPr>
              <w:jc w:val="right"/>
              <w:rPr>
                <w:rFonts w:ascii="Arial" w:hAnsi="Arial" w:cs="Arial"/>
                <w:sz w:val="20"/>
                <w:szCs w:val="20"/>
              </w:rPr>
            </w:pPr>
            <w:r>
              <w:rPr>
                <w:rFonts w:ascii="Arial" w:hAnsi="Arial" w:cs="Arial"/>
                <w:sz w:val="20"/>
                <w:szCs w:val="20"/>
              </w:rPr>
              <w:t>(11)</w:t>
            </w:r>
          </w:p>
        </w:tc>
        <w:tc>
          <w:tcPr>
            <w:tcW w:w="992" w:type="dxa"/>
            <w:tcBorders>
              <w:bottom w:val="single" w:sz="8" w:space="0" w:color="000000"/>
            </w:tcBorders>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(40)</w:t>
            </w:r>
          </w:p>
        </w:tc>
      </w:tr>
      <w:tr w:rsidR="000A531C" w:rsidRPr="00DE475B" w:rsidTr="00E445DC">
        <w:trPr>
          <w:trHeight w:val="300"/>
        </w:trPr>
        <w:tc>
          <w:tcPr>
            <w:tcW w:w="506" w:type="dxa"/>
            <w:shd w:val="clear" w:color="auto" w:fill="auto"/>
            <w:vAlign w:val="center"/>
          </w:tcPr>
          <w:p w:rsidR="000A531C" w:rsidRPr="00DE475B" w:rsidRDefault="000A531C" w:rsidP="00FB3766">
            <w:pPr>
              <w:snapToGrid w:val="0"/>
              <w:rPr>
                <w:rFonts w:ascii="Arial" w:hAnsi="Arial" w:cs="Arial"/>
                <w:sz w:val="20"/>
                <w:szCs w:val="20"/>
              </w:rPr>
            </w:pPr>
          </w:p>
        </w:tc>
        <w:tc>
          <w:tcPr>
            <w:tcW w:w="301" w:type="dxa"/>
            <w:shd w:val="clear" w:color="auto" w:fill="auto"/>
            <w:vAlign w:val="center"/>
          </w:tcPr>
          <w:p w:rsidR="000A531C" w:rsidRPr="00DE475B" w:rsidRDefault="000A531C" w:rsidP="00FB3766">
            <w:pPr>
              <w:snapToGrid w:val="0"/>
              <w:rPr>
                <w:rFonts w:ascii="Arial" w:hAnsi="Arial" w:cs="Arial"/>
                <w:sz w:val="20"/>
                <w:szCs w:val="20"/>
              </w:rPr>
            </w:pPr>
          </w:p>
        </w:tc>
        <w:tc>
          <w:tcPr>
            <w:tcW w:w="753" w:type="dxa"/>
            <w:shd w:val="clear" w:color="auto" w:fill="auto"/>
            <w:vAlign w:val="center"/>
          </w:tcPr>
          <w:p w:rsidR="000A531C" w:rsidRPr="00DE475B" w:rsidRDefault="000A531C" w:rsidP="00FB3766">
            <w:pPr>
              <w:snapToGrid w:val="0"/>
              <w:rPr>
                <w:rFonts w:ascii="Arial" w:hAnsi="Arial" w:cs="Arial"/>
                <w:sz w:val="20"/>
                <w:szCs w:val="20"/>
              </w:rPr>
            </w:pPr>
          </w:p>
        </w:tc>
        <w:tc>
          <w:tcPr>
            <w:tcW w:w="1054" w:type="dxa"/>
            <w:shd w:val="clear" w:color="auto" w:fill="auto"/>
            <w:vAlign w:val="center"/>
          </w:tcPr>
          <w:p w:rsidR="000A531C" w:rsidRPr="00DE475B" w:rsidRDefault="000A531C" w:rsidP="00FB3766">
            <w:pPr>
              <w:snapToGrid w:val="0"/>
              <w:rPr>
                <w:rFonts w:ascii="Arial" w:hAnsi="Arial" w:cs="Arial"/>
                <w:sz w:val="20"/>
                <w:szCs w:val="20"/>
              </w:rPr>
            </w:pPr>
          </w:p>
        </w:tc>
        <w:tc>
          <w:tcPr>
            <w:tcW w:w="602" w:type="dxa"/>
            <w:shd w:val="clear" w:color="auto" w:fill="auto"/>
            <w:vAlign w:val="center"/>
          </w:tcPr>
          <w:p w:rsidR="000A531C" w:rsidRPr="00DE475B" w:rsidRDefault="000A531C" w:rsidP="00FB3766">
            <w:pPr>
              <w:snapToGrid w:val="0"/>
              <w:rPr>
                <w:rFonts w:ascii="Arial" w:hAnsi="Arial" w:cs="Arial"/>
                <w:sz w:val="20"/>
                <w:szCs w:val="20"/>
              </w:rPr>
            </w:pPr>
          </w:p>
        </w:tc>
        <w:tc>
          <w:tcPr>
            <w:tcW w:w="1356" w:type="dxa"/>
            <w:shd w:val="clear" w:color="auto" w:fill="auto"/>
            <w:vAlign w:val="center"/>
          </w:tcPr>
          <w:p w:rsidR="000A531C" w:rsidRPr="00DE475B" w:rsidRDefault="000A531C" w:rsidP="00FB3766">
            <w:pPr>
              <w:snapToGrid w:val="0"/>
              <w:rPr>
                <w:rFonts w:ascii="Arial" w:hAnsi="Arial" w:cs="Arial"/>
                <w:sz w:val="20"/>
                <w:szCs w:val="20"/>
              </w:rPr>
            </w:pPr>
          </w:p>
        </w:tc>
        <w:tc>
          <w:tcPr>
            <w:tcW w:w="1240" w:type="dxa"/>
            <w:tcBorders>
              <w:top w:val="single" w:sz="8" w:space="0" w:color="000000"/>
            </w:tcBorders>
            <w:shd w:val="clear" w:color="auto" w:fill="auto"/>
            <w:vAlign w:val="center"/>
          </w:tcPr>
          <w:p w:rsidR="000A531C" w:rsidRPr="00DE475B" w:rsidRDefault="00D05599" w:rsidP="008A1148">
            <w:pPr>
              <w:jc w:val="right"/>
              <w:rPr>
                <w:rFonts w:ascii="Arial" w:hAnsi="Arial" w:cs="Arial"/>
                <w:sz w:val="20"/>
                <w:szCs w:val="20"/>
              </w:rPr>
            </w:pPr>
            <w:r>
              <w:rPr>
                <w:rFonts w:ascii="Arial" w:hAnsi="Arial" w:cs="Arial"/>
                <w:sz w:val="20"/>
                <w:szCs w:val="20"/>
              </w:rPr>
              <w:t>113</w:t>
            </w:r>
          </w:p>
        </w:tc>
        <w:tc>
          <w:tcPr>
            <w:tcW w:w="868" w:type="dxa"/>
            <w:tcBorders>
              <w:top w:val="single" w:sz="8" w:space="0" w:color="000000"/>
            </w:tcBorders>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158</w:t>
            </w:r>
          </w:p>
        </w:tc>
        <w:tc>
          <w:tcPr>
            <w:tcW w:w="975" w:type="dxa"/>
            <w:tcBorders>
              <w:top w:val="single" w:sz="8" w:space="0" w:color="000000"/>
            </w:tcBorders>
            <w:shd w:val="clear" w:color="auto" w:fill="auto"/>
            <w:vAlign w:val="center"/>
          </w:tcPr>
          <w:p w:rsidR="000A531C" w:rsidRPr="00DE475B" w:rsidRDefault="00D05599" w:rsidP="00A2292F">
            <w:pPr>
              <w:jc w:val="right"/>
              <w:rPr>
                <w:rFonts w:ascii="Arial" w:hAnsi="Arial" w:cs="Arial"/>
                <w:sz w:val="20"/>
                <w:szCs w:val="20"/>
              </w:rPr>
            </w:pPr>
            <w:r>
              <w:rPr>
                <w:rFonts w:ascii="Arial" w:hAnsi="Arial" w:cs="Arial"/>
                <w:sz w:val="20"/>
                <w:szCs w:val="20"/>
              </w:rPr>
              <w:t>137</w:t>
            </w:r>
          </w:p>
        </w:tc>
        <w:tc>
          <w:tcPr>
            <w:tcW w:w="992" w:type="dxa"/>
            <w:tcBorders>
              <w:top w:val="single" w:sz="8" w:space="0" w:color="000000"/>
            </w:tcBorders>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159</w:t>
            </w:r>
          </w:p>
        </w:tc>
      </w:tr>
      <w:tr w:rsidR="000A531C" w:rsidRPr="00DE475B" w:rsidTr="00185D50">
        <w:trPr>
          <w:trHeight w:val="131"/>
        </w:trPr>
        <w:tc>
          <w:tcPr>
            <w:tcW w:w="506" w:type="dxa"/>
            <w:shd w:val="clear" w:color="auto" w:fill="auto"/>
            <w:vAlign w:val="center"/>
          </w:tcPr>
          <w:p w:rsidR="000A531C" w:rsidRPr="00185D50" w:rsidRDefault="000A531C" w:rsidP="00FB3766">
            <w:pPr>
              <w:snapToGrid w:val="0"/>
              <w:rPr>
                <w:rFonts w:ascii="Arial" w:hAnsi="Arial" w:cs="Arial"/>
                <w:sz w:val="16"/>
                <w:szCs w:val="16"/>
              </w:rPr>
            </w:pPr>
          </w:p>
        </w:tc>
        <w:tc>
          <w:tcPr>
            <w:tcW w:w="301" w:type="dxa"/>
            <w:shd w:val="clear" w:color="auto" w:fill="auto"/>
            <w:vAlign w:val="center"/>
          </w:tcPr>
          <w:p w:rsidR="000A531C" w:rsidRPr="00185D50" w:rsidRDefault="000A531C" w:rsidP="00FB3766">
            <w:pPr>
              <w:snapToGrid w:val="0"/>
              <w:rPr>
                <w:rFonts w:ascii="Arial" w:hAnsi="Arial" w:cs="Arial"/>
                <w:sz w:val="16"/>
                <w:szCs w:val="16"/>
              </w:rPr>
            </w:pPr>
          </w:p>
        </w:tc>
        <w:tc>
          <w:tcPr>
            <w:tcW w:w="753" w:type="dxa"/>
            <w:shd w:val="clear" w:color="auto" w:fill="auto"/>
            <w:vAlign w:val="center"/>
          </w:tcPr>
          <w:p w:rsidR="000A531C" w:rsidRPr="00185D50" w:rsidRDefault="000A531C" w:rsidP="00FB3766">
            <w:pPr>
              <w:snapToGrid w:val="0"/>
              <w:rPr>
                <w:rFonts w:ascii="Arial" w:hAnsi="Arial" w:cs="Arial"/>
                <w:sz w:val="16"/>
                <w:szCs w:val="16"/>
              </w:rPr>
            </w:pPr>
          </w:p>
        </w:tc>
        <w:tc>
          <w:tcPr>
            <w:tcW w:w="1054" w:type="dxa"/>
            <w:shd w:val="clear" w:color="auto" w:fill="auto"/>
            <w:vAlign w:val="center"/>
          </w:tcPr>
          <w:p w:rsidR="000A531C" w:rsidRPr="00185D50" w:rsidRDefault="000A531C" w:rsidP="00FB3766">
            <w:pPr>
              <w:snapToGrid w:val="0"/>
              <w:rPr>
                <w:rFonts w:ascii="Arial" w:hAnsi="Arial" w:cs="Arial"/>
                <w:sz w:val="16"/>
                <w:szCs w:val="16"/>
              </w:rPr>
            </w:pPr>
          </w:p>
        </w:tc>
        <w:tc>
          <w:tcPr>
            <w:tcW w:w="602" w:type="dxa"/>
            <w:shd w:val="clear" w:color="auto" w:fill="auto"/>
            <w:vAlign w:val="center"/>
          </w:tcPr>
          <w:p w:rsidR="000A531C" w:rsidRPr="00185D50" w:rsidRDefault="000A531C" w:rsidP="00FB3766">
            <w:pPr>
              <w:snapToGrid w:val="0"/>
              <w:rPr>
                <w:rFonts w:ascii="Arial" w:hAnsi="Arial" w:cs="Arial"/>
                <w:sz w:val="16"/>
                <w:szCs w:val="16"/>
              </w:rPr>
            </w:pPr>
          </w:p>
        </w:tc>
        <w:tc>
          <w:tcPr>
            <w:tcW w:w="1356" w:type="dxa"/>
            <w:shd w:val="clear" w:color="auto" w:fill="auto"/>
            <w:vAlign w:val="center"/>
          </w:tcPr>
          <w:p w:rsidR="000A531C" w:rsidRPr="00185D50" w:rsidRDefault="000A531C" w:rsidP="00FB3766">
            <w:pPr>
              <w:snapToGrid w:val="0"/>
              <w:rPr>
                <w:rFonts w:ascii="Arial" w:hAnsi="Arial" w:cs="Arial"/>
                <w:sz w:val="16"/>
                <w:szCs w:val="16"/>
              </w:rPr>
            </w:pPr>
          </w:p>
        </w:tc>
        <w:tc>
          <w:tcPr>
            <w:tcW w:w="1240" w:type="dxa"/>
            <w:shd w:val="clear" w:color="auto" w:fill="auto"/>
            <w:vAlign w:val="bottom"/>
          </w:tcPr>
          <w:p w:rsidR="000A531C" w:rsidRPr="00185D50" w:rsidRDefault="000A531C" w:rsidP="00FB3766">
            <w:pPr>
              <w:snapToGrid w:val="0"/>
              <w:rPr>
                <w:rFonts w:ascii="Arial" w:hAnsi="Arial" w:cs="Arial"/>
                <w:sz w:val="16"/>
                <w:szCs w:val="16"/>
              </w:rPr>
            </w:pPr>
          </w:p>
        </w:tc>
        <w:tc>
          <w:tcPr>
            <w:tcW w:w="868" w:type="dxa"/>
            <w:shd w:val="clear" w:color="auto" w:fill="auto"/>
            <w:vAlign w:val="bottom"/>
          </w:tcPr>
          <w:p w:rsidR="000A531C" w:rsidRPr="00185D50" w:rsidRDefault="000A531C" w:rsidP="00FB3766">
            <w:pPr>
              <w:snapToGrid w:val="0"/>
              <w:rPr>
                <w:rFonts w:ascii="Arial" w:hAnsi="Arial" w:cs="Arial"/>
                <w:sz w:val="16"/>
                <w:szCs w:val="16"/>
              </w:rPr>
            </w:pPr>
          </w:p>
        </w:tc>
        <w:tc>
          <w:tcPr>
            <w:tcW w:w="975" w:type="dxa"/>
            <w:shd w:val="clear" w:color="auto" w:fill="auto"/>
            <w:vAlign w:val="bottom"/>
          </w:tcPr>
          <w:p w:rsidR="000A531C" w:rsidRPr="00185D50" w:rsidRDefault="000A531C" w:rsidP="00FB3766">
            <w:pPr>
              <w:snapToGrid w:val="0"/>
              <w:rPr>
                <w:rFonts w:ascii="Arial" w:hAnsi="Arial" w:cs="Arial"/>
                <w:sz w:val="16"/>
                <w:szCs w:val="16"/>
              </w:rPr>
            </w:pPr>
          </w:p>
        </w:tc>
        <w:tc>
          <w:tcPr>
            <w:tcW w:w="992" w:type="dxa"/>
            <w:shd w:val="clear" w:color="auto" w:fill="auto"/>
            <w:vAlign w:val="bottom"/>
          </w:tcPr>
          <w:p w:rsidR="000A531C" w:rsidRPr="00185D50" w:rsidRDefault="000A531C" w:rsidP="00FB3766">
            <w:pPr>
              <w:snapToGrid w:val="0"/>
              <w:rPr>
                <w:rFonts w:ascii="Arial" w:hAnsi="Arial" w:cs="Arial"/>
                <w:sz w:val="16"/>
                <w:szCs w:val="16"/>
              </w:rPr>
            </w:pPr>
          </w:p>
        </w:tc>
      </w:tr>
      <w:tr w:rsidR="000A531C" w:rsidRPr="00DE475B" w:rsidTr="00185D50">
        <w:trPr>
          <w:trHeight w:val="279"/>
        </w:trPr>
        <w:tc>
          <w:tcPr>
            <w:tcW w:w="4572" w:type="dxa"/>
            <w:gridSpan w:val="6"/>
            <w:shd w:val="clear" w:color="auto" w:fill="auto"/>
            <w:vAlign w:val="center"/>
          </w:tcPr>
          <w:p w:rsidR="000A531C" w:rsidRPr="00DE475B" w:rsidRDefault="000A531C" w:rsidP="00FB3766">
            <w:pPr>
              <w:rPr>
                <w:rFonts w:ascii="Arial" w:hAnsi="Arial" w:cs="Arial"/>
                <w:sz w:val="20"/>
                <w:szCs w:val="20"/>
              </w:rPr>
            </w:pPr>
            <w:r w:rsidRPr="00DE475B">
              <w:rPr>
                <w:rFonts w:ascii="Arial" w:hAnsi="Arial" w:cs="Arial"/>
                <w:sz w:val="20"/>
                <w:szCs w:val="20"/>
              </w:rPr>
              <w:t>Long service leave reimbursements</w:t>
            </w:r>
          </w:p>
        </w:tc>
        <w:tc>
          <w:tcPr>
            <w:tcW w:w="1240" w:type="dxa"/>
            <w:shd w:val="clear" w:color="auto" w:fill="auto"/>
            <w:vAlign w:val="center"/>
          </w:tcPr>
          <w:p w:rsidR="000A531C" w:rsidRPr="00DE475B" w:rsidRDefault="00D05599" w:rsidP="00405303">
            <w:pPr>
              <w:jc w:val="right"/>
              <w:rPr>
                <w:rFonts w:ascii="Arial" w:hAnsi="Arial" w:cs="Arial"/>
                <w:sz w:val="20"/>
                <w:szCs w:val="20"/>
              </w:rPr>
            </w:pPr>
            <w:r>
              <w:rPr>
                <w:rFonts w:ascii="Arial" w:hAnsi="Arial" w:cs="Arial"/>
                <w:sz w:val="20"/>
                <w:szCs w:val="20"/>
              </w:rPr>
              <w:t>88</w:t>
            </w:r>
          </w:p>
        </w:tc>
        <w:tc>
          <w:tcPr>
            <w:tcW w:w="868" w:type="dxa"/>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 xml:space="preserve">114 </w:t>
            </w:r>
          </w:p>
        </w:tc>
        <w:tc>
          <w:tcPr>
            <w:tcW w:w="975" w:type="dxa"/>
            <w:shd w:val="clear" w:color="auto" w:fill="auto"/>
            <w:vAlign w:val="center"/>
          </w:tcPr>
          <w:p w:rsidR="000A531C" w:rsidRPr="00DE475B" w:rsidRDefault="00D05599" w:rsidP="00A2292F">
            <w:pPr>
              <w:jc w:val="right"/>
              <w:rPr>
                <w:rFonts w:ascii="Arial" w:hAnsi="Arial" w:cs="Arial"/>
                <w:sz w:val="20"/>
                <w:szCs w:val="20"/>
              </w:rPr>
            </w:pPr>
            <w:r>
              <w:rPr>
                <w:rFonts w:ascii="Arial" w:hAnsi="Arial" w:cs="Arial"/>
                <w:sz w:val="20"/>
                <w:szCs w:val="20"/>
              </w:rPr>
              <w:t>88</w:t>
            </w:r>
          </w:p>
        </w:tc>
        <w:tc>
          <w:tcPr>
            <w:tcW w:w="992" w:type="dxa"/>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 xml:space="preserve">114 </w:t>
            </w:r>
          </w:p>
        </w:tc>
      </w:tr>
      <w:tr w:rsidR="000A531C" w:rsidRPr="00DE475B" w:rsidTr="00185D50">
        <w:trPr>
          <w:trHeight w:val="255"/>
        </w:trPr>
        <w:tc>
          <w:tcPr>
            <w:tcW w:w="4572" w:type="dxa"/>
            <w:gridSpan w:val="6"/>
            <w:shd w:val="clear" w:color="auto" w:fill="auto"/>
            <w:vAlign w:val="center"/>
          </w:tcPr>
          <w:p w:rsidR="000A531C" w:rsidRPr="00DE475B" w:rsidRDefault="000A531C" w:rsidP="00FB3766">
            <w:pPr>
              <w:rPr>
                <w:rFonts w:ascii="Arial" w:hAnsi="Arial" w:cs="Arial"/>
                <w:sz w:val="20"/>
                <w:szCs w:val="20"/>
              </w:rPr>
            </w:pPr>
            <w:r w:rsidRPr="00DE475B">
              <w:rPr>
                <w:rFonts w:ascii="Arial" w:hAnsi="Arial" w:cs="Arial"/>
                <w:sz w:val="20"/>
                <w:szCs w:val="20"/>
              </w:rPr>
              <w:t>Queensland Library Foundation Receivables</w:t>
            </w:r>
          </w:p>
        </w:tc>
        <w:tc>
          <w:tcPr>
            <w:tcW w:w="1240" w:type="dxa"/>
            <w:shd w:val="clear" w:color="auto" w:fill="auto"/>
            <w:vAlign w:val="center"/>
          </w:tcPr>
          <w:p w:rsidR="000A531C" w:rsidRPr="00DE475B" w:rsidRDefault="00D05599" w:rsidP="00405303">
            <w:pPr>
              <w:jc w:val="right"/>
              <w:rPr>
                <w:rFonts w:ascii="Arial" w:hAnsi="Arial" w:cs="Arial"/>
                <w:sz w:val="20"/>
                <w:szCs w:val="20"/>
              </w:rPr>
            </w:pPr>
            <w:r>
              <w:rPr>
                <w:rFonts w:ascii="Arial" w:hAnsi="Arial" w:cs="Arial"/>
                <w:sz w:val="20"/>
                <w:szCs w:val="20"/>
              </w:rPr>
              <w:t>-</w:t>
            </w:r>
          </w:p>
        </w:tc>
        <w:tc>
          <w:tcPr>
            <w:tcW w:w="868" w:type="dxa"/>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 xml:space="preserve">-  </w:t>
            </w:r>
          </w:p>
        </w:tc>
        <w:tc>
          <w:tcPr>
            <w:tcW w:w="975" w:type="dxa"/>
            <w:shd w:val="clear" w:color="auto" w:fill="auto"/>
            <w:vAlign w:val="center"/>
          </w:tcPr>
          <w:p w:rsidR="000A531C" w:rsidRPr="00DE475B" w:rsidRDefault="00D05599" w:rsidP="00A2292F">
            <w:pPr>
              <w:jc w:val="right"/>
              <w:rPr>
                <w:rFonts w:ascii="Arial" w:hAnsi="Arial" w:cs="Arial"/>
                <w:sz w:val="20"/>
                <w:szCs w:val="20"/>
              </w:rPr>
            </w:pPr>
            <w:r>
              <w:rPr>
                <w:rFonts w:ascii="Arial" w:hAnsi="Arial" w:cs="Arial"/>
                <w:sz w:val="20"/>
                <w:szCs w:val="20"/>
              </w:rPr>
              <w:t>198</w:t>
            </w:r>
          </w:p>
        </w:tc>
        <w:tc>
          <w:tcPr>
            <w:tcW w:w="992" w:type="dxa"/>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 xml:space="preserve">117 </w:t>
            </w:r>
          </w:p>
        </w:tc>
      </w:tr>
      <w:tr w:rsidR="000A531C" w:rsidRPr="00DE475B" w:rsidTr="00185D50">
        <w:trPr>
          <w:trHeight w:val="142"/>
        </w:trPr>
        <w:tc>
          <w:tcPr>
            <w:tcW w:w="4572" w:type="dxa"/>
            <w:gridSpan w:val="6"/>
            <w:shd w:val="clear" w:color="auto" w:fill="auto"/>
            <w:vAlign w:val="center"/>
          </w:tcPr>
          <w:p w:rsidR="000A531C" w:rsidRPr="00DE475B" w:rsidRDefault="000A531C" w:rsidP="00FB3766">
            <w:pPr>
              <w:rPr>
                <w:rFonts w:ascii="Arial" w:hAnsi="Arial" w:cs="Arial"/>
                <w:sz w:val="20"/>
                <w:szCs w:val="20"/>
              </w:rPr>
            </w:pPr>
            <w:r w:rsidRPr="00DE475B">
              <w:rPr>
                <w:rFonts w:ascii="Arial" w:hAnsi="Arial" w:cs="Arial"/>
                <w:sz w:val="20"/>
                <w:szCs w:val="20"/>
              </w:rPr>
              <w:t>Other</w:t>
            </w:r>
          </w:p>
        </w:tc>
        <w:tc>
          <w:tcPr>
            <w:tcW w:w="1240" w:type="dxa"/>
            <w:shd w:val="clear" w:color="auto" w:fill="auto"/>
            <w:vAlign w:val="center"/>
          </w:tcPr>
          <w:p w:rsidR="000A531C" w:rsidRPr="00DE475B" w:rsidRDefault="00D05599" w:rsidP="00405303">
            <w:pPr>
              <w:jc w:val="right"/>
              <w:rPr>
                <w:rFonts w:ascii="Arial" w:hAnsi="Arial" w:cs="Arial"/>
                <w:sz w:val="20"/>
                <w:szCs w:val="20"/>
              </w:rPr>
            </w:pPr>
            <w:r>
              <w:rPr>
                <w:rFonts w:ascii="Arial" w:hAnsi="Arial" w:cs="Arial"/>
                <w:sz w:val="20"/>
                <w:szCs w:val="20"/>
              </w:rPr>
              <w:t>479</w:t>
            </w:r>
          </w:p>
        </w:tc>
        <w:tc>
          <w:tcPr>
            <w:tcW w:w="868" w:type="dxa"/>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 xml:space="preserve">2 </w:t>
            </w:r>
          </w:p>
        </w:tc>
        <w:tc>
          <w:tcPr>
            <w:tcW w:w="975" w:type="dxa"/>
            <w:shd w:val="clear" w:color="auto" w:fill="auto"/>
            <w:vAlign w:val="center"/>
          </w:tcPr>
          <w:p w:rsidR="000A531C" w:rsidRPr="00DE475B" w:rsidRDefault="00D05599" w:rsidP="00A2292F">
            <w:pPr>
              <w:jc w:val="right"/>
              <w:rPr>
                <w:rFonts w:ascii="Arial" w:hAnsi="Arial" w:cs="Arial"/>
                <w:sz w:val="20"/>
                <w:szCs w:val="20"/>
              </w:rPr>
            </w:pPr>
            <w:r>
              <w:rPr>
                <w:rFonts w:ascii="Arial" w:hAnsi="Arial" w:cs="Arial"/>
                <w:sz w:val="20"/>
                <w:szCs w:val="20"/>
              </w:rPr>
              <w:t>478</w:t>
            </w:r>
          </w:p>
        </w:tc>
        <w:tc>
          <w:tcPr>
            <w:tcW w:w="992" w:type="dxa"/>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 xml:space="preserve">2 </w:t>
            </w:r>
          </w:p>
        </w:tc>
      </w:tr>
      <w:tr w:rsidR="000A531C" w:rsidRPr="00DE475B" w:rsidTr="005E7702">
        <w:trPr>
          <w:trHeight w:val="139"/>
        </w:trPr>
        <w:tc>
          <w:tcPr>
            <w:tcW w:w="506" w:type="dxa"/>
            <w:shd w:val="clear" w:color="auto" w:fill="auto"/>
            <w:vAlign w:val="bottom"/>
          </w:tcPr>
          <w:p w:rsidR="000A531C" w:rsidRPr="00185D50" w:rsidRDefault="000A531C" w:rsidP="00FB3766">
            <w:pPr>
              <w:snapToGrid w:val="0"/>
              <w:rPr>
                <w:rFonts w:ascii="Arial" w:hAnsi="Arial" w:cs="Arial"/>
                <w:sz w:val="16"/>
                <w:szCs w:val="16"/>
              </w:rPr>
            </w:pPr>
          </w:p>
        </w:tc>
        <w:tc>
          <w:tcPr>
            <w:tcW w:w="301" w:type="dxa"/>
            <w:shd w:val="clear" w:color="auto" w:fill="auto"/>
            <w:vAlign w:val="bottom"/>
          </w:tcPr>
          <w:p w:rsidR="000A531C" w:rsidRPr="00185D50" w:rsidRDefault="000A531C" w:rsidP="00FB3766">
            <w:pPr>
              <w:snapToGrid w:val="0"/>
              <w:rPr>
                <w:rFonts w:ascii="Arial" w:hAnsi="Arial" w:cs="Arial"/>
                <w:sz w:val="16"/>
                <w:szCs w:val="16"/>
              </w:rPr>
            </w:pPr>
          </w:p>
        </w:tc>
        <w:tc>
          <w:tcPr>
            <w:tcW w:w="753" w:type="dxa"/>
            <w:shd w:val="clear" w:color="auto" w:fill="auto"/>
            <w:vAlign w:val="bottom"/>
          </w:tcPr>
          <w:p w:rsidR="000A531C" w:rsidRPr="00185D50" w:rsidRDefault="000A531C" w:rsidP="00FB3766">
            <w:pPr>
              <w:snapToGrid w:val="0"/>
              <w:rPr>
                <w:rFonts w:ascii="Arial" w:hAnsi="Arial" w:cs="Arial"/>
                <w:sz w:val="16"/>
                <w:szCs w:val="16"/>
              </w:rPr>
            </w:pPr>
          </w:p>
        </w:tc>
        <w:tc>
          <w:tcPr>
            <w:tcW w:w="1054" w:type="dxa"/>
            <w:shd w:val="clear" w:color="auto" w:fill="auto"/>
            <w:vAlign w:val="bottom"/>
          </w:tcPr>
          <w:p w:rsidR="000A531C" w:rsidRPr="00185D50" w:rsidRDefault="000A531C" w:rsidP="00FB3766">
            <w:pPr>
              <w:snapToGrid w:val="0"/>
              <w:rPr>
                <w:rFonts w:ascii="Arial" w:hAnsi="Arial" w:cs="Arial"/>
                <w:sz w:val="16"/>
                <w:szCs w:val="16"/>
              </w:rPr>
            </w:pPr>
          </w:p>
        </w:tc>
        <w:tc>
          <w:tcPr>
            <w:tcW w:w="602" w:type="dxa"/>
            <w:shd w:val="clear" w:color="auto" w:fill="auto"/>
            <w:vAlign w:val="bottom"/>
          </w:tcPr>
          <w:p w:rsidR="000A531C" w:rsidRPr="00185D50" w:rsidRDefault="000A531C" w:rsidP="00FB3766">
            <w:pPr>
              <w:snapToGrid w:val="0"/>
              <w:rPr>
                <w:rFonts w:ascii="Arial" w:hAnsi="Arial" w:cs="Arial"/>
                <w:sz w:val="16"/>
                <w:szCs w:val="16"/>
              </w:rPr>
            </w:pPr>
          </w:p>
        </w:tc>
        <w:tc>
          <w:tcPr>
            <w:tcW w:w="1356" w:type="dxa"/>
            <w:shd w:val="clear" w:color="auto" w:fill="auto"/>
            <w:vAlign w:val="bottom"/>
          </w:tcPr>
          <w:p w:rsidR="000A531C" w:rsidRPr="00185D50" w:rsidRDefault="000A531C" w:rsidP="00FB3766">
            <w:pPr>
              <w:snapToGrid w:val="0"/>
              <w:jc w:val="center"/>
              <w:rPr>
                <w:rFonts w:ascii="Arial" w:hAnsi="Arial" w:cs="Arial"/>
                <w:sz w:val="16"/>
                <w:szCs w:val="16"/>
              </w:rPr>
            </w:pPr>
          </w:p>
        </w:tc>
        <w:tc>
          <w:tcPr>
            <w:tcW w:w="1240" w:type="dxa"/>
            <w:tcBorders>
              <w:bottom w:val="single" w:sz="8" w:space="0" w:color="000000"/>
            </w:tcBorders>
            <w:shd w:val="clear" w:color="auto" w:fill="auto"/>
            <w:vAlign w:val="center"/>
          </w:tcPr>
          <w:p w:rsidR="000A531C" w:rsidRPr="00185D50" w:rsidRDefault="000A531C" w:rsidP="00405303">
            <w:pPr>
              <w:jc w:val="right"/>
              <w:rPr>
                <w:rFonts w:ascii="Arial" w:hAnsi="Arial" w:cs="Arial"/>
                <w:sz w:val="16"/>
                <w:szCs w:val="16"/>
              </w:rPr>
            </w:pPr>
            <w:r w:rsidRPr="00185D50">
              <w:rPr>
                <w:rFonts w:ascii="Arial" w:hAnsi="Arial" w:cs="Arial"/>
                <w:sz w:val="16"/>
                <w:szCs w:val="16"/>
              </w:rPr>
              <w:t> </w:t>
            </w:r>
          </w:p>
        </w:tc>
        <w:tc>
          <w:tcPr>
            <w:tcW w:w="868" w:type="dxa"/>
            <w:tcBorders>
              <w:bottom w:val="single" w:sz="8" w:space="0" w:color="000000"/>
            </w:tcBorders>
            <w:shd w:val="clear" w:color="auto" w:fill="auto"/>
            <w:vAlign w:val="center"/>
          </w:tcPr>
          <w:p w:rsidR="000A531C" w:rsidRPr="00185D50" w:rsidRDefault="000A531C" w:rsidP="00405303">
            <w:pPr>
              <w:jc w:val="right"/>
              <w:rPr>
                <w:rFonts w:ascii="Arial" w:hAnsi="Arial" w:cs="Arial"/>
                <w:sz w:val="16"/>
                <w:szCs w:val="16"/>
              </w:rPr>
            </w:pPr>
          </w:p>
        </w:tc>
        <w:tc>
          <w:tcPr>
            <w:tcW w:w="975" w:type="dxa"/>
            <w:tcBorders>
              <w:bottom w:val="single" w:sz="8" w:space="0" w:color="000000"/>
            </w:tcBorders>
            <w:shd w:val="clear" w:color="auto" w:fill="auto"/>
            <w:vAlign w:val="center"/>
          </w:tcPr>
          <w:p w:rsidR="000A531C" w:rsidRPr="00185D50" w:rsidRDefault="000A531C" w:rsidP="00405303">
            <w:pPr>
              <w:jc w:val="right"/>
              <w:rPr>
                <w:rFonts w:ascii="Arial" w:hAnsi="Arial" w:cs="Arial"/>
                <w:sz w:val="16"/>
                <w:szCs w:val="16"/>
              </w:rPr>
            </w:pPr>
            <w:r w:rsidRPr="00185D50">
              <w:rPr>
                <w:rFonts w:ascii="Arial" w:hAnsi="Arial" w:cs="Arial"/>
                <w:sz w:val="16"/>
                <w:szCs w:val="16"/>
              </w:rPr>
              <w:t> </w:t>
            </w:r>
          </w:p>
        </w:tc>
        <w:tc>
          <w:tcPr>
            <w:tcW w:w="992" w:type="dxa"/>
            <w:tcBorders>
              <w:bottom w:val="single" w:sz="8" w:space="0" w:color="000000"/>
            </w:tcBorders>
            <w:shd w:val="clear" w:color="auto" w:fill="auto"/>
            <w:vAlign w:val="center"/>
          </w:tcPr>
          <w:p w:rsidR="000A531C" w:rsidRPr="00185D50" w:rsidRDefault="000A531C" w:rsidP="00405303">
            <w:pPr>
              <w:jc w:val="right"/>
              <w:rPr>
                <w:rFonts w:ascii="Arial" w:hAnsi="Arial" w:cs="Arial"/>
                <w:b/>
                <w:bCs/>
                <w:sz w:val="16"/>
                <w:szCs w:val="16"/>
              </w:rPr>
            </w:pPr>
          </w:p>
        </w:tc>
      </w:tr>
      <w:tr w:rsidR="000A531C" w:rsidRPr="00DE475B" w:rsidTr="00185D50">
        <w:trPr>
          <w:trHeight w:val="122"/>
        </w:trPr>
        <w:tc>
          <w:tcPr>
            <w:tcW w:w="807" w:type="dxa"/>
            <w:gridSpan w:val="2"/>
            <w:shd w:val="clear" w:color="auto" w:fill="auto"/>
            <w:vAlign w:val="bottom"/>
          </w:tcPr>
          <w:p w:rsidR="000A531C" w:rsidRPr="00DE475B" w:rsidRDefault="000A531C" w:rsidP="00FB3766">
            <w:pPr>
              <w:rPr>
                <w:rFonts w:ascii="Arial" w:hAnsi="Arial" w:cs="Arial"/>
                <w:sz w:val="20"/>
                <w:szCs w:val="20"/>
              </w:rPr>
            </w:pPr>
            <w:r w:rsidRPr="00DE475B">
              <w:rPr>
                <w:rFonts w:ascii="Arial" w:hAnsi="Arial" w:cs="Arial"/>
                <w:b/>
                <w:bCs/>
                <w:sz w:val="20"/>
                <w:szCs w:val="20"/>
              </w:rPr>
              <w:t>Total</w:t>
            </w:r>
          </w:p>
        </w:tc>
        <w:tc>
          <w:tcPr>
            <w:tcW w:w="753" w:type="dxa"/>
            <w:shd w:val="clear" w:color="auto" w:fill="auto"/>
            <w:vAlign w:val="bottom"/>
          </w:tcPr>
          <w:p w:rsidR="000A531C" w:rsidRPr="00DE475B" w:rsidRDefault="000A531C" w:rsidP="00FB3766">
            <w:pPr>
              <w:snapToGrid w:val="0"/>
              <w:rPr>
                <w:rFonts w:ascii="Arial" w:hAnsi="Arial" w:cs="Arial"/>
                <w:sz w:val="20"/>
                <w:szCs w:val="20"/>
              </w:rPr>
            </w:pPr>
          </w:p>
        </w:tc>
        <w:tc>
          <w:tcPr>
            <w:tcW w:w="1054" w:type="dxa"/>
            <w:shd w:val="clear" w:color="auto" w:fill="auto"/>
            <w:vAlign w:val="bottom"/>
          </w:tcPr>
          <w:p w:rsidR="000A531C" w:rsidRPr="00DE475B" w:rsidRDefault="000A531C" w:rsidP="00FB3766">
            <w:pPr>
              <w:snapToGrid w:val="0"/>
              <w:rPr>
                <w:rFonts w:ascii="Arial" w:hAnsi="Arial" w:cs="Arial"/>
                <w:sz w:val="20"/>
                <w:szCs w:val="20"/>
              </w:rPr>
            </w:pPr>
          </w:p>
        </w:tc>
        <w:tc>
          <w:tcPr>
            <w:tcW w:w="602" w:type="dxa"/>
            <w:shd w:val="clear" w:color="auto" w:fill="auto"/>
            <w:vAlign w:val="bottom"/>
          </w:tcPr>
          <w:p w:rsidR="000A531C" w:rsidRPr="00DE475B" w:rsidRDefault="000A531C" w:rsidP="00FB3766">
            <w:pPr>
              <w:snapToGrid w:val="0"/>
              <w:rPr>
                <w:rFonts w:ascii="Arial" w:hAnsi="Arial" w:cs="Arial"/>
                <w:sz w:val="20"/>
                <w:szCs w:val="20"/>
              </w:rPr>
            </w:pPr>
          </w:p>
        </w:tc>
        <w:tc>
          <w:tcPr>
            <w:tcW w:w="1356" w:type="dxa"/>
            <w:shd w:val="clear" w:color="auto" w:fill="auto"/>
            <w:vAlign w:val="bottom"/>
          </w:tcPr>
          <w:p w:rsidR="000A531C" w:rsidRPr="00DE475B" w:rsidRDefault="000A531C" w:rsidP="00FB3766">
            <w:pPr>
              <w:snapToGrid w:val="0"/>
              <w:jc w:val="center"/>
              <w:rPr>
                <w:rFonts w:ascii="Arial" w:hAnsi="Arial" w:cs="Arial"/>
                <w:sz w:val="20"/>
                <w:szCs w:val="20"/>
              </w:rPr>
            </w:pPr>
          </w:p>
        </w:tc>
        <w:tc>
          <w:tcPr>
            <w:tcW w:w="1240" w:type="dxa"/>
            <w:tcBorders>
              <w:top w:val="single" w:sz="8" w:space="0" w:color="000000"/>
              <w:bottom w:val="single" w:sz="8" w:space="0" w:color="000000"/>
            </w:tcBorders>
            <w:shd w:val="clear" w:color="auto" w:fill="auto"/>
            <w:vAlign w:val="center"/>
          </w:tcPr>
          <w:p w:rsidR="000A531C" w:rsidRPr="00DE475B" w:rsidRDefault="00D05599" w:rsidP="00405303">
            <w:pPr>
              <w:jc w:val="right"/>
              <w:rPr>
                <w:rFonts w:ascii="Arial" w:hAnsi="Arial" w:cs="Arial"/>
                <w:sz w:val="20"/>
                <w:szCs w:val="20"/>
              </w:rPr>
            </w:pPr>
            <w:r>
              <w:rPr>
                <w:rFonts w:ascii="Arial" w:hAnsi="Arial" w:cs="Arial"/>
                <w:sz w:val="20"/>
                <w:szCs w:val="20"/>
              </w:rPr>
              <w:t>1,034</w:t>
            </w:r>
          </w:p>
        </w:tc>
        <w:tc>
          <w:tcPr>
            <w:tcW w:w="868" w:type="dxa"/>
            <w:tcBorders>
              <w:top w:val="single" w:sz="8" w:space="0" w:color="000000"/>
              <w:bottom w:val="single" w:sz="8" w:space="0" w:color="000000"/>
            </w:tcBorders>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1,524</w:t>
            </w:r>
          </w:p>
        </w:tc>
        <w:tc>
          <w:tcPr>
            <w:tcW w:w="975" w:type="dxa"/>
            <w:tcBorders>
              <w:top w:val="single" w:sz="8" w:space="0" w:color="000000"/>
              <w:bottom w:val="single" w:sz="8" w:space="0" w:color="000000"/>
            </w:tcBorders>
            <w:shd w:val="clear" w:color="auto" w:fill="auto"/>
            <w:vAlign w:val="center"/>
          </w:tcPr>
          <w:p w:rsidR="000A531C" w:rsidRPr="00DE475B" w:rsidRDefault="00D05599" w:rsidP="00A2292F">
            <w:pPr>
              <w:jc w:val="right"/>
              <w:rPr>
                <w:rFonts w:ascii="Arial" w:hAnsi="Arial" w:cs="Arial"/>
                <w:sz w:val="20"/>
                <w:szCs w:val="20"/>
              </w:rPr>
            </w:pPr>
            <w:r>
              <w:rPr>
                <w:rFonts w:ascii="Arial" w:hAnsi="Arial" w:cs="Arial"/>
                <w:sz w:val="20"/>
                <w:szCs w:val="20"/>
              </w:rPr>
              <w:t>1,252</w:t>
            </w:r>
          </w:p>
        </w:tc>
        <w:tc>
          <w:tcPr>
            <w:tcW w:w="992" w:type="dxa"/>
            <w:tcBorders>
              <w:top w:val="single" w:sz="8" w:space="0" w:color="000000"/>
              <w:bottom w:val="single" w:sz="8" w:space="0" w:color="000000"/>
            </w:tcBorders>
            <w:shd w:val="clear" w:color="auto" w:fill="auto"/>
            <w:vAlign w:val="center"/>
          </w:tcPr>
          <w:p w:rsidR="000A531C" w:rsidRPr="00DE475B" w:rsidRDefault="000A531C" w:rsidP="00A2292F">
            <w:pPr>
              <w:jc w:val="right"/>
              <w:rPr>
                <w:rFonts w:ascii="Arial" w:hAnsi="Arial" w:cs="Arial"/>
                <w:sz w:val="20"/>
                <w:szCs w:val="20"/>
              </w:rPr>
            </w:pPr>
            <w:r w:rsidRPr="00DE475B">
              <w:rPr>
                <w:rFonts w:ascii="Arial" w:hAnsi="Arial" w:cs="Arial"/>
                <w:sz w:val="20"/>
                <w:szCs w:val="20"/>
              </w:rPr>
              <w:t>1,620</w:t>
            </w:r>
          </w:p>
        </w:tc>
      </w:tr>
    </w:tbl>
    <w:p w:rsidR="001A39C1" w:rsidRPr="00DE475B" w:rsidRDefault="00DE0D22" w:rsidP="001A39C1">
      <w:pPr>
        <w:pStyle w:val="ARbodytext"/>
        <w:rPr>
          <w:b/>
          <w:bCs/>
        </w:rPr>
      </w:pPr>
      <w:r w:rsidRPr="00DE475B">
        <w:br w:type="page"/>
      </w:r>
      <w:r w:rsidR="001A39C1" w:rsidRPr="00DE475B">
        <w:rPr>
          <w:b/>
          <w:bCs/>
          <w:i/>
          <w:iCs/>
        </w:rPr>
        <w:lastRenderedPageBreak/>
        <w:t>Library Board of Queensland and controlled entities</w:t>
      </w:r>
    </w:p>
    <w:p w:rsidR="001A39C1" w:rsidRPr="00DE475B" w:rsidRDefault="00373FFE" w:rsidP="001A39C1">
      <w:pPr>
        <w:rPr>
          <w:rFonts w:ascii="Arial" w:hAnsi="Arial" w:cs="Arial"/>
          <w:b/>
          <w:bCs/>
          <w:sz w:val="20"/>
          <w:szCs w:val="20"/>
        </w:rPr>
      </w:pPr>
      <w:r w:rsidRPr="00DE475B">
        <w:rPr>
          <w:noProof/>
          <w:lang w:eastAsia="en-AU"/>
        </w:rPr>
        <mc:AlternateContent>
          <mc:Choice Requires="wps">
            <w:drawing>
              <wp:anchor distT="0" distB="0" distL="114300" distR="114300" simplePos="0" relativeHeight="251641856" behindDoc="0" locked="0" layoutInCell="1" allowOverlap="1" wp14:anchorId="7F5B5028" wp14:editId="6D1F0A89">
                <wp:simplePos x="0" y="0"/>
                <wp:positionH relativeFrom="column">
                  <wp:posOffset>-66040</wp:posOffset>
                </wp:positionH>
                <wp:positionV relativeFrom="paragraph">
                  <wp:posOffset>-222250</wp:posOffset>
                </wp:positionV>
                <wp:extent cx="5573395" cy="0"/>
                <wp:effectExtent l="13970" t="9525" r="13335" b="9525"/>
                <wp:wrapNone/>
                <wp:docPr id="5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TQmwIAAHoFAAAOAAAAZHJzL2Uyb0RvYy54bWysVFFvmzAQfp+0/2D5nQIBEoJKppaQvXRb&#10;pXbas2ObYA1sZrsh1bT/vrOTsKZ7maYmEvLZd+fv7vvO1x8OfYf2XBuhZInjqwgjLqliQu5K/PVx&#10;E+QYGUskI52SvMTP3OAPq/fvrseh4DPVqo5xjSCJNMU4lLi1dijC0NCW98RcqYFLOGyU7okFU+9C&#10;pskI2fsunEXRPByVZoNWlBsDu+vjIV75/E3Dqf3SNIZb1JUYsFn/1f67dd9wdU2KnSZDK+gJBvkP&#10;FD0REi6dUq2JJehJi79S9YJqZVRjr6jqQ9U0gnJfA1QTR6+qeWjJwH0t0BwzTG0yb5eWft7fayRY&#10;ibMZRpL0wNGdkBzNotw1ZxxMAT6VvNeuPHqQD8Odot8NkqpqidxxD/LxeYDA2EWEFyHOMANcsR0/&#10;KQY+5Mkq36lDo3uXEnqADp6Q54kQfrCIwmaWLZJkmWFEz2chKc6Bgzb2I1c9cosSd4DaJyb7O2Md&#10;EFKcXdw9Um1E13m+O4nGEi+TOSiCElCd+eEjjeoEc17O3+jdtuo02hMnHf/z5cHJS7deWBBwJ/oS&#10;55MTKVpOWC2Zv84S0R3XAKmTLjn30jziBOtgYen3oXAvm5/LaFnndZ4G6WxeB2m0Xgc3myoN5pt4&#10;ka2TdVWt418OdZwWrWCMSwf8LOE4/TeJnIbpKL5JxFOrwsvsvqcA9hLpzSaLFmmSB4tFlgRpUkfB&#10;bb6pgpsqns8X9W11W79CWvvqzduAnVrpUKknYOOhZSNiwokiyZazGIMBIz9bHPlBpNvBW0Wtxkgr&#10;+03Y1mvYqc/luCA+j9z/RPyU/diIM4fOmlg41fanVcD5mV8/Gm4ajnO1Vez5Xp9HBgbcB50eI/eC&#10;vLRh/fLJXP0GAAD//wMAUEsDBBQABgAIAAAAIQDe2Ktn4AAAAAsBAAAPAAAAZHJzL2Rvd25yZXYu&#10;eG1sTI9BS8NAEIXvgv9hGcGLtJuaWEvMpoggHgRpqyjettkxG8zOht1tE/+9Iwh6m5n3ePO9aj25&#10;XhwxxM6TgsU8A4HUeNNRq+Dl+X62AhGTJqN7T6jgCyOs69OTSpfGj7TF4y61gkMollqBTWkopYyN&#10;Rafj3A9IrH344HTiNbTSBD1yuOvlZZYtpdMd8QerB7yz2HzuDk7BUxi7mPKi2GB6f314fLObC7dV&#10;6vxsur0BkXBKf2b4wWd0qJlp7w9kougVzBZZwVYe8isuxY7V8joHsf+9yLqS/zvU3wAAAP//AwBQ&#10;SwECLQAUAAYACAAAACEAtoM4kv4AAADhAQAAEwAAAAAAAAAAAAAAAAAAAAAAW0NvbnRlbnRfVHlw&#10;ZXNdLnhtbFBLAQItABQABgAIAAAAIQA4/SH/1gAAAJQBAAALAAAAAAAAAAAAAAAAAC8BAABfcmVs&#10;cy8ucmVsc1BLAQItABQABgAIAAAAIQAmLqTQmwIAAHoFAAAOAAAAAAAAAAAAAAAAAC4CAABkcnMv&#10;ZTJvRG9jLnhtbFBLAQItABQABgAIAAAAIQDe2Ktn4AAAAAsBAAAPAAAAAAAAAAAAAAAAAPUEAABk&#10;cnMvZG93bnJldi54bWxQSwUGAAAAAAQABADzAAAAAgYAAAAA&#10;" strokeweight=".26mm">
                <v:stroke joinstyle="miter" endcap="square"/>
              </v:line>
            </w:pict>
          </mc:Fallback>
        </mc:AlternateContent>
      </w:r>
      <w:r w:rsidR="001A39C1" w:rsidRPr="00DE475B">
        <w:rPr>
          <w:rFonts w:ascii="Arial" w:hAnsi="Arial" w:cs="Arial"/>
          <w:b/>
          <w:bCs/>
          <w:sz w:val="20"/>
          <w:szCs w:val="20"/>
        </w:rPr>
        <w:t>NOTES TO THE FINANCIAL STATEMENTS</w:t>
      </w:r>
    </w:p>
    <w:p w:rsidR="001A39C1" w:rsidRPr="00DE475B" w:rsidRDefault="00326F32" w:rsidP="001A39C1">
      <w:r>
        <w:rPr>
          <w:rFonts w:ascii="Arial" w:hAnsi="Arial" w:cs="Arial"/>
          <w:b/>
          <w:bCs/>
          <w:sz w:val="20"/>
          <w:szCs w:val="20"/>
        </w:rPr>
        <w:t>For the year ended 30 June 2017</w:t>
      </w:r>
    </w:p>
    <w:p w:rsidR="001A39C1" w:rsidRPr="00DE475B" w:rsidRDefault="00373FFE" w:rsidP="001A39C1">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640832" behindDoc="0" locked="0" layoutInCell="1" allowOverlap="1" wp14:anchorId="5AE41B49" wp14:editId="7BF7A08C">
                <wp:simplePos x="0" y="0"/>
                <wp:positionH relativeFrom="column">
                  <wp:posOffset>-66040</wp:posOffset>
                </wp:positionH>
                <wp:positionV relativeFrom="paragraph">
                  <wp:posOffset>70485</wp:posOffset>
                </wp:positionV>
                <wp:extent cx="5573395" cy="0"/>
                <wp:effectExtent l="13970" t="13335" r="13335" b="5715"/>
                <wp:wrapNone/>
                <wp:docPr id="5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sMmwIAAHoFAAAOAAAAZHJzL2Uyb0RvYy54bWysVF1vmzAUfZ+0/2D5nQIBQoJKppaQvXRb&#10;pXbas2ObYA1sZrsh1bT/vmsnYU33Mk1NJOSP6+Nz7znX1x8OfYf2XBuhZInjqwgjLqliQu5K/PVx&#10;EywwMpZIRjoleYmfucEfVu/fXY9DwWeqVR3jGgGINMU4lLi1dijC0NCW98RcqYFL2GyU7omFqd6F&#10;TJMR0PsunEXRPByVZoNWlBsDq+vjJl55/Kbh1H5pGsMt6koM3Kz/av/dum+4uibFTpOhFfREg/wH&#10;i54ICZdOUGtiCXrS4i+oXlCtjGrsFVV9qJpGUO5zgGzi6FU2Dy0ZuM8FimOGqUzm7WDp5/29RoKV&#10;OIsxkqQHje6E5GgW5a4442AKiKnkvXbp0YN8GO4U/W6QVFVL5I57ko/PAxyM3Ynw4oibmAGu2I6f&#10;FIMY8mSVr9Sh0b2DhBqggxfkeRKEHyyisJhleZIsM4zoeS8kxfngoI39yFWP3KDEHbD2wGR/Z6wj&#10;QopziLtHqo3oOq93J9FY4mUyB0dQAq4zP/xJozrBXJSLN3q3rTqN9sRZx/98erDzMqwXFgzcib7E&#10;iymIFC0nrJbMX2eJ6I5joNRJB869NY88YXawMPTrkLi3zc9ltKwX9SIN0tm8DtJovQ5uNlUazDdx&#10;nq2TdVWt41+OdZwWrWCMS0f8bOE4/TeLnJrpaL7JxFOpwkt0X1Mge8n0ZpNFeZosgjzPkiBN6ii4&#10;XWyq4KaK5/O8vq1u61dMa5+9eRuyUykdK/UEajy0bERMOFMk2XIGvmYCWn6WH/VBpNvBW0Wtxkgr&#10;+03Y1nvYuc9hXAi/iNz/JPyEfizEWUM3m1Q45fanVKD5WV/fGq4bjn21Vez5Xp9bBhrcHzo9Ru4F&#10;eTmH8csnc/UbAAD//wMAUEsDBBQABgAIAAAAIQDwQGlx3gAAAAkBAAAPAAAAZHJzL2Rvd25yZXYu&#10;eG1sTI/BSsNAEIbvgu+wjOBF2k1sqCVmU0QQD4K0VRRv2+yYDWZnw+62iW/vSA96nPk//vmmWk+u&#10;F0cMsfOkIJ9nIJAabzpqFby+PMxWIGLSZHTvCRV8Y4R1fX5W6dL4kbZ43KVWcAnFUiuwKQ2llLGx&#10;6HSc+wGJs08fnE48hlaaoEcud728zrKldLojvmD1gPcWm6/dwSl4DmMX06IoNpg+3h6f3u3mym2V&#10;uryY7m5BJJzSHwy/+qwONTvt/YFMFL2CWZ4VjHKQ5yAYWC1vFiD2p4WsK/n/g/oHAAD//wMAUEsB&#10;Ai0AFAAGAAgAAAAhALaDOJL+AAAA4QEAABMAAAAAAAAAAAAAAAAAAAAAAFtDb250ZW50X1R5cGVz&#10;XS54bWxQSwECLQAUAAYACAAAACEAOP0h/9YAAACUAQAACwAAAAAAAAAAAAAAAAAvAQAAX3JlbHMv&#10;LnJlbHNQSwECLQAUAAYACAAAACEAFfMrDJsCAAB6BQAADgAAAAAAAAAAAAAAAAAuAgAAZHJzL2Uy&#10;b0RvYy54bWxQSwECLQAUAAYACAAAACEA8EBpcd4AAAAJAQAADwAAAAAAAAAAAAAAAAD1BAAAZHJz&#10;L2Rvd25yZXYueG1sUEsFBgAAAAAEAAQA8wAAAAAGAAAAAA==&#10;" strokeweight=".26mm">
                <v:stroke joinstyle="miter" endcap="square"/>
              </v:line>
            </w:pict>
          </mc:Fallback>
        </mc:AlternateContent>
      </w:r>
    </w:p>
    <w:p w:rsidR="001A39C1" w:rsidRPr="00DE475B" w:rsidRDefault="001A39C1" w:rsidP="001A39C1">
      <w:pPr>
        <w:pStyle w:val="ARheading3"/>
        <w:tabs>
          <w:tab w:val="left" w:pos="851"/>
        </w:tabs>
        <w:spacing w:after="120"/>
        <w:rPr>
          <w:color w:val="808080"/>
        </w:rPr>
        <w:sectPr w:rsidR="001A39C1" w:rsidRPr="00DE475B" w:rsidSect="00B53922">
          <w:type w:val="continuous"/>
          <w:pgSz w:w="11906" w:h="16838"/>
          <w:pgMar w:top="1440" w:right="1701" w:bottom="1440" w:left="1701" w:header="680" w:footer="680" w:gutter="0"/>
          <w:cols w:space="720"/>
          <w:docGrid w:linePitch="360"/>
        </w:sectPr>
      </w:pPr>
      <w:r w:rsidRPr="00DE475B">
        <w:rPr>
          <w:color w:val="808080"/>
        </w:rPr>
        <w:t>C3 Intangibles</w:t>
      </w:r>
    </w:p>
    <w:p w:rsidR="001A39C1" w:rsidRPr="00DE475B" w:rsidRDefault="001A39C1" w:rsidP="001A39C1">
      <w:pPr>
        <w:tabs>
          <w:tab w:val="left" w:pos="284"/>
          <w:tab w:val="left" w:pos="5878"/>
          <w:tab w:val="left" w:pos="8548"/>
          <w:tab w:val="left" w:pos="8770"/>
          <w:tab w:val="left" w:pos="10266"/>
          <w:tab w:val="left" w:pos="11702"/>
        </w:tabs>
        <w:rPr>
          <w:rFonts w:ascii="Arial" w:hAnsi="Arial" w:cs="Arial"/>
          <w:sz w:val="20"/>
          <w:szCs w:val="20"/>
        </w:rPr>
      </w:pPr>
      <w:r w:rsidRPr="00DE475B">
        <w:rPr>
          <w:rFonts w:ascii="Arial" w:hAnsi="Arial" w:cs="Arial"/>
          <w:b/>
          <w:bCs/>
          <w:sz w:val="20"/>
          <w:szCs w:val="20"/>
        </w:rPr>
        <w:lastRenderedPageBreak/>
        <w:t>C3-1 Accounting policies</w:t>
      </w:r>
    </w:p>
    <w:p w:rsidR="00ED6BD2" w:rsidRPr="00DE475B" w:rsidRDefault="00ED6BD2" w:rsidP="00973FF2">
      <w:pPr>
        <w:tabs>
          <w:tab w:val="left" w:pos="504"/>
          <w:tab w:val="left" w:pos="5878"/>
        </w:tabs>
        <w:spacing w:before="120" w:after="120"/>
        <w:rPr>
          <w:rFonts w:ascii="Arial" w:hAnsi="Arial" w:cs="Arial"/>
          <w:sz w:val="20"/>
          <w:szCs w:val="20"/>
        </w:rPr>
        <w:sectPr w:rsidR="00ED6BD2" w:rsidRPr="00DE475B" w:rsidSect="00B53922">
          <w:type w:val="continuous"/>
          <w:pgSz w:w="11906" w:h="16838"/>
          <w:pgMar w:top="1440" w:right="1701" w:bottom="1440" w:left="1701" w:header="680" w:footer="680" w:gutter="0"/>
          <w:cols w:num="2" w:space="566"/>
          <w:docGrid w:linePitch="360"/>
        </w:sectPr>
      </w:pPr>
    </w:p>
    <w:p w:rsidR="00FA20BA" w:rsidRPr="00DE475B" w:rsidRDefault="00FA20BA" w:rsidP="00FA20BA">
      <w:pPr>
        <w:spacing w:after="120"/>
        <w:rPr>
          <w:rFonts w:ascii="Arial" w:hAnsi="Arial" w:cs="Arial"/>
          <w:sz w:val="20"/>
          <w:szCs w:val="20"/>
        </w:rPr>
      </w:pPr>
      <w:r w:rsidRPr="00DE475B">
        <w:rPr>
          <w:rFonts w:ascii="Arial" w:hAnsi="Arial" w:cs="Arial"/>
          <w:sz w:val="20"/>
          <w:szCs w:val="20"/>
        </w:rPr>
        <w:lastRenderedPageBreak/>
        <w:t>Software with a value greater than $100,000 is recognised in the financial statements. Software with a lesser value is expensed.</w:t>
      </w:r>
    </w:p>
    <w:p w:rsidR="00FA20BA" w:rsidRPr="00DE475B" w:rsidRDefault="00FA20BA" w:rsidP="00FA20BA">
      <w:pPr>
        <w:tabs>
          <w:tab w:val="left" w:pos="426"/>
        </w:tabs>
        <w:rPr>
          <w:rFonts w:ascii="Arial" w:hAnsi="Arial" w:cs="Arial"/>
          <w:bCs/>
          <w:i/>
          <w:sz w:val="20"/>
          <w:szCs w:val="20"/>
        </w:rPr>
      </w:pPr>
      <w:r w:rsidRPr="00DE475B">
        <w:rPr>
          <w:rFonts w:ascii="Arial" w:hAnsi="Arial" w:cs="Arial"/>
          <w:bCs/>
          <w:i/>
          <w:sz w:val="20"/>
          <w:szCs w:val="20"/>
        </w:rPr>
        <w:t>Digital Collections</w:t>
      </w:r>
    </w:p>
    <w:p w:rsidR="00FA20BA" w:rsidRPr="00DE475B" w:rsidRDefault="00FA20BA" w:rsidP="00FA20BA">
      <w:pPr>
        <w:spacing w:after="120"/>
        <w:rPr>
          <w:rFonts w:ascii="Arial" w:hAnsi="Arial" w:cs="Arial"/>
          <w:sz w:val="20"/>
          <w:szCs w:val="20"/>
        </w:rPr>
      </w:pPr>
      <w:r w:rsidRPr="00DE475B">
        <w:rPr>
          <w:rFonts w:ascii="Arial" w:hAnsi="Arial" w:cs="Arial"/>
          <w:sz w:val="20"/>
          <w:szCs w:val="20"/>
        </w:rPr>
        <w:t>In line with Queensland Treasury’s</w:t>
      </w:r>
      <w:r w:rsidRPr="00DE475B">
        <w:rPr>
          <w:rFonts w:ascii="Arial" w:hAnsi="Arial" w:cs="Arial"/>
          <w:bCs/>
          <w:i/>
          <w:sz w:val="20"/>
          <w:szCs w:val="20"/>
        </w:rPr>
        <w:t xml:space="preserve"> Non-Current Asset Accounting Policy — Accounting for Library Collections </w:t>
      </w:r>
      <w:r w:rsidRPr="00DE475B">
        <w:rPr>
          <w:rFonts w:ascii="Arial" w:hAnsi="Arial" w:cs="Arial"/>
          <w:bCs/>
          <w:sz w:val="20"/>
          <w:szCs w:val="20"/>
        </w:rPr>
        <w:t>(</w:t>
      </w:r>
      <w:proofErr w:type="spellStart"/>
      <w:r w:rsidRPr="00DE475B">
        <w:rPr>
          <w:rFonts w:ascii="Arial" w:hAnsi="Arial" w:cs="Arial"/>
          <w:sz w:val="20"/>
          <w:szCs w:val="20"/>
        </w:rPr>
        <w:t>NCAP</w:t>
      </w:r>
      <w:proofErr w:type="spellEnd"/>
      <w:r w:rsidRPr="00DE475B">
        <w:rPr>
          <w:rFonts w:ascii="Arial" w:hAnsi="Arial" w:cs="Arial"/>
          <w:sz w:val="20"/>
          <w:szCs w:val="20"/>
        </w:rPr>
        <w:t xml:space="preserve"> 7), the Library Board has recognised collections with a cost or other value greater than $5,000 stored in electronic format and made accessible to the public (e.g. digitised physical collections, oral histories, digital stories and digital photographs) as intangible assets with indefinite useful lives, subject to annual review.</w:t>
      </w:r>
    </w:p>
    <w:p w:rsidR="00FA20BA" w:rsidRPr="00DE475B" w:rsidRDefault="00FA20BA" w:rsidP="00FA20BA">
      <w:pPr>
        <w:spacing w:after="120"/>
        <w:rPr>
          <w:rFonts w:ascii="Arial" w:hAnsi="Arial" w:cs="Arial"/>
          <w:sz w:val="20"/>
          <w:szCs w:val="20"/>
        </w:rPr>
      </w:pPr>
      <w:r w:rsidRPr="00DE475B">
        <w:rPr>
          <w:rFonts w:ascii="Arial" w:hAnsi="Arial" w:cs="Arial"/>
          <w:sz w:val="20"/>
          <w:szCs w:val="20"/>
        </w:rPr>
        <w:t>For in-house developed digital collection items (e.g. digitised physical collections, oral histories, digital stories and digital photographs), direct costs associated with developing, creating and making accessible the items constitutes the cost of the items.</w:t>
      </w:r>
    </w:p>
    <w:p w:rsidR="00FA20BA" w:rsidRPr="00DE475B" w:rsidRDefault="00FA20BA" w:rsidP="00FA20BA">
      <w:pPr>
        <w:tabs>
          <w:tab w:val="left" w:pos="426"/>
        </w:tabs>
        <w:rPr>
          <w:rFonts w:ascii="Arial" w:hAnsi="Arial" w:cs="Arial"/>
          <w:bCs/>
          <w:i/>
          <w:sz w:val="20"/>
          <w:szCs w:val="20"/>
        </w:rPr>
      </w:pPr>
      <w:r w:rsidRPr="00DE475B">
        <w:rPr>
          <w:rFonts w:ascii="Arial" w:hAnsi="Arial" w:cs="Arial"/>
          <w:bCs/>
          <w:i/>
          <w:sz w:val="20"/>
          <w:szCs w:val="20"/>
        </w:rPr>
        <w:t>Amortisation of Intangibles</w:t>
      </w:r>
    </w:p>
    <w:p w:rsidR="00FA20BA" w:rsidRPr="00DE475B" w:rsidRDefault="00FA20BA" w:rsidP="00FA20BA">
      <w:pPr>
        <w:spacing w:after="120"/>
        <w:rPr>
          <w:rFonts w:ascii="Arial" w:hAnsi="Arial" w:cs="Arial"/>
          <w:sz w:val="20"/>
          <w:szCs w:val="20"/>
        </w:rPr>
      </w:pPr>
      <w:r w:rsidRPr="00DE475B">
        <w:rPr>
          <w:rFonts w:ascii="Arial" w:hAnsi="Arial" w:cs="Arial"/>
          <w:sz w:val="20"/>
          <w:szCs w:val="20"/>
        </w:rPr>
        <w:t xml:space="preserve">Costs associated with the development of digital collections have been capitalised. Following a review of conditions and circumstances under which digital </w:t>
      </w:r>
      <w:r w:rsidRPr="00DE475B">
        <w:rPr>
          <w:rFonts w:ascii="Arial" w:hAnsi="Arial" w:cs="Arial"/>
          <w:sz w:val="20"/>
          <w:szCs w:val="20"/>
        </w:rPr>
        <w:lastRenderedPageBreak/>
        <w:t xml:space="preserve">collections are stored and maintained, it is considered that there is a sufficiently high standard to retain indefinite life status. Under </w:t>
      </w:r>
      <w:proofErr w:type="spellStart"/>
      <w:r w:rsidRPr="00DE475B">
        <w:rPr>
          <w:rFonts w:ascii="Arial" w:hAnsi="Arial" w:cs="Arial"/>
          <w:i/>
          <w:sz w:val="20"/>
          <w:szCs w:val="20"/>
        </w:rPr>
        <w:t>AASB</w:t>
      </w:r>
      <w:proofErr w:type="spellEnd"/>
      <w:r w:rsidRPr="00DE475B">
        <w:rPr>
          <w:rFonts w:ascii="Arial" w:hAnsi="Arial" w:cs="Arial"/>
          <w:i/>
          <w:sz w:val="20"/>
          <w:szCs w:val="20"/>
        </w:rPr>
        <w:t xml:space="preserve"> 138 Intangible Assets</w:t>
      </w:r>
      <w:r w:rsidRPr="00DE475B">
        <w:rPr>
          <w:rFonts w:ascii="Arial" w:hAnsi="Arial" w:cs="Arial"/>
          <w:sz w:val="20"/>
          <w:szCs w:val="20"/>
        </w:rPr>
        <w:t>, these assets are not amortised.</w:t>
      </w:r>
    </w:p>
    <w:p w:rsidR="00F7189F" w:rsidRDefault="00FA20BA" w:rsidP="00FA20BA">
      <w:pPr>
        <w:tabs>
          <w:tab w:val="left" w:pos="504"/>
          <w:tab w:val="left" w:pos="5878"/>
        </w:tabs>
        <w:spacing w:after="120"/>
        <w:rPr>
          <w:rFonts w:ascii="Arial" w:hAnsi="Arial" w:cs="Arial"/>
          <w:sz w:val="20"/>
          <w:szCs w:val="20"/>
        </w:rPr>
      </w:pPr>
      <w:r w:rsidRPr="00DE475B">
        <w:rPr>
          <w:rFonts w:ascii="Arial" w:hAnsi="Arial" w:cs="Arial"/>
          <w:sz w:val="20"/>
          <w:szCs w:val="20"/>
        </w:rPr>
        <w:t>The standard amortisation rate for software is 14%. All current software assets are fully amortised down to their residual value, but are still in use. These are in the process of being replaced by subscription based systems.</w:t>
      </w:r>
    </w:p>
    <w:p w:rsidR="00326F32" w:rsidRPr="00CF31B4" w:rsidRDefault="00326F32" w:rsidP="00CF31B4">
      <w:pPr>
        <w:tabs>
          <w:tab w:val="left" w:pos="426"/>
        </w:tabs>
        <w:rPr>
          <w:rFonts w:ascii="Arial" w:hAnsi="Arial" w:cs="Arial"/>
          <w:bCs/>
          <w:i/>
          <w:sz w:val="20"/>
          <w:szCs w:val="20"/>
        </w:rPr>
      </w:pPr>
      <w:r w:rsidRPr="00326F32">
        <w:rPr>
          <w:rFonts w:ascii="Arial" w:hAnsi="Arial" w:cs="Arial"/>
          <w:bCs/>
          <w:i/>
          <w:sz w:val="20"/>
          <w:szCs w:val="20"/>
        </w:rPr>
        <w:t xml:space="preserve">Revaluation of Intangible Assets </w:t>
      </w:r>
    </w:p>
    <w:p w:rsidR="00326F32" w:rsidRPr="00326F32" w:rsidRDefault="00326F32" w:rsidP="00326F32">
      <w:pPr>
        <w:spacing w:after="120"/>
        <w:rPr>
          <w:rFonts w:ascii="Arial" w:hAnsi="Arial" w:cs="Arial"/>
          <w:sz w:val="20"/>
          <w:szCs w:val="20"/>
        </w:rPr>
      </w:pPr>
      <w:r w:rsidRPr="00326F32">
        <w:rPr>
          <w:rFonts w:ascii="Arial" w:hAnsi="Arial" w:cs="Arial"/>
          <w:sz w:val="20"/>
          <w:szCs w:val="20"/>
        </w:rPr>
        <w:t>The John Oxley Library (</w:t>
      </w:r>
      <w:proofErr w:type="spellStart"/>
      <w:r w:rsidRPr="00326F32">
        <w:rPr>
          <w:rFonts w:ascii="Arial" w:hAnsi="Arial" w:cs="Arial"/>
          <w:sz w:val="20"/>
          <w:szCs w:val="20"/>
        </w:rPr>
        <w:t>JOL</w:t>
      </w:r>
      <w:proofErr w:type="spellEnd"/>
      <w:r w:rsidRPr="00326F32">
        <w:rPr>
          <w:rFonts w:ascii="Arial" w:hAnsi="Arial" w:cs="Arial"/>
          <w:sz w:val="20"/>
          <w:szCs w:val="20"/>
        </w:rPr>
        <w:t xml:space="preserve">), Australian Library of Art (ALA) and the Information collections are measured at fair value in accordance with </w:t>
      </w:r>
      <w:proofErr w:type="spellStart"/>
      <w:r w:rsidRPr="00326F32">
        <w:rPr>
          <w:rFonts w:ascii="Arial" w:hAnsi="Arial" w:cs="Arial"/>
          <w:sz w:val="20"/>
          <w:szCs w:val="20"/>
        </w:rPr>
        <w:t>AASB</w:t>
      </w:r>
      <w:proofErr w:type="spellEnd"/>
      <w:r w:rsidRPr="00326F32">
        <w:rPr>
          <w:rFonts w:ascii="Arial" w:hAnsi="Arial" w:cs="Arial"/>
          <w:sz w:val="20"/>
          <w:szCs w:val="20"/>
        </w:rPr>
        <w:t xml:space="preserve"> 116 </w:t>
      </w:r>
      <w:r w:rsidRPr="00B324E0">
        <w:rPr>
          <w:rFonts w:ascii="Arial" w:hAnsi="Arial" w:cs="Arial"/>
          <w:i/>
          <w:sz w:val="20"/>
          <w:szCs w:val="20"/>
        </w:rPr>
        <w:t>Property, Plant and Equipment</w:t>
      </w:r>
      <w:r w:rsidRPr="00326F32">
        <w:rPr>
          <w:rFonts w:ascii="Arial" w:hAnsi="Arial" w:cs="Arial"/>
          <w:sz w:val="20"/>
          <w:szCs w:val="20"/>
        </w:rPr>
        <w:t xml:space="preserve"> and </w:t>
      </w:r>
      <w:proofErr w:type="spellStart"/>
      <w:r w:rsidRPr="00326F32">
        <w:rPr>
          <w:rFonts w:ascii="Arial" w:hAnsi="Arial" w:cs="Arial"/>
          <w:sz w:val="20"/>
          <w:szCs w:val="20"/>
        </w:rPr>
        <w:t>NCAPs</w:t>
      </w:r>
      <w:proofErr w:type="spellEnd"/>
      <w:r w:rsidRPr="00326F32">
        <w:rPr>
          <w:rFonts w:ascii="Arial" w:hAnsi="Arial" w:cs="Arial"/>
          <w:sz w:val="20"/>
          <w:szCs w:val="20"/>
        </w:rPr>
        <w:t xml:space="preserve">. </w:t>
      </w:r>
    </w:p>
    <w:p w:rsidR="00326F32" w:rsidRPr="00326F32" w:rsidRDefault="00326F32" w:rsidP="00326F32">
      <w:pPr>
        <w:spacing w:after="120"/>
        <w:rPr>
          <w:rFonts w:ascii="Arial" w:hAnsi="Arial" w:cs="Arial"/>
          <w:sz w:val="20"/>
          <w:szCs w:val="20"/>
        </w:rPr>
      </w:pPr>
      <w:r w:rsidRPr="00326F32">
        <w:rPr>
          <w:rFonts w:ascii="Arial" w:hAnsi="Arial" w:cs="Arial"/>
          <w:sz w:val="20"/>
          <w:szCs w:val="20"/>
        </w:rPr>
        <w:t>In respect of the above mentioned collections, the cost of items acquired during the financial year has been judged by management of the Library Board to materially represent their fair value at the end of the reporting period.</w:t>
      </w:r>
    </w:p>
    <w:p w:rsidR="00326F32" w:rsidRPr="00DE475B" w:rsidRDefault="00326F32" w:rsidP="00CF31B4">
      <w:pPr>
        <w:spacing w:after="120"/>
        <w:rPr>
          <w:rFonts w:ascii="Arial" w:hAnsi="Arial" w:cs="Arial"/>
          <w:sz w:val="20"/>
          <w:szCs w:val="20"/>
        </w:rPr>
        <w:sectPr w:rsidR="00326F32" w:rsidRPr="00DE475B" w:rsidSect="00B53922">
          <w:type w:val="continuous"/>
          <w:pgSz w:w="11906" w:h="16838"/>
          <w:pgMar w:top="1440" w:right="1701" w:bottom="1440" w:left="1701" w:header="680" w:footer="680" w:gutter="0"/>
          <w:cols w:num="2" w:space="566"/>
          <w:docGrid w:linePitch="360"/>
        </w:sectPr>
      </w:pPr>
      <w:r w:rsidRPr="00326F32">
        <w:rPr>
          <w:rFonts w:ascii="Arial" w:hAnsi="Arial" w:cs="Arial"/>
          <w:sz w:val="20"/>
          <w:szCs w:val="20"/>
        </w:rPr>
        <w:t xml:space="preserve">Where intangible assets have an active market, they are measured at fair </w:t>
      </w:r>
      <w:proofErr w:type="gramStart"/>
      <w:r w:rsidRPr="00326F32">
        <w:rPr>
          <w:rFonts w:ascii="Arial" w:hAnsi="Arial" w:cs="Arial"/>
          <w:sz w:val="20"/>
          <w:szCs w:val="20"/>
        </w:rPr>
        <w:t>value,</w:t>
      </w:r>
      <w:proofErr w:type="gramEnd"/>
      <w:r w:rsidRPr="00326F32">
        <w:rPr>
          <w:rFonts w:ascii="Arial" w:hAnsi="Arial" w:cs="Arial"/>
          <w:sz w:val="20"/>
          <w:szCs w:val="20"/>
        </w:rPr>
        <w:t xml:space="preserve"> otherwise they are measured at cost.</w:t>
      </w:r>
    </w:p>
    <w:p w:rsidR="009E7DF8" w:rsidRPr="00DE475B" w:rsidRDefault="009E7DF8" w:rsidP="009E7DF8">
      <w:pPr>
        <w:tabs>
          <w:tab w:val="left" w:pos="284"/>
          <w:tab w:val="left" w:pos="5878"/>
          <w:tab w:val="left" w:pos="8548"/>
          <w:tab w:val="left" w:pos="8770"/>
          <w:tab w:val="left" w:pos="10266"/>
          <w:tab w:val="left" w:pos="11702"/>
        </w:tabs>
        <w:rPr>
          <w:rFonts w:ascii="Arial" w:hAnsi="Arial" w:cs="Arial"/>
          <w:b/>
          <w:bCs/>
          <w:sz w:val="20"/>
          <w:szCs w:val="20"/>
        </w:rPr>
        <w:sectPr w:rsidR="009E7DF8" w:rsidRPr="00DE475B" w:rsidSect="00B53922">
          <w:type w:val="continuous"/>
          <w:pgSz w:w="11906" w:h="16838"/>
          <w:pgMar w:top="1440" w:right="1701" w:bottom="1440" w:left="1701" w:header="680" w:footer="680" w:gutter="0"/>
          <w:cols w:num="2" w:space="566"/>
          <w:docGrid w:linePitch="360"/>
        </w:sectPr>
      </w:pPr>
    </w:p>
    <w:p w:rsidR="00CF31B4" w:rsidRDefault="00CF31B4">
      <w:pPr>
        <w:suppressAutoHyphens w:val="0"/>
        <w:autoSpaceDE/>
        <w:rPr>
          <w:rFonts w:ascii="Arial" w:hAnsi="Arial" w:cs="Arial"/>
          <w:b/>
          <w:bCs/>
          <w:sz w:val="20"/>
          <w:szCs w:val="20"/>
        </w:rPr>
      </w:pPr>
      <w:r>
        <w:rPr>
          <w:rFonts w:ascii="Arial" w:hAnsi="Arial" w:cs="Arial"/>
          <w:b/>
          <w:bCs/>
          <w:sz w:val="20"/>
          <w:szCs w:val="20"/>
        </w:rPr>
        <w:lastRenderedPageBreak/>
        <w:br w:type="page"/>
      </w:r>
    </w:p>
    <w:p w:rsidR="00CF31B4" w:rsidRPr="00DE475B" w:rsidRDefault="00CF31B4" w:rsidP="00CF31B4">
      <w:pPr>
        <w:pStyle w:val="ARbodytext"/>
        <w:rPr>
          <w:b/>
          <w:bCs/>
        </w:rPr>
      </w:pPr>
      <w:r w:rsidRPr="00DE475B">
        <w:rPr>
          <w:b/>
          <w:bCs/>
          <w:i/>
          <w:iCs/>
        </w:rPr>
        <w:lastRenderedPageBreak/>
        <w:t>Library Board of Queensland and controlled entities</w:t>
      </w:r>
    </w:p>
    <w:p w:rsidR="00CF31B4" w:rsidRPr="00DE475B" w:rsidRDefault="00CF31B4" w:rsidP="00CF31B4">
      <w:pPr>
        <w:rPr>
          <w:rFonts w:ascii="Arial" w:hAnsi="Arial" w:cs="Arial"/>
          <w:b/>
          <w:bCs/>
          <w:sz w:val="20"/>
          <w:szCs w:val="20"/>
        </w:rPr>
      </w:pPr>
      <w:r w:rsidRPr="00DE475B">
        <w:rPr>
          <w:noProof/>
          <w:lang w:eastAsia="en-AU"/>
        </w:rPr>
        <mc:AlternateContent>
          <mc:Choice Requires="wps">
            <w:drawing>
              <wp:anchor distT="0" distB="0" distL="114300" distR="114300" simplePos="0" relativeHeight="251729920" behindDoc="0" locked="0" layoutInCell="1" allowOverlap="1" wp14:anchorId="5C513086" wp14:editId="31BF5ED2">
                <wp:simplePos x="0" y="0"/>
                <wp:positionH relativeFrom="column">
                  <wp:posOffset>-66040</wp:posOffset>
                </wp:positionH>
                <wp:positionV relativeFrom="paragraph">
                  <wp:posOffset>-222250</wp:posOffset>
                </wp:positionV>
                <wp:extent cx="5573395" cy="0"/>
                <wp:effectExtent l="13970" t="9525" r="13335" b="9525"/>
                <wp:wrapNone/>
                <wp:docPr id="29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KxnAIAAHsFAAAOAAAAZHJzL2Uyb0RvYy54bWysVE1v2zAMvQ/YfxB0d/2ZxDHqDK3j7NJt&#10;BdphZ0WWY2Gy5ElqnGLYfx+lJF7TXYahCWCIEkk98j3q+sOhF2jPtOFKlji+ijBikqqGy12Jvz5u&#10;ghwjY4lsiFCSlfiZGfxh9f7d9TgULFGdEg3TCJJIU4xDiTtrhyIMDe1YT8yVGpiEw1bpnlgw9S5s&#10;NBkhey/CJIrm4ah0M2hFmTGwuz4e4pXP37aM2i9ta5hFosSAzfqv9t+t+4ara1LsNBk6Tk8wyH+g&#10;6AmXcOmUak0sQU+a/5Wq51Qro1p7RVUfqrbllPkaoJo4elXNQ0cG5muB5phhapN5u7T08/5eI96U&#10;OFkmGEnSA0l3XDKURLnrzjiYApwqea9dffQgH4Y7Rb8bJFXVEbljHuXj8wCBsYsIL0KcYQa4Yzt+&#10;Ug34kCerfKsOre5dSmgCOnhGnidG2MEiCpuz2SJNlzOM6PksJMU5cNDGfmSqR25RYgGofWKyvzPW&#10;ASHF2cXdI9WGC+EJFxKNJV6mc5AEJSA788NHGiV447ycv9G7bSU02hOnHf/z5cHJS7eeW1Cw4H2J&#10;88mJFB0jTS0bf50lXBzXAElIl5x5bR5xgnWwsPT7ULjXzc9ltKzzOs+CLJnXQRat18HNpsqC+SZe&#10;zNbpuqrW8S+HOs6KjjcNkw74WcNx9m8aOU3TUX2TiqdWhZfZfU8B7CXSm80sWmRpHiwWszTI0joK&#10;bvNNFdxU8Xy+qG+r2/oV0tpXb94G7NRKh0o9ARsPXTOihjtRpLNlEmMwYOaTxZEfRMQOHitqNUZa&#10;2W/cdl7DTn0uxwXxeeT+J+Kn7MdGnDl01sTCqbY/rQLOz/z60XDTcJyrrWqe7/V5ZGDCfdDpNXJP&#10;yEsb1i/fzNVvAAAA//8DAFBLAwQUAAYACAAAACEA3tirZ+AAAAALAQAADwAAAGRycy9kb3ducmV2&#10;LnhtbEyPQUvDQBCF74L/YRnBi7SbmlhLzKaIIB4Eaaso3rbZMRvMzobdbRP/vSMIepuZ93jzvWo9&#10;uV4cMcTOk4LFPAOB1HjTUavg5fl+tgIRkyaje0+o4AsjrOvTk0qXxo+0xeMutYJDKJZagU1pKKWM&#10;jUWn49wPSKx9+OB04jW00gQ9crjr5WWWLaXTHfEHqwe8s9h87g5OwVMYu5jyothgen99eHyzmwu3&#10;Ver8bLq9AZFwSn9m+MFndKiZae8PZKLoFcwWWcFWHvIrLsWO1fI6B7H/vci6kv871N8AAAD//wMA&#10;UEsBAi0AFAAGAAgAAAAhALaDOJL+AAAA4QEAABMAAAAAAAAAAAAAAAAAAAAAAFtDb250ZW50X1R5&#10;cGVzXS54bWxQSwECLQAUAAYACAAAACEAOP0h/9YAAACUAQAACwAAAAAAAAAAAAAAAAAvAQAAX3Jl&#10;bHMvLnJlbHNQSwECLQAUAAYACAAAACEA5lFysZwCAAB7BQAADgAAAAAAAAAAAAAAAAAuAgAAZHJz&#10;L2Uyb0RvYy54bWxQSwECLQAUAAYACAAAACEA3tirZ+AAAAALAQAADwAAAAAAAAAAAAAAAAD2BAAA&#10;ZHJzL2Rvd25yZXYueG1sUEsFBgAAAAAEAAQA8wAAAAMGAAAAAA==&#10;" strokeweight=".26mm">
                <v:stroke joinstyle="miter" endcap="square"/>
              </v:line>
            </w:pict>
          </mc:Fallback>
        </mc:AlternateContent>
      </w:r>
      <w:r w:rsidRPr="00DE475B">
        <w:rPr>
          <w:rFonts w:ascii="Arial" w:hAnsi="Arial" w:cs="Arial"/>
          <w:b/>
          <w:bCs/>
          <w:sz w:val="20"/>
          <w:szCs w:val="20"/>
        </w:rPr>
        <w:t>NOTES TO THE FINANCIAL STATEMENTS</w:t>
      </w:r>
    </w:p>
    <w:p w:rsidR="00CF31B4" w:rsidRPr="00DE475B" w:rsidRDefault="00CF31B4" w:rsidP="00CF31B4">
      <w:r>
        <w:rPr>
          <w:rFonts w:ascii="Arial" w:hAnsi="Arial" w:cs="Arial"/>
          <w:b/>
          <w:bCs/>
          <w:sz w:val="20"/>
          <w:szCs w:val="20"/>
        </w:rPr>
        <w:t>For the year ended 30 June 2017</w:t>
      </w:r>
    </w:p>
    <w:p w:rsidR="00CF31B4" w:rsidRPr="00DE475B" w:rsidRDefault="00CF31B4" w:rsidP="00CF31B4">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728896" behindDoc="0" locked="0" layoutInCell="1" allowOverlap="1" wp14:anchorId="15A56579" wp14:editId="05329BDE">
                <wp:simplePos x="0" y="0"/>
                <wp:positionH relativeFrom="column">
                  <wp:posOffset>-66040</wp:posOffset>
                </wp:positionH>
                <wp:positionV relativeFrom="paragraph">
                  <wp:posOffset>70485</wp:posOffset>
                </wp:positionV>
                <wp:extent cx="5573395" cy="0"/>
                <wp:effectExtent l="13970" t="13335" r="13335" b="5715"/>
                <wp:wrapNone/>
                <wp:docPr id="29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jxnAIAAHsFAAAOAAAAZHJzL2Uyb0RvYy54bWysVFFvmzAQfp+0/2D5nQKBhASVVC0he+m2&#10;Su20Z8eYYM3YzHZDoqn/fWcnYU33Mk1NJOSz787f3fedr2/2nUA7pg1XssDxVYQRk1TVXG4L/O1p&#10;HcwxMpbImgglWYEPzOCb5ccP10Ofs4lqlaiZRpBEmnzoC9xa2+dhaGjLOmKuVM8kHDZKd8SCqbdh&#10;rckA2TsRTqJoFg5K171WlBkDu6vjIV76/E3DqP3aNIZZJAoM2Kz/av/duG+4vCb5VpO+5fQEg/wH&#10;io5wCZeOqVbEEvSs+V+pOk61MqqxV1R1oWoaTpmvAaqJozfVPLakZ74WaI7pxzaZ90tLv+weNOJ1&#10;gSeLBCNJOiDpnkuGJlHmujP0JgenUj5oVx/dy8f+XtEfBklVtkRumUf5dOghMHYR4UWIM0wPd2yG&#10;z6oGH/JslW/VvtGdSwlNQHvPyGFkhO0torA5nWZJsphiRM9nIcnPgb029hNTHXKLAgtA7ROT3b2x&#10;DgjJzy7uHqnWXAhPuJBoKPAimYEkKAHZmZ8+0ijBa+fl/I3ebkqh0Y447fifLw9OXrt13IKCBe8K&#10;PB+dSN4yUley9tdZwsVxDZCEdMmZ1+YRJ1h7C0u/D4V73fxaRItqXs3TIJ3MqiCNVqvgdl2mwWwd&#10;Z9NVsirLVfziUMdp3vK6ZtIBP2s4Tv9NI6dpOqpvVPHYqvAyu+8pgL1EerueRlmazIMsmyZBmlRR&#10;cDdfl8FtGc9mWXVX3lVvkFa+evM+YMdWOlTqGdh4bOsB1dyJIpkuJjEGA2Z+kh35QURs4bGiVmOk&#10;lf3Obes17NTnclwQP4/c/0T8mP3YiDOHzhpZONX2p1XA+ZlfPxpuGo5ztVH14UGfRwYm3AedXiP3&#10;hLy2Yf36zVz+BgAA//8DAFBLAwQUAAYACAAAACEA8EBpcd4AAAAJAQAADwAAAGRycy9kb3ducmV2&#10;LnhtbEyPwUrDQBCG74LvsIzgRdpNbKglZlNEEA+CtFUUb9vsmA1mZ8Putolv70gPepz5P/75plpP&#10;rhdHDLHzpCCfZyCQGm86ahW8vjzMViBi0mR07wkVfGOEdX1+VunS+JG2eNylVnAJxVIrsCkNpZSx&#10;seh0nPsBibNPH5xOPIZWmqBHLne9vM6ypXS6I75g9YD3Fpuv3cEpeA5jF9OiKDaYPt4en97t5spt&#10;lbq8mO5uQSSc0h8Mv/qsDjU77f2BTBS9glmeFYxykOcgGFgtbxYg9qeFrCv5/4P6BwAA//8DAFBL&#10;AQItABQABgAIAAAAIQC2gziS/gAAAOEBAAATAAAAAAAAAAAAAAAAAAAAAABbQ29udGVudF9UeXBl&#10;c10ueG1sUEsBAi0AFAAGAAgAAAAhADj9If/WAAAAlAEAAAsAAAAAAAAAAAAAAAAALwEAAF9yZWxz&#10;Ly5yZWxzUEsBAi0AFAAGAAgAAAAhAJ6t2PGcAgAAewUAAA4AAAAAAAAAAAAAAAAALgIAAGRycy9l&#10;Mm9Eb2MueG1sUEsBAi0AFAAGAAgAAAAhAPBAaXHeAAAACQEAAA8AAAAAAAAAAAAAAAAA9gQAAGRy&#10;cy9kb3ducmV2LnhtbFBLBQYAAAAABAAEAPMAAAABBgAAAAA=&#10;" strokeweight=".26mm">
                <v:stroke joinstyle="miter" endcap="square"/>
              </v:line>
            </w:pict>
          </mc:Fallback>
        </mc:AlternateContent>
      </w:r>
    </w:p>
    <w:p w:rsidR="00CF31B4" w:rsidRPr="00DE475B" w:rsidRDefault="00CF31B4" w:rsidP="00CF31B4">
      <w:pPr>
        <w:pStyle w:val="ARheading3"/>
        <w:tabs>
          <w:tab w:val="left" w:pos="851"/>
        </w:tabs>
        <w:spacing w:after="120"/>
        <w:rPr>
          <w:color w:val="808080"/>
        </w:rPr>
        <w:sectPr w:rsidR="00CF31B4" w:rsidRPr="00DE475B" w:rsidSect="00B53922">
          <w:type w:val="continuous"/>
          <w:pgSz w:w="11906" w:h="16838"/>
          <w:pgMar w:top="1440" w:right="1701" w:bottom="1440" w:left="1701" w:header="680" w:footer="680" w:gutter="0"/>
          <w:cols w:space="720"/>
          <w:docGrid w:linePitch="360"/>
        </w:sectPr>
      </w:pPr>
      <w:r w:rsidRPr="00DE475B">
        <w:rPr>
          <w:color w:val="808080"/>
        </w:rPr>
        <w:t>C3 Intangibles</w:t>
      </w:r>
      <w:r>
        <w:rPr>
          <w:color w:val="808080"/>
        </w:rPr>
        <w:t xml:space="preserve"> (continued)</w:t>
      </w:r>
    </w:p>
    <w:p w:rsidR="009E7DF8" w:rsidRPr="00DE475B" w:rsidRDefault="008D7D3A" w:rsidP="009E7DF8">
      <w:pPr>
        <w:tabs>
          <w:tab w:val="left" w:pos="284"/>
          <w:tab w:val="left" w:pos="5878"/>
          <w:tab w:val="left" w:pos="8548"/>
          <w:tab w:val="left" w:pos="8770"/>
          <w:tab w:val="left" w:pos="10266"/>
          <w:tab w:val="left" w:pos="11702"/>
        </w:tabs>
        <w:spacing w:after="120"/>
        <w:rPr>
          <w:rFonts w:ascii="Arial" w:hAnsi="Arial" w:cs="Arial"/>
          <w:b/>
          <w:bCs/>
          <w:sz w:val="20"/>
          <w:szCs w:val="20"/>
        </w:rPr>
      </w:pPr>
      <w:r>
        <w:rPr>
          <w:rFonts w:ascii="Arial" w:hAnsi="Arial" w:cs="Arial"/>
          <w:b/>
          <w:bCs/>
          <w:sz w:val="20"/>
          <w:szCs w:val="20"/>
        </w:rPr>
        <w:lastRenderedPageBreak/>
        <w:t>C3-2</w:t>
      </w:r>
      <w:r w:rsidR="009E7DF8" w:rsidRPr="00DE475B">
        <w:rPr>
          <w:rFonts w:ascii="Arial" w:hAnsi="Arial" w:cs="Arial"/>
          <w:b/>
          <w:bCs/>
          <w:sz w:val="20"/>
          <w:szCs w:val="20"/>
        </w:rPr>
        <w:t xml:space="preserve"> Intangible assets — </w:t>
      </w:r>
      <w:proofErr w:type="gramStart"/>
      <w:r w:rsidR="009E7DF8" w:rsidRPr="00DE475B">
        <w:rPr>
          <w:rFonts w:ascii="Arial" w:hAnsi="Arial" w:cs="Arial"/>
          <w:b/>
          <w:bCs/>
          <w:sz w:val="20"/>
          <w:szCs w:val="20"/>
        </w:rPr>
        <w:t>Balances</w:t>
      </w:r>
      <w:proofErr w:type="gramEnd"/>
      <w:r w:rsidR="009E7DF8" w:rsidRPr="00DE475B">
        <w:rPr>
          <w:rFonts w:ascii="Arial" w:hAnsi="Arial" w:cs="Arial"/>
          <w:b/>
          <w:bCs/>
          <w:sz w:val="20"/>
          <w:szCs w:val="20"/>
        </w:rPr>
        <w:t xml:space="preserve"> and reconciliations of carrying amount</w:t>
      </w:r>
    </w:p>
    <w:tbl>
      <w:tblPr>
        <w:tblW w:w="8789" w:type="dxa"/>
        <w:tblInd w:w="-34" w:type="dxa"/>
        <w:tblLayout w:type="fixed"/>
        <w:tblLook w:val="0000" w:firstRow="0" w:lastRow="0" w:firstColumn="0" w:lastColumn="0" w:noHBand="0" w:noVBand="0"/>
      </w:tblPr>
      <w:tblGrid>
        <w:gridCol w:w="505"/>
        <w:gridCol w:w="541"/>
        <w:gridCol w:w="3923"/>
        <w:gridCol w:w="955"/>
        <w:gridCol w:w="955"/>
        <w:gridCol w:w="955"/>
        <w:gridCol w:w="955"/>
      </w:tblGrid>
      <w:tr w:rsidR="009E7DF8" w:rsidRPr="00DE475B" w:rsidTr="008D7D3A">
        <w:trPr>
          <w:trHeight w:val="340"/>
        </w:trPr>
        <w:tc>
          <w:tcPr>
            <w:tcW w:w="4969" w:type="dxa"/>
            <w:gridSpan w:val="3"/>
            <w:shd w:val="clear" w:color="auto" w:fill="auto"/>
            <w:vAlign w:val="bottom"/>
          </w:tcPr>
          <w:p w:rsidR="009E7DF8" w:rsidRPr="00DE475B" w:rsidRDefault="009E7DF8" w:rsidP="00206538">
            <w:pPr>
              <w:snapToGrid w:val="0"/>
              <w:rPr>
                <w:rFonts w:ascii="Arial" w:hAnsi="Arial" w:cs="Arial"/>
                <w:b/>
                <w:bCs/>
                <w:sz w:val="20"/>
                <w:szCs w:val="20"/>
              </w:rPr>
            </w:pPr>
          </w:p>
        </w:tc>
        <w:tc>
          <w:tcPr>
            <w:tcW w:w="1910" w:type="dxa"/>
            <w:gridSpan w:val="2"/>
            <w:shd w:val="clear" w:color="auto" w:fill="auto"/>
            <w:vAlign w:val="bottom"/>
          </w:tcPr>
          <w:p w:rsidR="009E7DF8" w:rsidRPr="00DE475B" w:rsidRDefault="009E7DF8" w:rsidP="00206538">
            <w:pPr>
              <w:jc w:val="right"/>
              <w:rPr>
                <w:rFonts w:ascii="Arial" w:hAnsi="Arial" w:cs="Arial"/>
                <w:b/>
                <w:bCs/>
                <w:sz w:val="20"/>
                <w:szCs w:val="20"/>
              </w:rPr>
            </w:pPr>
            <w:r w:rsidRPr="00DE475B">
              <w:rPr>
                <w:rFonts w:ascii="Arial" w:hAnsi="Arial" w:cs="Arial"/>
                <w:b/>
                <w:bCs/>
                <w:sz w:val="20"/>
                <w:szCs w:val="20"/>
              </w:rPr>
              <w:t>Economic Entity</w:t>
            </w:r>
          </w:p>
        </w:tc>
        <w:tc>
          <w:tcPr>
            <w:tcW w:w="1910" w:type="dxa"/>
            <w:gridSpan w:val="2"/>
            <w:shd w:val="clear" w:color="auto" w:fill="auto"/>
            <w:vAlign w:val="bottom"/>
          </w:tcPr>
          <w:p w:rsidR="009E7DF8" w:rsidRPr="00DE475B" w:rsidRDefault="009E7DF8" w:rsidP="00206538">
            <w:pPr>
              <w:jc w:val="right"/>
              <w:rPr>
                <w:rFonts w:ascii="Arial" w:hAnsi="Arial" w:cs="Arial"/>
                <w:b/>
                <w:bCs/>
                <w:sz w:val="20"/>
                <w:szCs w:val="20"/>
              </w:rPr>
            </w:pPr>
            <w:r w:rsidRPr="00DE475B">
              <w:rPr>
                <w:rFonts w:ascii="Arial" w:hAnsi="Arial" w:cs="Arial"/>
                <w:b/>
                <w:bCs/>
                <w:sz w:val="20"/>
                <w:szCs w:val="20"/>
              </w:rPr>
              <w:t>Parent Entity</w:t>
            </w:r>
          </w:p>
        </w:tc>
      </w:tr>
      <w:tr w:rsidR="009E7DF8" w:rsidRPr="00DE475B" w:rsidTr="008D7D3A">
        <w:trPr>
          <w:trHeight w:val="340"/>
        </w:trPr>
        <w:tc>
          <w:tcPr>
            <w:tcW w:w="4969" w:type="dxa"/>
            <w:gridSpan w:val="3"/>
            <w:shd w:val="clear" w:color="auto" w:fill="auto"/>
            <w:vAlign w:val="bottom"/>
          </w:tcPr>
          <w:p w:rsidR="009E7DF8" w:rsidRPr="00DE475B" w:rsidRDefault="009E7DF8" w:rsidP="00206538">
            <w:pPr>
              <w:snapToGrid w:val="0"/>
              <w:jc w:val="right"/>
              <w:rPr>
                <w:rFonts w:ascii="Arial" w:hAnsi="Arial" w:cs="Arial"/>
                <w:b/>
                <w:bCs/>
                <w:sz w:val="20"/>
                <w:szCs w:val="20"/>
              </w:rPr>
            </w:pPr>
          </w:p>
        </w:tc>
        <w:tc>
          <w:tcPr>
            <w:tcW w:w="955" w:type="dxa"/>
            <w:shd w:val="clear" w:color="auto" w:fill="auto"/>
            <w:vAlign w:val="bottom"/>
          </w:tcPr>
          <w:p w:rsidR="009E7DF8" w:rsidRPr="00DE475B" w:rsidRDefault="008D7D3A" w:rsidP="00206538">
            <w:pPr>
              <w:jc w:val="right"/>
              <w:rPr>
                <w:rFonts w:ascii="Arial" w:hAnsi="Arial" w:cs="Arial"/>
                <w:b/>
                <w:bCs/>
                <w:sz w:val="20"/>
                <w:szCs w:val="20"/>
              </w:rPr>
            </w:pPr>
            <w:r>
              <w:rPr>
                <w:rFonts w:ascii="Arial" w:hAnsi="Arial" w:cs="Arial"/>
                <w:b/>
                <w:bCs/>
                <w:sz w:val="20"/>
                <w:szCs w:val="20"/>
              </w:rPr>
              <w:t>2017</w:t>
            </w:r>
          </w:p>
        </w:tc>
        <w:tc>
          <w:tcPr>
            <w:tcW w:w="955" w:type="dxa"/>
            <w:shd w:val="clear" w:color="auto" w:fill="auto"/>
            <w:vAlign w:val="bottom"/>
          </w:tcPr>
          <w:p w:rsidR="009E7DF8" w:rsidRPr="00DE475B" w:rsidRDefault="009E7DF8" w:rsidP="008D7D3A">
            <w:pPr>
              <w:jc w:val="right"/>
              <w:rPr>
                <w:rFonts w:ascii="Arial" w:hAnsi="Arial" w:cs="Arial"/>
                <w:b/>
                <w:bCs/>
                <w:sz w:val="20"/>
                <w:szCs w:val="20"/>
              </w:rPr>
            </w:pPr>
            <w:r w:rsidRPr="00DE475B">
              <w:rPr>
                <w:rFonts w:ascii="Arial" w:hAnsi="Arial" w:cs="Arial"/>
                <w:b/>
                <w:bCs/>
                <w:sz w:val="20"/>
                <w:szCs w:val="20"/>
              </w:rPr>
              <w:t>201</w:t>
            </w:r>
            <w:r w:rsidR="008D7D3A">
              <w:rPr>
                <w:rFonts w:ascii="Arial" w:hAnsi="Arial" w:cs="Arial"/>
                <w:b/>
                <w:bCs/>
                <w:sz w:val="20"/>
                <w:szCs w:val="20"/>
              </w:rPr>
              <w:t>6</w:t>
            </w:r>
          </w:p>
        </w:tc>
        <w:tc>
          <w:tcPr>
            <w:tcW w:w="955" w:type="dxa"/>
            <w:shd w:val="clear" w:color="auto" w:fill="auto"/>
            <w:vAlign w:val="bottom"/>
          </w:tcPr>
          <w:p w:rsidR="009E7DF8" w:rsidRPr="00DE475B" w:rsidRDefault="009E7DF8" w:rsidP="008D7D3A">
            <w:pPr>
              <w:jc w:val="right"/>
              <w:rPr>
                <w:rFonts w:ascii="Arial" w:hAnsi="Arial" w:cs="Arial"/>
                <w:b/>
                <w:bCs/>
                <w:sz w:val="20"/>
                <w:szCs w:val="20"/>
              </w:rPr>
            </w:pPr>
            <w:r w:rsidRPr="00DE475B">
              <w:rPr>
                <w:rFonts w:ascii="Arial" w:hAnsi="Arial" w:cs="Arial"/>
                <w:b/>
                <w:bCs/>
                <w:sz w:val="20"/>
                <w:szCs w:val="20"/>
              </w:rPr>
              <w:t>201</w:t>
            </w:r>
            <w:r w:rsidR="008D7D3A">
              <w:rPr>
                <w:rFonts w:ascii="Arial" w:hAnsi="Arial" w:cs="Arial"/>
                <w:b/>
                <w:bCs/>
                <w:sz w:val="20"/>
                <w:szCs w:val="20"/>
              </w:rPr>
              <w:t>7</w:t>
            </w:r>
          </w:p>
        </w:tc>
        <w:tc>
          <w:tcPr>
            <w:tcW w:w="955" w:type="dxa"/>
            <w:shd w:val="clear" w:color="auto" w:fill="auto"/>
            <w:vAlign w:val="bottom"/>
          </w:tcPr>
          <w:p w:rsidR="009E7DF8" w:rsidRPr="00DE475B" w:rsidRDefault="009E7DF8" w:rsidP="008D7D3A">
            <w:pPr>
              <w:jc w:val="right"/>
              <w:rPr>
                <w:rFonts w:ascii="Arial" w:hAnsi="Arial" w:cs="Arial"/>
                <w:b/>
                <w:bCs/>
                <w:sz w:val="20"/>
                <w:szCs w:val="20"/>
              </w:rPr>
            </w:pPr>
            <w:r w:rsidRPr="00DE475B">
              <w:rPr>
                <w:rFonts w:ascii="Arial" w:hAnsi="Arial" w:cs="Arial"/>
                <w:b/>
                <w:bCs/>
                <w:sz w:val="20"/>
                <w:szCs w:val="20"/>
              </w:rPr>
              <w:t>201</w:t>
            </w:r>
            <w:r w:rsidR="008D7D3A">
              <w:rPr>
                <w:rFonts w:ascii="Arial" w:hAnsi="Arial" w:cs="Arial"/>
                <w:b/>
                <w:bCs/>
                <w:sz w:val="20"/>
                <w:szCs w:val="20"/>
              </w:rPr>
              <w:t>6</w:t>
            </w:r>
          </w:p>
        </w:tc>
      </w:tr>
      <w:tr w:rsidR="009E7DF8" w:rsidRPr="00DE475B" w:rsidTr="008D7D3A">
        <w:trPr>
          <w:trHeight w:val="340"/>
        </w:trPr>
        <w:tc>
          <w:tcPr>
            <w:tcW w:w="4969" w:type="dxa"/>
            <w:gridSpan w:val="3"/>
            <w:shd w:val="clear" w:color="auto" w:fill="auto"/>
            <w:vAlign w:val="bottom"/>
          </w:tcPr>
          <w:p w:rsidR="009E7DF8" w:rsidRPr="00DE475B" w:rsidRDefault="009E7DF8" w:rsidP="00206538">
            <w:pPr>
              <w:snapToGrid w:val="0"/>
              <w:jc w:val="right"/>
              <w:rPr>
                <w:rFonts w:ascii="Arial" w:hAnsi="Arial" w:cs="Arial"/>
                <w:b/>
                <w:bCs/>
                <w:sz w:val="20"/>
                <w:szCs w:val="20"/>
              </w:rPr>
            </w:pPr>
          </w:p>
        </w:tc>
        <w:tc>
          <w:tcPr>
            <w:tcW w:w="955" w:type="dxa"/>
            <w:shd w:val="clear" w:color="auto" w:fill="auto"/>
            <w:vAlign w:val="bottom"/>
          </w:tcPr>
          <w:p w:rsidR="009E7DF8" w:rsidRPr="00DE475B" w:rsidRDefault="009E7DF8" w:rsidP="00206538">
            <w:pPr>
              <w:jc w:val="right"/>
              <w:rPr>
                <w:rFonts w:ascii="Arial" w:hAnsi="Arial" w:cs="Arial"/>
                <w:b/>
                <w:bCs/>
                <w:sz w:val="20"/>
                <w:szCs w:val="20"/>
              </w:rPr>
            </w:pPr>
            <w:r w:rsidRPr="00DE475B">
              <w:rPr>
                <w:rFonts w:ascii="Arial" w:hAnsi="Arial" w:cs="Arial"/>
                <w:b/>
                <w:bCs/>
                <w:sz w:val="20"/>
                <w:szCs w:val="20"/>
              </w:rPr>
              <w:t>$'000</w:t>
            </w:r>
          </w:p>
        </w:tc>
        <w:tc>
          <w:tcPr>
            <w:tcW w:w="955" w:type="dxa"/>
            <w:shd w:val="clear" w:color="auto" w:fill="auto"/>
            <w:vAlign w:val="bottom"/>
          </w:tcPr>
          <w:p w:rsidR="009E7DF8" w:rsidRPr="00DE475B" w:rsidRDefault="009E7DF8" w:rsidP="00206538">
            <w:pPr>
              <w:jc w:val="right"/>
              <w:rPr>
                <w:rFonts w:ascii="Arial" w:hAnsi="Arial" w:cs="Arial"/>
                <w:b/>
                <w:bCs/>
                <w:sz w:val="20"/>
                <w:szCs w:val="20"/>
              </w:rPr>
            </w:pPr>
            <w:r w:rsidRPr="00DE475B">
              <w:rPr>
                <w:rFonts w:ascii="Arial" w:hAnsi="Arial" w:cs="Arial"/>
                <w:b/>
                <w:bCs/>
                <w:sz w:val="20"/>
                <w:szCs w:val="20"/>
              </w:rPr>
              <w:t>$'000</w:t>
            </w:r>
          </w:p>
        </w:tc>
        <w:tc>
          <w:tcPr>
            <w:tcW w:w="955" w:type="dxa"/>
            <w:shd w:val="clear" w:color="auto" w:fill="auto"/>
            <w:vAlign w:val="bottom"/>
          </w:tcPr>
          <w:p w:rsidR="009E7DF8" w:rsidRPr="00DE475B" w:rsidRDefault="009E7DF8" w:rsidP="00206538">
            <w:pPr>
              <w:jc w:val="right"/>
              <w:rPr>
                <w:rFonts w:ascii="Arial" w:hAnsi="Arial" w:cs="Arial"/>
                <w:b/>
                <w:bCs/>
                <w:sz w:val="20"/>
                <w:szCs w:val="20"/>
              </w:rPr>
            </w:pPr>
            <w:r w:rsidRPr="00DE475B">
              <w:rPr>
                <w:rFonts w:ascii="Arial" w:hAnsi="Arial" w:cs="Arial"/>
                <w:b/>
                <w:bCs/>
                <w:sz w:val="20"/>
                <w:szCs w:val="20"/>
              </w:rPr>
              <w:t>$'000</w:t>
            </w:r>
          </w:p>
        </w:tc>
        <w:tc>
          <w:tcPr>
            <w:tcW w:w="955" w:type="dxa"/>
            <w:shd w:val="clear" w:color="auto" w:fill="auto"/>
            <w:vAlign w:val="bottom"/>
          </w:tcPr>
          <w:p w:rsidR="009E7DF8" w:rsidRPr="00DE475B" w:rsidRDefault="009E7DF8" w:rsidP="00206538">
            <w:pPr>
              <w:jc w:val="right"/>
              <w:rPr>
                <w:rFonts w:ascii="Arial" w:hAnsi="Arial" w:cs="Arial"/>
                <w:b/>
                <w:bCs/>
                <w:sz w:val="20"/>
                <w:szCs w:val="20"/>
              </w:rPr>
            </w:pPr>
            <w:r w:rsidRPr="00DE475B">
              <w:rPr>
                <w:rFonts w:ascii="Arial" w:hAnsi="Arial" w:cs="Arial"/>
                <w:b/>
                <w:bCs/>
                <w:sz w:val="20"/>
                <w:szCs w:val="20"/>
              </w:rPr>
              <w:t>$'000</w:t>
            </w:r>
          </w:p>
        </w:tc>
      </w:tr>
      <w:tr w:rsidR="009E7DF8" w:rsidRPr="00DE475B" w:rsidTr="008D7D3A">
        <w:trPr>
          <w:trHeight w:val="340"/>
        </w:trPr>
        <w:tc>
          <w:tcPr>
            <w:tcW w:w="4969" w:type="dxa"/>
            <w:gridSpan w:val="3"/>
            <w:shd w:val="clear" w:color="auto" w:fill="auto"/>
            <w:vAlign w:val="bottom"/>
          </w:tcPr>
          <w:p w:rsidR="009E7DF8" w:rsidRPr="00DE475B" w:rsidRDefault="009E7DF8" w:rsidP="00206538">
            <w:pPr>
              <w:rPr>
                <w:rFonts w:ascii="Arial" w:hAnsi="Arial" w:cs="Arial"/>
                <w:sz w:val="20"/>
                <w:szCs w:val="20"/>
              </w:rPr>
            </w:pPr>
            <w:r w:rsidRPr="00DE475B">
              <w:rPr>
                <w:rFonts w:ascii="Arial" w:hAnsi="Arial" w:cs="Arial"/>
                <w:b/>
                <w:bCs/>
                <w:sz w:val="20"/>
                <w:szCs w:val="20"/>
              </w:rPr>
              <w:t>Intangible Assets</w:t>
            </w:r>
          </w:p>
        </w:tc>
        <w:tc>
          <w:tcPr>
            <w:tcW w:w="955" w:type="dxa"/>
            <w:shd w:val="clear" w:color="auto" w:fill="auto"/>
            <w:vAlign w:val="bottom"/>
          </w:tcPr>
          <w:p w:rsidR="009E7DF8" w:rsidRPr="00DE475B" w:rsidRDefault="009E7DF8" w:rsidP="00206538">
            <w:pPr>
              <w:snapToGrid w:val="0"/>
              <w:jc w:val="center"/>
              <w:rPr>
                <w:rFonts w:ascii="Arial" w:hAnsi="Arial" w:cs="Arial"/>
                <w:sz w:val="20"/>
                <w:szCs w:val="20"/>
              </w:rPr>
            </w:pPr>
          </w:p>
        </w:tc>
        <w:tc>
          <w:tcPr>
            <w:tcW w:w="955" w:type="dxa"/>
            <w:shd w:val="clear" w:color="auto" w:fill="auto"/>
            <w:vAlign w:val="bottom"/>
          </w:tcPr>
          <w:p w:rsidR="009E7DF8" w:rsidRPr="00DE475B" w:rsidRDefault="009E7DF8" w:rsidP="00206538">
            <w:pPr>
              <w:snapToGrid w:val="0"/>
              <w:jc w:val="center"/>
              <w:rPr>
                <w:rFonts w:ascii="Arial" w:hAnsi="Arial" w:cs="Arial"/>
                <w:sz w:val="20"/>
                <w:szCs w:val="20"/>
              </w:rPr>
            </w:pPr>
          </w:p>
        </w:tc>
        <w:tc>
          <w:tcPr>
            <w:tcW w:w="955" w:type="dxa"/>
            <w:shd w:val="clear" w:color="auto" w:fill="auto"/>
            <w:vAlign w:val="bottom"/>
          </w:tcPr>
          <w:p w:rsidR="009E7DF8" w:rsidRPr="00DE475B" w:rsidRDefault="009E7DF8" w:rsidP="00206538">
            <w:pPr>
              <w:snapToGrid w:val="0"/>
              <w:jc w:val="center"/>
              <w:rPr>
                <w:rFonts w:ascii="Arial" w:hAnsi="Arial" w:cs="Arial"/>
                <w:sz w:val="20"/>
                <w:szCs w:val="20"/>
              </w:rPr>
            </w:pPr>
          </w:p>
        </w:tc>
        <w:tc>
          <w:tcPr>
            <w:tcW w:w="955" w:type="dxa"/>
            <w:shd w:val="clear" w:color="auto" w:fill="auto"/>
            <w:vAlign w:val="bottom"/>
          </w:tcPr>
          <w:p w:rsidR="009E7DF8" w:rsidRPr="00DE475B" w:rsidRDefault="009E7DF8" w:rsidP="00206538">
            <w:pPr>
              <w:snapToGrid w:val="0"/>
              <w:jc w:val="center"/>
              <w:rPr>
                <w:rFonts w:ascii="Arial" w:hAnsi="Arial" w:cs="Arial"/>
                <w:sz w:val="20"/>
                <w:szCs w:val="20"/>
              </w:rPr>
            </w:pPr>
          </w:p>
        </w:tc>
      </w:tr>
      <w:tr w:rsidR="008D7D3A" w:rsidRPr="00DE475B" w:rsidTr="008D7D3A">
        <w:trPr>
          <w:trHeight w:val="340"/>
        </w:trPr>
        <w:tc>
          <w:tcPr>
            <w:tcW w:w="4969" w:type="dxa"/>
            <w:gridSpan w:val="3"/>
            <w:shd w:val="clear" w:color="auto" w:fill="auto"/>
            <w:vAlign w:val="bottom"/>
          </w:tcPr>
          <w:p w:rsidR="008D7D3A" w:rsidRPr="00DE475B" w:rsidRDefault="008D7D3A" w:rsidP="00206538">
            <w:pPr>
              <w:rPr>
                <w:rFonts w:ascii="Arial" w:hAnsi="Arial" w:cs="Arial"/>
                <w:sz w:val="20"/>
                <w:szCs w:val="20"/>
              </w:rPr>
            </w:pPr>
            <w:r w:rsidRPr="00DE475B">
              <w:rPr>
                <w:rFonts w:ascii="Arial" w:hAnsi="Arial" w:cs="Arial"/>
                <w:sz w:val="20"/>
                <w:szCs w:val="20"/>
              </w:rPr>
              <w:t>Heritage digital collection</w:t>
            </w:r>
          </w:p>
        </w:tc>
        <w:tc>
          <w:tcPr>
            <w:tcW w:w="955" w:type="dxa"/>
            <w:shd w:val="clear" w:color="auto" w:fill="auto"/>
            <w:vAlign w:val="center"/>
          </w:tcPr>
          <w:p w:rsidR="008D7D3A" w:rsidRPr="00DE475B" w:rsidRDefault="00D05599" w:rsidP="00206538">
            <w:pPr>
              <w:jc w:val="right"/>
              <w:rPr>
                <w:rFonts w:ascii="Arial" w:hAnsi="Arial" w:cs="Arial"/>
                <w:sz w:val="20"/>
                <w:szCs w:val="20"/>
              </w:rPr>
            </w:pPr>
            <w:r>
              <w:rPr>
                <w:rFonts w:ascii="Arial" w:hAnsi="Arial" w:cs="Arial"/>
                <w:sz w:val="20"/>
                <w:szCs w:val="20"/>
              </w:rPr>
              <w:t>8,582</w:t>
            </w:r>
          </w:p>
        </w:tc>
        <w:tc>
          <w:tcPr>
            <w:tcW w:w="955" w:type="dxa"/>
            <w:shd w:val="clear" w:color="auto" w:fill="auto"/>
            <w:vAlign w:val="center"/>
          </w:tcPr>
          <w:p w:rsidR="008D7D3A" w:rsidRPr="00DE475B" w:rsidRDefault="008D7D3A" w:rsidP="00A2292F">
            <w:pPr>
              <w:jc w:val="right"/>
              <w:rPr>
                <w:rFonts w:ascii="Arial" w:hAnsi="Arial" w:cs="Arial"/>
                <w:sz w:val="20"/>
                <w:szCs w:val="20"/>
              </w:rPr>
            </w:pPr>
            <w:r w:rsidRPr="00DE475B">
              <w:rPr>
                <w:rFonts w:ascii="Arial" w:hAnsi="Arial" w:cs="Arial"/>
                <w:sz w:val="20"/>
                <w:szCs w:val="20"/>
              </w:rPr>
              <w:t>7,659</w:t>
            </w:r>
          </w:p>
        </w:tc>
        <w:tc>
          <w:tcPr>
            <w:tcW w:w="955" w:type="dxa"/>
            <w:shd w:val="clear" w:color="auto" w:fill="auto"/>
            <w:vAlign w:val="center"/>
          </w:tcPr>
          <w:p w:rsidR="008D7D3A" w:rsidRPr="00DE475B" w:rsidRDefault="00D05599" w:rsidP="00A2292F">
            <w:pPr>
              <w:jc w:val="right"/>
              <w:rPr>
                <w:rFonts w:ascii="Arial" w:hAnsi="Arial" w:cs="Arial"/>
                <w:sz w:val="20"/>
                <w:szCs w:val="20"/>
              </w:rPr>
            </w:pPr>
            <w:r>
              <w:rPr>
                <w:rFonts w:ascii="Arial" w:hAnsi="Arial" w:cs="Arial"/>
                <w:sz w:val="20"/>
                <w:szCs w:val="20"/>
              </w:rPr>
              <w:t>8,582</w:t>
            </w:r>
          </w:p>
        </w:tc>
        <w:tc>
          <w:tcPr>
            <w:tcW w:w="955" w:type="dxa"/>
            <w:shd w:val="clear" w:color="auto" w:fill="auto"/>
            <w:vAlign w:val="center"/>
          </w:tcPr>
          <w:p w:rsidR="008D7D3A" w:rsidRPr="00DE475B" w:rsidRDefault="008D7D3A" w:rsidP="00A2292F">
            <w:pPr>
              <w:jc w:val="right"/>
              <w:rPr>
                <w:rFonts w:ascii="Arial" w:hAnsi="Arial" w:cs="Arial"/>
                <w:sz w:val="20"/>
                <w:szCs w:val="20"/>
              </w:rPr>
            </w:pPr>
            <w:r w:rsidRPr="00DE475B">
              <w:rPr>
                <w:rFonts w:ascii="Arial" w:hAnsi="Arial" w:cs="Arial"/>
                <w:sz w:val="20"/>
                <w:szCs w:val="20"/>
              </w:rPr>
              <w:t>7,659</w:t>
            </w:r>
          </w:p>
        </w:tc>
      </w:tr>
      <w:tr w:rsidR="008D7D3A" w:rsidRPr="00DE475B" w:rsidTr="008D7D3A">
        <w:trPr>
          <w:trHeight w:val="340"/>
        </w:trPr>
        <w:tc>
          <w:tcPr>
            <w:tcW w:w="4969" w:type="dxa"/>
            <w:gridSpan w:val="3"/>
            <w:shd w:val="clear" w:color="auto" w:fill="auto"/>
            <w:vAlign w:val="bottom"/>
          </w:tcPr>
          <w:p w:rsidR="008D7D3A" w:rsidRPr="00DE475B" w:rsidRDefault="008D7D3A" w:rsidP="00206538">
            <w:pPr>
              <w:rPr>
                <w:rFonts w:ascii="Arial" w:hAnsi="Arial" w:cs="Arial"/>
                <w:sz w:val="20"/>
                <w:szCs w:val="20"/>
              </w:rPr>
            </w:pPr>
            <w:r w:rsidRPr="00DE475B">
              <w:rPr>
                <w:rFonts w:ascii="Arial" w:hAnsi="Arial" w:cs="Arial"/>
                <w:sz w:val="20"/>
                <w:szCs w:val="20"/>
              </w:rPr>
              <w:t>Computer software</w:t>
            </w:r>
          </w:p>
        </w:tc>
        <w:tc>
          <w:tcPr>
            <w:tcW w:w="955" w:type="dxa"/>
            <w:shd w:val="clear" w:color="auto" w:fill="auto"/>
            <w:vAlign w:val="center"/>
          </w:tcPr>
          <w:p w:rsidR="008D7D3A" w:rsidRPr="00DE475B" w:rsidRDefault="008D7D3A" w:rsidP="00206538">
            <w:pPr>
              <w:snapToGrid w:val="0"/>
              <w:jc w:val="right"/>
              <w:rPr>
                <w:rFonts w:ascii="Arial" w:hAnsi="Arial" w:cs="Arial"/>
                <w:sz w:val="20"/>
                <w:szCs w:val="20"/>
              </w:rPr>
            </w:pPr>
          </w:p>
        </w:tc>
        <w:tc>
          <w:tcPr>
            <w:tcW w:w="955" w:type="dxa"/>
            <w:shd w:val="clear" w:color="auto" w:fill="auto"/>
            <w:vAlign w:val="center"/>
          </w:tcPr>
          <w:p w:rsidR="008D7D3A" w:rsidRPr="00DE475B" w:rsidRDefault="008D7D3A" w:rsidP="00206538">
            <w:pPr>
              <w:snapToGrid w:val="0"/>
              <w:jc w:val="right"/>
              <w:rPr>
                <w:rFonts w:ascii="Arial" w:hAnsi="Arial" w:cs="Arial"/>
                <w:sz w:val="20"/>
                <w:szCs w:val="20"/>
              </w:rPr>
            </w:pPr>
          </w:p>
        </w:tc>
        <w:tc>
          <w:tcPr>
            <w:tcW w:w="955" w:type="dxa"/>
            <w:shd w:val="clear" w:color="auto" w:fill="auto"/>
            <w:vAlign w:val="center"/>
          </w:tcPr>
          <w:p w:rsidR="008D7D3A" w:rsidRPr="00DE475B" w:rsidRDefault="008D7D3A" w:rsidP="00206538">
            <w:pPr>
              <w:snapToGrid w:val="0"/>
              <w:jc w:val="right"/>
              <w:rPr>
                <w:rFonts w:ascii="Arial" w:hAnsi="Arial" w:cs="Arial"/>
                <w:sz w:val="20"/>
                <w:szCs w:val="20"/>
              </w:rPr>
            </w:pPr>
          </w:p>
        </w:tc>
        <w:tc>
          <w:tcPr>
            <w:tcW w:w="955" w:type="dxa"/>
            <w:shd w:val="clear" w:color="auto" w:fill="auto"/>
            <w:vAlign w:val="center"/>
          </w:tcPr>
          <w:p w:rsidR="008D7D3A" w:rsidRPr="00DE475B" w:rsidRDefault="008D7D3A" w:rsidP="00206538">
            <w:pPr>
              <w:snapToGrid w:val="0"/>
              <w:jc w:val="right"/>
              <w:rPr>
                <w:rFonts w:ascii="Arial" w:hAnsi="Arial" w:cs="Arial"/>
                <w:sz w:val="20"/>
                <w:szCs w:val="20"/>
              </w:rPr>
            </w:pPr>
          </w:p>
        </w:tc>
      </w:tr>
      <w:tr w:rsidR="00D05599" w:rsidRPr="00DE475B" w:rsidTr="008D7D3A">
        <w:trPr>
          <w:trHeight w:val="340"/>
        </w:trPr>
        <w:tc>
          <w:tcPr>
            <w:tcW w:w="505" w:type="dxa"/>
            <w:shd w:val="clear" w:color="auto" w:fill="auto"/>
            <w:vAlign w:val="bottom"/>
          </w:tcPr>
          <w:p w:rsidR="00D05599" w:rsidRPr="00DE475B" w:rsidRDefault="00D05599" w:rsidP="00206538">
            <w:pPr>
              <w:snapToGrid w:val="0"/>
              <w:rPr>
                <w:rFonts w:ascii="Arial" w:hAnsi="Arial" w:cs="Arial"/>
                <w:i/>
                <w:iCs/>
                <w:sz w:val="20"/>
                <w:szCs w:val="20"/>
              </w:rPr>
            </w:pPr>
          </w:p>
        </w:tc>
        <w:tc>
          <w:tcPr>
            <w:tcW w:w="4464" w:type="dxa"/>
            <w:gridSpan w:val="2"/>
            <w:shd w:val="clear" w:color="auto" w:fill="auto"/>
            <w:vAlign w:val="bottom"/>
          </w:tcPr>
          <w:p w:rsidR="00D05599" w:rsidRPr="00DE475B" w:rsidRDefault="00D05599" w:rsidP="00206538">
            <w:pPr>
              <w:rPr>
                <w:rFonts w:ascii="Arial" w:hAnsi="Arial" w:cs="Arial"/>
                <w:sz w:val="20"/>
                <w:szCs w:val="20"/>
              </w:rPr>
            </w:pPr>
            <w:r w:rsidRPr="00DE475B">
              <w:rPr>
                <w:rFonts w:ascii="Arial" w:hAnsi="Arial" w:cs="Arial"/>
                <w:sz w:val="20"/>
                <w:szCs w:val="20"/>
              </w:rPr>
              <w:t>At cost</w:t>
            </w:r>
          </w:p>
        </w:tc>
        <w:tc>
          <w:tcPr>
            <w:tcW w:w="955" w:type="dxa"/>
            <w:shd w:val="clear" w:color="auto" w:fill="auto"/>
            <w:vAlign w:val="center"/>
          </w:tcPr>
          <w:p w:rsidR="00D05599" w:rsidRPr="00DE475B" w:rsidRDefault="00D05599" w:rsidP="00206538">
            <w:pPr>
              <w:jc w:val="right"/>
              <w:rPr>
                <w:rFonts w:ascii="Arial" w:hAnsi="Arial" w:cs="Arial"/>
                <w:sz w:val="20"/>
                <w:szCs w:val="20"/>
              </w:rPr>
            </w:pPr>
            <w:r>
              <w:rPr>
                <w:rFonts w:ascii="Arial" w:hAnsi="Arial" w:cs="Arial"/>
                <w:sz w:val="20"/>
                <w:szCs w:val="20"/>
              </w:rPr>
              <w:t>4</w:t>
            </w:r>
          </w:p>
        </w:tc>
        <w:tc>
          <w:tcPr>
            <w:tcW w:w="955" w:type="dxa"/>
            <w:shd w:val="clear" w:color="auto" w:fill="auto"/>
            <w:vAlign w:val="center"/>
          </w:tcPr>
          <w:p w:rsidR="00D05599" w:rsidRPr="00DE475B" w:rsidRDefault="00D05599" w:rsidP="00A2292F">
            <w:pPr>
              <w:jc w:val="right"/>
              <w:rPr>
                <w:rFonts w:ascii="Arial" w:hAnsi="Arial" w:cs="Arial"/>
                <w:sz w:val="20"/>
                <w:szCs w:val="20"/>
              </w:rPr>
            </w:pPr>
            <w:r w:rsidRPr="00DE475B">
              <w:rPr>
                <w:rFonts w:ascii="Arial" w:hAnsi="Arial" w:cs="Arial"/>
                <w:sz w:val="20"/>
                <w:szCs w:val="20"/>
              </w:rPr>
              <w:t>4</w:t>
            </w:r>
          </w:p>
        </w:tc>
        <w:tc>
          <w:tcPr>
            <w:tcW w:w="955" w:type="dxa"/>
            <w:shd w:val="clear" w:color="auto" w:fill="auto"/>
            <w:vAlign w:val="center"/>
          </w:tcPr>
          <w:p w:rsidR="00D05599" w:rsidRPr="00DE475B" w:rsidRDefault="00D05599" w:rsidP="00652F6C">
            <w:pPr>
              <w:jc w:val="right"/>
              <w:rPr>
                <w:rFonts w:ascii="Arial" w:hAnsi="Arial" w:cs="Arial"/>
                <w:sz w:val="20"/>
                <w:szCs w:val="20"/>
              </w:rPr>
            </w:pPr>
            <w:r>
              <w:rPr>
                <w:rFonts w:ascii="Arial" w:hAnsi="Arial" w:cs="Arial"/>
                <w:sz w:val="20"/>
                <w:szCs w:val="20"/>
              </w:rPr>
              <w:t>4</w:t>
            </w:r>
          </w:p>
        </w:tc>
        <w:tc>
          <w:tcPr>
            <w:tcW w:w="955" w:type="dxa"/>
            <w:shd w:val="clear" w:color="auto" w:fill="auto"/>
            <w:vAlign w:val="center"/>
          </w:tcPr>
          <w:p w:rsidR="00D05599" w:rsidRPr="00DE475B" w:rsidRDefault="00D05599" w:rsidP="00A2292F">
            <w:pPr>
              <w:jc w:val="right"/>
              <w:rPr>
                <w:rFonts w:ascii="Arial" w:hAnsi="Arial" w:cs="Arial"/>
                <w:sz w:val="20"/>
                <w:szCs w:val="20"/>
              </w:rPr>
            </w:pPr>
            <w:r w:rsidRPr="00DE475B">
              <w:rPr>
                <w:rFonts w:ascii="Arial" w:hAnsi="Arial" w:cs="Arial"/>
                <w:sz w:val="20"/>
                <w:szCs w:val="20"/>
              </w:rPr>
              <w:t>4</w:t>
            </w:r>
          </w:p>
        </w:tc>
      </w:tr>
      <w:tr w:rsidR="00D05599" w:rsidRPr="00DE475B" w:rsidTr="008D7D3A">
        <w:trPr>
          <w:trHeight w:val="340"/>
        </w:trPr>
        <w:tc>
          <w:tcPr>
            <w:tcW w:w="505" w:type="dxa"/>
            <w:shd w:val="clear" w:color="auto" w:fill="auto"/>
            <w:vAlign w:val="bottom"/>
          </w:tcPr>
          <w:p w:rsidR="00D05599" w:rsidRPr="00DE475B" w:rsidRDefault="00D05599" w:rsidP="00206538">
            <w:pPr>
              <w:snapToGrid w:val="0"/>
              <w:rPr>
                <w:rFonts w:ascii="Arial" w:hAnsi="Arial" w:cs="Arial"/>
                <w:i/>
                <w:iCs/>
                <w:sz w:val="20"/>
                <w:szCs w:val="20"/>
              </w:rPr>
            </w:pPr>
          </w:p>
        </w:tc>
        <w:tc>
          <w:tcPr>
            <w:tcW w:w="4464" w:type="dxa"/>
            <w:gridSpan w:val="2"/>
            <w:shd w:val="clear" w:color="auto" w:fill="auto"/>
            <w:vAlign w:val="bottom"/>
          </w:tcPr>
          <w:p w:rsidR="00D05599" w:rsidRPr="00DE475B" w:rsidRDefault="00D05599" w:rsidP="00206538">
            <w:pPr>
              <w:rPr>
                <w:rFonts w:ascii="Arial" w:hAnsi="Arial" w:cs="Arial"/>
                <w:sz w:val="20"/>
                <w:szCs w:val="20"/>
              </w:rPr>
            </w:pPr>
            <w:r w:rsidRPr="00DE475B">
              <w:rPr>
                <w:rFonts w:ascii="Arial" w:hAnsi="Arial" w:cs="Arial"/>
                <w:sz w:val="20"/>
                <w:szCs w:val="20"/>
              </w:rPr>
              <w:t>Less: Accumulated amortisation</w:t>
            </w:r>
          </w:p>
        </w:tc>
        <w:tc>
          <w:tcPr>
            <w:tcW w:w="955" w:type="dxa"/>
            <w:shd w:val="clear" w:color="auto" w:fill="auto"/>
            <w:vAlign w:val="center"/>
          </w:tcPr>
          <w:p w:rsidR="00D05599" w:rsidRPr="00DE475B" w:rsidRDefault="00D05599" w:rsidP="00206538">
            <w:pPr>
              <w:jc w:val="right"/>
              <w:rPr>
                <w:rFonts w:ascii="Arial" w:hAnsi="Arial" w:cs="Arial"/>
                <w:sz w:val="20"/>
                <w:szCs w:val="20"/>
              </w:rPr>
            </w:pPr>
            <w:r>
              <w:rPr>
                <w:rFonts w:ascii="Arial" w:hAnsi="Arial" w:cs="Arial"/>
                <w:sz w:val="20"/>
                <w:szCs w:val="20"/>
              </w:rPr>
              <w:t>(1)</w:t>
            </w:r>
          </w:p>
        </w:tc>
        <w:tc>
          <w:tcPr>
            <w:tcW w:w="955" w:type="dxa"/>
            <w:shd w:val="clear" w:color="auto" w:fill="auto"/>
            <w:vAlign w:val="center"/>
          </w:tcPr>
          <w:p w:rsidR="00D05599" w:rsidRPr="00DE475B" w:rsidRDefault="00D05599" w:rsidP="00A2292F">
            <w:pPr>
              <w:jc w:val="right"/>
              <w:rPr>
                <w:rFonts w:ascii="Arial" w:hAnsi="Arial" w:cs="Arial"/>
                <w:sz w:val="20"/>
                <w:szCs w:val="20"/>
              </w:rPr>
            </w:pPr>
            <w:r w:rsidRPr="00DE475B">
              <w:rPr>
                <w:rFonts w:ascii="Arial" w:hAnsi="Arial" w:cs="Arial"/>
                <w:sz w:val="20"/>
                <w:szCs w:val="20"/>
              </w:rPr>
              <w:t>-</w:t>
            </w:r>
          </w:p>
        </w:tc>
        <w:tc>
          <w:tcPr>
            <w:tcW w:w="955" w:type="dxa"/>
            <w:shd w:val="clear" w:color="auto" w:fill="auto"/>
            <w:vAlign w:val="center"/>
          </w:tcPr>
          <w:p w:rsidR="00D05599" w:rsidRPr="00DE475B" w:rsidRDefault="00D05599" w:rsidP="00652F6C">
            <w:pPr>
              <w:jc w:val="right"/>
              <w:rPr>
                <w:rFonts w:ascii="Arial" w:hAnsi="Arial" w:cs="Arial"/>
                <w:sz w:val="20"/>
                <w:szCs w:val="20"/>
              </w:rPr>
            </w:pPr>
            <w:r>
              <w:rPr>
                <w:rFonts w:ascii="Arial" w:hAnsi="Arial" w:cs="Arial"/>
                <w:sz w:val="20"/>
                <w:szCs w:val="20"/>
              </w:rPr>
              <w:t>(1)</w:t>
            </w:r>
          </w:p>
        </w:tc>
        <w:tc>
          <w:tcPr>
            <w:tcW w:w="955" w:type="dxa"/>
            <w:shd w:val="clear" w:color="auto" w:fill="auto"/>
            <w:vAlign w:val="center"/>
          </w:tcPr>
          <w:p w:rsidR="00D05599" w:rsidRPr="00DE475B" w:rsidRDefault="00D05599" w:rsidP="00A2292F">
            <w:pPr>
              <w:jc w:val="right"/>
              <w:rPr>
                <w:rFonts w:ascii="Arial" w:hAnsi="Arial" w:cs="Arial"/>
                <w:sz w:val="20"/>
                <w:szCs w:val="20"/>
              </w:rPr>
            </w:pPr>
            <w:r w:rsidRPr="00DE475B">
              <w:rPr>
                <w:rFonts w:ascii="Arial" w:hAnsi="Arial" w:cs="Arial"/>
                <w:sz w:val="20"/>
                <w:szCs w:val="20"/>
              </w:rPr>
              <w:t>-</w:t>
            </w:r>
          </w:p>
        </w:tc>
      </w:tr>
      <w:tr w:rsidR="00D05599" w:rsidRPr="00DE475B" w:rsidTr="008D7D3A">
        <w:trPr>
          <w:trHeight w:val="340"/>
        </w:trPr>
        <w:tc>
          <w:tcPr>
            <w:tcW w:w="4969" w:type="dxa"/>
            <w:gridSpan w:val="3"/>
            <w:shd w:val="clear" w:color="auto" w:fill="auto"/>
            <w:vAlign w:val="bottom"/>
          </w:tcPr>
          <w:p w:rsidR="00D05599" w:rsidRPr="00DE475B" w:rsidRDefault="00D05599" w:rsidP="00206538">
            <w:pPr>
              <w:rPr>
                <w:rFonts w:ascii="Arial" w:hAnsi="Arial" w:cs="Arial"/>
                <w:sz w:val="20"/>
                <w:szCs w:val="20"/>
              </w:rPr>
            </w:pPr>
            <w:r w:rsidRPr="00DE475B">
              <w:rPr>
                <w:rFonts w:ascii="Arial" w:hAnsi="Arial" w:cs="Arial"/>
                <w:b/>
                <w:bCs/>
                <w:sz w:val="20"/>
                <w:szCs w:val="20"/>
              </w:rPr>
              <w:t>Total</w:t>
            </w:r>
          </w:p>
        </w:tc>
        <w:tc>
          <w:tcPr>
            <w:tcW w:w="955" w:type="dxa"/>
            <w:tcBorders>
              <w:top w:val="single" w:sz="8" w:space="0" w:color="000000"/>
              <w:bottom w:val="single" w:sz="12" w:space="0" w:color="000000"/>
            </w:tcBorders>
            <w:shd w:val="clear" w:color="auto" w:fill="auto"/>
            <w:vAlign w:val="center"/>
          </w:tcPr>
          <w:p w:rsidR="00D05599" w:rsidRPr="00DE475B" w:rsidRDefault="00D05599" w:rsidP="00206538">
            <w:pPr>
              <w:jc w:val="right"/>
              <w:rPr>
                <w:rFonts w:ascii="Arial" w:hAnsi="Arial" w:cs="Arial"/>
                <w:b/>
                <w:sz w:val="20"/>
                <w:szCs w:val="20"/>
              </w:rPr>
            </w:pPr>
            <w:r>
              <w:rPr>
                <w:rFonts w:ascii="Arial" w:hAnsi="Arial" w:cs="Arial"/>
                <w:b/>
                <w:sz w:val="20"/>
                <w:szCs w:val="20"/>
              </w:rPr>
              <w:t>8,585</w:t>
            </w:r>
          </w:p>
        </w:tc>
        <w:tc>
          <w:tcPr>
            <w:tcW w:w="955" w:type="dxa"/>
            <w:tcBorders>
              <w:top w:val="single" w:sz="8" w:space="0" w:color="000000"/>
              <w:bottom w:val="single" w:sz="12" w:space="0" w:color="000000"/>
            </w:tcBorders>
            <w:shd w:val="clear" w:color="auto" w:fill="auto"/>
            <w:vAlign w:val="center"/>
          </w:tcPr>
          <w:p w:rsidR="00D05599" w:rsidRPr="00DE475B" w:rsidRDefault="00D05599" w:rsidP="00A2292F">
            <w:pPr>
              <w:jc w:val="right"/>
              <w:rPr>
                <w:rFonts w:ascii="Arial" w:hAnsi="Arial" w:cs="Arial"/>
                <w:b/>
                <w:sz w:val="20"/>
                <w:szCs w:val="20"/>
              </w:rPr>
            </w:pPr>
            <w:r w:rsidRPr="00DE475B">
              <w:rPr>
                <w:rFonts w:ascii="Arial" w:hAnsi="Arial" w:cs="Arial"/>
                <w:b/>
                <w:bCs/>
                <w:sz w:val="20"/>
                <w:szCs w:val="20"/>
              </w:rPr>
              <w:t>7,663</w:t>
            </w:r>
          </w:p>
        </w:tc>
        <w:tc>
          <w:tcPr>
            <w:tcW w:w="955" w:type="dxa"/>
            <w:tcBorders>
              <w:top w:val="single" w:sz="8" w:space="0" w:color="000000"/>
              <w:bottom w:val="single" w:sz="12" w:space="0" w:color="000000"/>
            </w:tcBorders>
            <w:shd w:val="clear" w:color="auto" w:fill="auto"/>
            <w:vAlign w:val="center"/>
          </w:tcPr>
          <w:p w:rsidR="00D05599" w:rsidRPr="00D05599" w:rsidRDefault="00D05599" w:rsidP="00A2292F">
            <w:pPr>
              <w:jc w:val="right"/>
              <w:rPr>
                <w:rFonts w:ascii="Arial" w:hAnsi="Arial" w:cs="Arial"/>
                <w:b/>
                <w:sz w:val="20"/>
                <w:szCs w:val="20"/>
              </w:rPr>
            </w:pPr>
            <w:r w:rsidRPr="00D05599">
              <w:rPr>
                <w:rFonts w:ascii="Arial" w:hAnsi="Arial" w:cs="Arial"/>
                <w:b/>
                <w:sz w:val="20"/>
                <w:szCs w:val="20"/>
              </w:rPr>
              <w:t>8,585</w:t>
            </w:r>
          </w:p>
        </w:tc>
        <w:tc>
          <w:tcPr>
            <w:tcW w:w="955" w:type="dxa"/>
            <w:tcBorders>
              <w:top w:val="single" w:sz="8" w:space="0" w:color="000000"/>
              <w:bottom w:val="single" w:sz="12" w:space="0" w:color="000000"/>
            </w:tcBorders>
            <w:shd w:val="clear" w:color="auto" w:fill="auto"/>
            <w:vAlign w:val="center"/>
          </w:tcPr>
          <w:p w:rsidR="00D05599" w:rsidRPr="00DE475B" w:rsidRDefault="00D05599" w:rsidP="00A2292F">
            <w:pPr>
              <w:jc w:val="right"/>
              <w:rPr>
                <w:rFonts w:ascii="Arial" w:hAnsi="Arial" w:cs="Arial"/>
                <w:b/>
                <w:sz w:val="20"/>
                <w:szCs w:val="20"/>
              </w:rPr>
            </w:pPr>
            <w:r w:rsidRPr="00DE475B">
              <w:rPr>
                <w:rFonts w:ascii="Arial" w:hAnsi="Arial" w:cs="Arial"/>
                <w:b/>
                <w:bCs/>
                <w:sz w:val="20"/>
                <w:szCs w:val="20"/>
              </w:rPr>
              <w:t>7,663</w:t>
            </w:r>
          </w:p>
        </w:tc>
      </w:tr>
      <w:tr w:rsidR="00D05599" w:rsidRPr="00DE475B" w:rsidTr="008D7D3A">
        <w:trPr>
          <w:trHeight w:val="340"/>
        </w:trPr>
        <w:tc>
          <w:tcPr>
            <w:tcW w:w="4969" w:type="dxa"/>
            <w:gridSpan w:val="3"/>
            <w:shd w:val="clear" w:color="auto" w:fill="auto"/>
            <w:vAlign w:val="bottom"/>
          </w:tcPr>
          <w:p w:rsidR="00D05599" w:rsidRPr="00DE475B" w:rsidRDefault="00D05599" w:rsidP="00206538">
            <w:pPr>
              <w:snapToGrid w:val="0"/>
              <w:rPr>
                <w:rFonts w:ascii="Arial" w:hAnsi="Arial" w:cs="Arial"/>
                <w:sz w:val="12"/>
                <w:szCs w:val="12"/>
              </w:rPr>
            </w:pPr>
          </w:p>
        </w:tc>
        <w:tc>
          <w:tcPr>
            <w:tcW w:w="955" w:type="dxa"/>
            <w:tcBorders>
              <w:top w:val="single" w:sz="12" w:space="0" w:color="000000"/>
            </w:tcBorders>
            <w:shd w:val="clear" w:color="auto" w:fill="auto"/>
            <w:vAlign w:val="center"/>
          </w:tcPr>
          <w:p w:rsidR="00D05599" w:rsidRPr="00DE475B" w:rsidRDefault="00D05599" w:rsidP="00206538">
            <w:pPr>
              <w:snapToGrid w:val="0"/>
              <w:jc w:val="right"/>
              <w:rPr>
                <w:rFonts w:ascii="Arial" w:hAnsi="Arial" w:cs="Arial"/>
                <w:sz w:val="12"/>
                <w:szCs w:val="12"/>
              </w:rPr>
            </w:pPr>
          </w:p>
        </w:tc>
        <w:tc>
          <w:tcPr>
            <w:tcW w:w="955" w:type="dxa"/>
            <w:tcBorders>
              <w:top w:val="single" w:sz="12" w:space="0" w:color="000000"/>
            </w:tcBorders>
            <w:shd w:val="clear" w:color="auto" w:fill="auto"/>
            <w:vAlign w:val="center"/>
          </w:tcPr>
          <w:p w:rsidR="00D05599" w:rsidRPr="00DE475B" w:rsidRDefault="00D05599" w:rsidP="00206538">
            <w:pPr>
              <w:snapToGrid w:val="0"/>
              <w:jc w:val="right"/>
              <w:rPr>
                <w:rFonts w:ascii="Arial" w:hAnsi="Arial" w:cs="Arial"/>
                <w:sz w:val="12"/>
                <w:szCs w:val="12"/>
              </w:rPr>
            </w:pPr>
          </w:p>
        </w:tc>
        <w:tc>
          <w:tcPr>
            <w:tcW w:w="955" w:type="dxa"/>
            <w:tcBorders>
              <w:top w:val="single" w:sz="12" w:space="0" w:color="000000"/>
            </w:tcBorders>
            <w:shd w:val="clear" w:color="auto" w:fill="auto"/>
            <w:vAlign w:val="center"/>
          </w:tcPr>
          <w:p w:rsidR="00D05599" w:rsidRPr="00DE475B" w:rsidRDefault="00D05599" w:rsidP="00206538">
            <w:pPr>
              <w:snapToGrid w:val="0"/>
              <w:jc w:val="right"/>
              <w:rPr>
                <w:rFonts w:ascii="Arial" w:hAnsi="Arial" w:cs="Arial"/>
                <w:sz w:val="12"/>
                <w:szCs w:val="12"/>
              </w:rPr>
            </w:pPr>
          </w:p>
        </w:tc>
        <w:tc>
          <w:tcPr>
            <w:tcW w:w="955" w:type="dxa"/>
            <w:tcBorders>
              <w:top w:val="single" w:sz="12" w:space="0" w:color="000000"/>
            </w:tcBorders>
            <w:shd w:val="clear" w:color="auto" w:fill="auto"/>
            <w:vAlign w:val="center"/>
          </w:tcPr>
          <w:p w:rsidR="00D05599" w:rsidRPr="00DE475B" w:rsidRDefault="00D05599" w:rsidP="00206538">
            <w:pPr>
              <w:snapToGrid w:val="0"/>
              <w:jc w:val="right"/>
              <w:rPr>
                <w:rFonts w:ascii="Arial" w:hAnsi="Arial" w:cs="Arial"/>
                <w:sz w:val="12"/>
                <w:szCs w:val="12"/>
              </w:rPr>
            </w:pPr>
          </w:p>
        </w:tc>
      </w:tr>
      <w:tr w:rsidR="00D05599" w:rsidRPr="00DE475B" w:rsidTr="008D7D3A">
        <w:trPr>
          <w:trHeight w:val="340"/>
        </w:trPr>
        <w:tc>
          <w:tcPr>
            <w:tcW w:w="4969" w:type="dxa"/>
            <w:gridSpan w:val="3"/>
            <w:shd w:val="clear" w:color="auto" w:fill="auto"/>
            <w:vAlign w:val="bottom"/>
          </w:tcPr>
          <w:p w:rsidR="00D05599" w:rsidRPr="00DE475B" w:rsidRDefault="00D05599" w:rsidP="00206538">
            <w:pPr>
              <w:rPr>
                <w:rFonts w:ascii="Arial" w:hAnsi="Arial" w:cs="Arial"/>
                <w:i/>
                <w:sz w:val="20"/>
                <w:szCs w:val="20"/>
              </w:rPr>
            </w:pPr>
            <w:r w:rsidRPr="00DE475B">
              <w:rPr>
                <w:rFonts w:ascii="Arial" w:hAnsi="Arial" w:cs="Arial"/>
                <w:b/>
                <w:bCs/>
                <w:i/>
                <w:sz w:val="20"/>
                <w:szCs w:val="20"/>
              </w:rPr>
              <w:t>Intangibles reconciliation</w:t>
            </w:r>
          </w:p>
        </w:tc>
        <w:tc>
          <w:tcPr>
            <w:tcW w:w="955" w:type="dxa"/>
            <w:shd w:val="clear" w:color="auto" w:fill="auto"/>
            <w:vAlign w:val="center"/>
          </w:tcPr>
          <w:p w:rsidR="00D05599" w:rsidRPr="00DE475B" w:rsidRDefault="00D05599" w:rsidP="00206538">
            <w:pPr>
              <w:snapToGrid w:val="0"/>
              <w:jc w:val="right"/>
              <w:rPr>
                <w:rFonts w:ascii="Arial" w:hAnsi="Arial" w:cs="Arial"/>
                <w:sz w:val="20"/>
                <w:szCs w:val="20"/>
              </w:rPr>
            </w:pPr>
          </w:p>
        </w:tc>
        <w:tc>
          <w:tcPr>
            <w:tcW w:w="955" w:type="dxa"/>
            <w:shd w:val="clear" w:color="auto" w:fill="auto"/>
            <w:vAlign w:val="center"/>
          </w:tcPr>
          <w:p w:rsidR="00D05599" w:rsidRPr="00DE475B" w:rsidRDefault="00D05599" w:rsidP="00206538">
            <w:pPr>
              <w:snapToGrid w:val="0"/>
              <w:jc w:val="right"/>
              <w:rPr>
                <w:rFonts w:ascii="Arial" w:hAnsi="Arial" w:cs="Arial"/>
                <w:sz w:val="20"/>
                <w:szCs w:val="20"/>
              </w:rPr>
            </w:pPr>
          </w:p>
        </w:tc>
        <w:tc>
          <w:tcPr>
            <w:tcW w:w="955" w:type="dxa"/>
            <w:shd w:val="clear" w:color="auto" w:fill="auto"/>
            <w:vAlign w:val="center"/>
          </w:tcPr>
          <w:p w:rsidR="00D05599" w:rsidRPr="00DE475B" w:rsidRDefault="00D05599" w:rsidP="00206538">
            <w:pPr>
              <w:snapToGrid w:val="0"/>
              <w:jc w:val="right"/>
              <w:rPr>
                <w:rFonts w:ascii="Arial" w:hAnsi="Arial" w:cs="Arial"/>
                <w:sz w:val="20"/>
                <w:szCs w:val="20"/>
              </w:rPr>
            </w:pPr>
          </w:p>
        </w:tc>
        <w:tc>
          <w:tcPr>
            <w:tcW w:w="955" w:type="dxa"/>
            <w:shd w:val="clear" w:color="auto" w:fill="auto"/>
            <w:vAlign w:val="center"/>
          </w:tcPr>
          <w:p w:rsidR="00D05599" w:rsidRPr="00DE475B" w:rsidRDefault="00D05599" w:rsidP="00206538">
            <w:pPr>
              <w:snapToGrid w:val="0"/>
              <w:jc w:val="right"/>
              <w:rPr>
                <w:rFonts w:ascii="Arial" w:hAnsi="Arial" w:cs="Arial"/>
                <w:sz w:val="20"/>
                <w:szCs w:val="20"/>
              </w:rPr>
            </w:pPr>
          </w:p>
        </w:tc>
      </w:tr>
      <w:tr w:rsidR="00D05599" w:rsidRPr="00DE475B" w:rsidTr="008D7D3A">
        <w:trPr>
          <w:trHeight w:val="340"/>
        </w:trPr>
        <w:tc>
          <w:tcPr>
            <w:tcW w:w="4969" w:type="dxa"/>
            <w:gridSpan w:val="3"/>
            <w:shd w:val="clear" w:color="auto" w:fill="auto"/>
            <w:vAlign w:val="bottom"/>
          </w:tcPr>
          <w:p w:rsidR="00D05599" w:rsidRPr="00DE475B" w:rsidRDefault="00D05599" w:rsidP="00206538">
            <w:pPr>
              <w:rPr>
                <w:rFonts w:ascii="Arial" w:hAnsi="Arial" w:cs="Arial"/>
                <w:b/>
                <w:sz w:val="20"/>
                <w:szCs w:val="20"/>
              </w:rPr>
            </w:pPr>
            <w:r w:rsidRPr="00DE475B">
              <w:rPr>
                <w:rFonts w:ascii="Arial" w:hAnsi="Arial" w:cs="Arial"/>
                <w:b/>
                <w:sz w:val="20"/>
                <w:szCs w:val="20"/>
              </w:rPr>
              <w:t>Computer software</w:t>
            </w:r>
          </w:p>
        </w:tc>
        <w:tc>
          <w:tcPr>
            <w:tcW w:w="955" w:type="dxa"/>
            <w:shd w:val="clear" w:color="auto" w:fill="auto"/>
            <w:vAlign w:val="center"/>
          </w:tcPr>
          <w:p w:rsidR="00D05599" w:rsidRPr="00DE475B" w:rsidRDefault="00D05599" w:rsidP="00206538">
            <w:pPr>
              <w:snapToGrid w:val="0"/>
              <w:jc w:val="right"/>
              <w:rPr>
                <w:rFonts w:ascii="Arial" w:hAnsi="Arial" w:cs="Arial"/>
                <w:sz w:val="20"/>
                <w:szCs w:val="20"/>
              </w:rPr>
            </w:pPr>
          </w:p>
        </w:tc>
        <w:tc>
          <w:tcPr>
            <w:tcW w:w="955" w:type="dxa"/>
            <w:shd w:val="clear" w:color="auto" w:fill="auto"/>
            <w:vAlign w:val="center"/>
          </w:tcPr>
          <w:p w:rsidR="00D05599" w:rsidRPr="00DE475B" w:rsidRDefault="00D05599" w:rsidP="00206538">
            <w:pPr>
              <w:snapToGrid w:val="0"/>
              <w:jc w:val="right"/>
              <w:rPr>
                <w:rFonts w:ascii="Arial" w:hAnsi="Arial" w:cs="Arial"/>
                <w:sz w:val="20"/>
                <w:szCs w:val="20"/>
              </w:rPr>
            </w:pPr>
          </w:p>
        </w:tc>
        <w:tc>
          <w:tcPr>
            <w:tcW w:w="955" w:type="dxa"/>
            <w:shd w:val="clear" w:color="auto" w:fill="auto"/>
            <w:vAlign w:val="center"/>
          </w:tcPr>
          <w:p w:rsidR="00D05599" w:rsidRPr="00DE475B" w:rsidRDefault="00D05599" w:rsidP="00206538">
            <w:pPr>
              <w:snapToGrid w:val="0"/>
              <w:jc w:val="right"/>
              <w:rPr>
                <w:rFonts w:ascii="Arial" w:hAnsi="Arial" w:cs="Arial"/>
                <w:sz w:val="20"/>
                <w:szCs w:val="20"/>
              </w:rPr>
            </w:pPr>
          </w:p>
        </w:tc>
        <w:tc>
          <w:tcPr>
            <w:tcW w:w="955" w:type="dxa"/>
            <w:shd w:val="clear" w:color="auto" w:fill="auto"/>
            <w:vAlign w:val="center"/>
          </w:tcPr>
          <w:p w:rsidR="00D05599" w:rsidRPr="00DE475B" w:rsidRDefault="00D05599" w:rsidP="00206538">
            <w:pPr>
              <w:snapToGrid w:val="0"/>
              <w:jc w:val="right"/>
              <w:rPr>
                <w:rFonts w:ascii="Arial" w:hAnsi="Arial" w:cs="Arial"/>
                <w:sz w:val="20"/>
                <w:szCs w:val="20"/>
              </w:rPr>
            </w:pPr>
          </w:p>
        </w:tc>
      </w:tr>
      <w:tr w:rsidR="00D05599" w:rsidRPr="00DE475B" w:rsidTr="008D7D3A">
        <w:trPr>
          <w:trHeight w:val="340"/>
        </w:trPr>
        <w:tc>
          <w:tcPr>
            <w:tcW w:w="505" w:type="dxa"/>
            <w:shd w:val="clear" w:color="auto" w:fill="auto"/>
            <w:vAlign w:val="bottom"/>
          </w:tcPr>
          <w:p w:rsidR="00D05599" w:rsidRPr="00DE475B" w:rsidRDefault="00D05599" w:rsidP="00206538">
            <w:pPr>
              <w:snapToGrid w:val="0"/>
              <w:rPr>
                <w:rFonts w:ascii="Arial" w:hAnsi="Arial" w:cs="Arial"/>
                <w:sz w:val="20"/>
                <w:szCs w:val="20"/>
              </w:rPr>
            </w:pPr>
          </w:p>
        </w:tc>
        <w:tc>
          <w:tcPr>
            <w:tcW w:w="4464" w:type="dxa"/>
            <w:gridSpan w:val="2"/>
            <w:shd w:val="clear" w:color="auto" w:fill="auto"/>
            <w:vAlign w:val="bottom"/>
          </w:tcPr>
          <w:p w:rsidR="00D05599" w:rsidRPr="00DE475B" w:rsidRDefault="00D05599" w:rsidP="00206538">
            <w:pPr>
              <w:rPr>
                <w:rFonts w:ascii="Arial" w:hAnsi="Arial" w:cs="Arial"/>
                <w:sz w:val="20"/>
                <w:szCs w:val="20"/>
              </w:rPr>
            </w:pPr>
            <w:r w:rsidRPr="00DE475B">
              <w:rPr>
                <w:rFonts w:ascii="Arial" w:hAnsi="Arial" w:cs="Arial"/>
                <w:sz w:val="20"/>
                <w:szCs w:val="20"/>
              </w:rPr>
              <w:t>Carrying amount at 1 July</w:t>
            </w:r>
          </w:p>
        </w:tc>
        <w:tc>
          <w:tcPr>
            <w:tcW w:w="955" w:type="dxa"/>
            <w:shd w:val="clear" w:color="auto" w:fill="auto"/>
            <w:vAlign w:val="center"/>
          </w:tcPr>
          <w:p w:rsidR="00D05599" w:rsidRPr="00DE475B" w:rsidRDefault="00D05599" w:rsidP="00206538">
            <w:pPr>
              <w:jc w:val="right"/>
              <w:rPr>
                <w:rFonts w:ascii="Arial" w:hAnsi="Arial" w:cs="Arial"/>
                <w:sz w:val="20"/>
                <w:szCs w:val="20"/>
              </w:rPr>
            </w:pPr>
            <w:r>
              <w:rPr>
                <w:rFonts w:ascii="Arial" w:hAnsi="Arial" w:cs="Arial"/>
                <w:sz w:val="20"/>
                <w:szCs w:val="20"/>
              </w:rPr>
              <w:t>4</w:t>
            </w:r>
          </w:p>
        </w:tc>
        <w:tc>
          <w:tcPr>
            <w:tcW w:w="955" w:type="dxa"/>
            <w:shd w:val="clear" w:color="auto" w:fill="auto"/>
            <w:vAlign w:val="center"/>
          </w:tcPr>
          <w:p w:rsidR="00D05599" w:rsidRPr="00DE475B" w:rsidRDefault="00D05599" w:rsidP="00A2292F">
            <w:pPr>
              <w:jc w:val="right"/>
              <w:rPr>
                <w:rFonts w:ascii="Arial" w:hAnsi="Arial" w:cs="Arial"/>
                <w:sz w:val="20"/>
                <w:szCs w:val="20"/>
              </w:rPr>
            </w:pPr>
            <w:r w:rsidRPr="00DE475B">
              <w:rPr>
                <w:rFonts w:ascii="Arial" w:hAnsi="Arial" w:cs="Arial"/>
                <w:sz w:val="20"/>
                <w:szCs w:val="20"/>
              </w:rPr>
              <w:t>4</w:t>
            </w:r>
          </w:p>
        </w:tc>
        <w:tc>
          <w:tcPr>
            <w:tcW w:w="955" w:type="dxa"/>
            <w:shd w:val="clear" w:color="auto" w:fill="auto"/>
            <w:vAlign w:val="center"/>
          </w:tcPr>
          <w:p w:rsidR="00D05599" w:rsidRPr="00DE475B" w:rsidRDefault="00D05599" w:rsidP="00A2292F">
            <w:pPr>
              <w:jc w:val="right"/>
              <w:rPr>
                <w:rFonts w:ascii="Arial" w:hAnsi="Arial" w:cs="Arial"/>
                <w:sz w:val="20"/>
                <w:szCs w:val="20"/>
              </w:rPr>
            </w:pPr>
            <w:r>
              <w:rPr>
                <w:rFonts w:ascii="Arial" w:hAnsi="Arial" w:cs="Arial"/>
                <w:sz w:val="20"/>
                <w:szCs w:val="20"/>
              </w:rPr>
              <w:t>4</w:t>
            </w:r>
          </w:p>
        </w:tc>
        <w:tc>
          <w:tcPr>
            <w:tcW w:w="955" w:type="dxa"/>
            <w:shd w:val="clear" w:color="auto" w:fill="auto"/>
            <w:vAlign w:val="center"/>
          </w:tcPr>
          <w:p w:rsidR="00D05599" w:rsidRPr="00DE475B" w:rsidRDefault="00D05599" w:rsidP="00A2292F">
            <w:pPr>
              <w:jc w:val="right"/>
              <w:rPr>
                <w:rFonts w:ascii="Arial" w:hAnsi="Arial" w:cs="Arial"/>
                <w:sz w:val="20"/>
                <w:szCs w:val="20"/>
              </w:rPr>
            </w:pPr>
            <w:r w:rsidRPr="00DE475B">
              <w:rPr>
                <w:rFonts w:ascii="Arial" w:hAnsi="Arial" w:cs="Arial"/>
                <w:sz w:val="20"/>
                <w:szCs w:val="20"/>
              </w:rPr>
              <w:t>4</w:t>
            </w:r>
          </w:p>
        </w:tc>
      </w:tr>
      <w:tr w:rsidR="00D05599" w:rsidRPr="00DE475B" w:rsidTr="008D7D3A">
        <w:trPr>
          <w:trHeight w:val="340"/>
        </w:trPr>
        <w:tc>
          <w:tcPr>
            <w:tcW w:w="505" w:type="dxa"/>
            <w:shd w:val="clear" w:color="auto" w:fill="auto"/>
            <w:vAlign w:val="bottom"/>
          </w:tcPr>
          <w:p w:rsidR="00D05599" w:rsidRPr="00DE475B" w:rsidRDefault="00D05599" w:rsidP="00206538">
            <w:pPr>
              <w:snapToGrid w:val="0"/>
              <w:rPr>
                <w:rFonts w:ascii="Arial" w:hAnsi="Arial" w:cs="Arial"/>
                <w:sz w:val="20"/>
                <w:szCs w:val="20"/>
              </w:rPr>
            </w:pPr>
          </w:p>
        </w:tc>
        <w:tc>
          <w:tcPr>
            <w:tcW w:w="4464" w:type="dxa"/>
            <w:gridSpan w:val="2"/>
            <w:shd w:val="clear" w:color="auto" w:fill="auto"/>
            <w:vAlign w:val="bottom"/>
          </w:tcPr>
          <w:p w:rsidR="00D05599" w:rsidRPr="00DE475B" w:rsidRDefault="00D05599" w:rsidP="00206538">
            <w:pPr>
              <w:rPr>
                <w:rFonts w:ascii="Arial" w:hAnsi="Arial" w:cs="Arial"/>
                <w:sz w:val="20"/>
                <w:szCs w:val="20"/>
              </w:rPr>
            </w:pPr>
            <w:r w:rsidRPr="00DE475B">
              <w:rPr>
                <w:rFonts w:ascii="Arial" w:hAnsi="Arial" w:cs="Arial"/>
                <w:sz w:val="20"/>
                <w:szCs w:val="20"/>
              </w:rPr>
              <w:t>Amortisation</w:t>
            </w:r>
          </w:p>
        </w:tc>
        <w:tc>
          <w:tcPr>
            <w:tcW w:w="955" w:type="dxa"/>
            <w:tcBorders>
              <w:bottom w:val="single" w:sz="8" w:space="0" w:color="000000"/>
            </w:tcBorders>
            <w:shd w:val="clear" w:color="auto" w:fill="auto"/>
            <w:vAlign w:val="center"/>
          </w:tcPr>
          <w:p w:rsidR="00D05599" w:rsidRPr="00DE475B" w:rsidRDefault="00D05599" w:rsidP="00206538">
            <w:pPr>
              <w:jc w:val="right"/>
              <w:rPr>
                <w:rFonts w:ascii="Arial" w:hAnsi="Arial" w:cs="Arial"/>
                <w:sz w:val="20"/>
                <w:szCs w:val="20"/>
              </w:rPr>
            </w:pPr>
            <w:r>
              <w:rPr>
                <w:rFonts w:ascii="Arial" w:hAnsi="Arial" w:cs="Arial"/>
                <w:sz w:val="20"/>
                <w:szCs w:val="20"/>
              </w:rPr>
              <w:t>(1)</w:t>
            </w:r>
          </w:p>
        </w:tc>
        <w:tc>
          <w:tcPr>
            <w:tcW w:w="955" w:type="dxa"/>
            <w:tcBorders>
              <w:bottom w:val="single" w:sz="8" w:space="0" w:color="000000"/>
            </w:tcBorders>
            <w:shd w:val="clear" w:color="auto" w:fill="auto"/>
            <w:vAlign w:val="center"/>
          </w:tcPr>
          <w:p w:rsidR="00D05599" w:rsidRPr="00DE475B" w:rsidRDefault="00D05599" w:rsidP="00A2292F">
            <w:pPr>
              <w:jc w:val="right"/>
              <w:rPr>
                <w:rFonts w:ascii="Arial" w:hAnsi="Arial" w:cs="Arial"/>
                <w:sz w:val="20"/>
                <w:szCs w:val="20"/>
              </w:rPr>
            </w:pPr>
            <w:r w:rsidRPr="00DE475B">
              <w:rPr>
                <w:rFonts w:ascii="Arial" w:hAnsi="Arial" w:cs="Arial"/>
                <w:sz w:val="20"/>
                <w:szCs w:val="20"/>
              </w:rPr>
              <w:t>-</w:t>
            </w:r>
          </w:p>
        </w:tc>
        <w:tc>
          <w:tcPr>
            <w:tcW w:w="955" w:type="dxa"/>
            <w:tcBorders>
              <w:bottom w:val="single" w:sz="8" w:space="0" w:color="000000"/>
            </w:tcBorders>
            <w:shd w:val="clear" w:color="auto" w:fill="auto"/>
            <w:vAlign w:val="center"/>
          </w:tcPr>
          <w:p w:rsidR="00D05599" w:rsidRPr="00DE475B" w:rsidRDefault="00D05599" w:rsidP="00A2292F">
            <w:pPr>
              <w:jc w:val="right"/>
              <w:rPr>
                <w:rFonts w:ascii="Arial" w:hAnsi="Arial" w:cs="Arial"/>
                <w:sz w:val="20"/>
                <w:szCs w:val="20"/>
              </w:rPr>
            </w:pPr>
            <w:r>
              <w:rPr>
                <w:rFonts w:ascii="Arial" w:hAnsi="Arial" w:cs="Arial"/>
                <w:sz w:val="20"/>
                <w:szCs w:val="20"/>
              </w:rPr>
              <w:t>(1)</w:t>
            </w:r>
          </w:p>
        </w:tc>
        <w:tc>
          <w:tcPr>
            <w:tcW w:w="955" w:type="dxa"/>
            <w:tcBorders>
              <w:bottom w:val="single" w:sz="8" w:space="0" w:color="000000"/>
            </w:tcBorders>
            <w:shd w:val="clear" w:color="auto" w:fill="auto"/>
            <w:vAlign w:val="center"/>
          </w:tcPr>
          <w:p w:rsidR="00D05599" w:rsidRPr="00DE475B" w:rsidRDefault="00D05599" w:rsidP="00A2292F">
            <w:pPr>
              <w:jc w:val="right"/>
              <w:rPr>
                <w:rFonts w:ascii="Arial" w:hAnsi="Arial" w:cs="Arial"/>
                <w:sz w:val="20"/>
                <w:szCs w:val="20"/>
              </w:rPr>
            </w:pPr>
            <w:r w:rsidRPr="00DE475B">
              <w:rPr>
                <w:rFonts w:ascii="Arial" w:hAnsi="Arial" w:cs="Arial"/>
                <w:sz w:val="20"/>
                <w:szCs w:val="20"/>
              </w:rPr>
              <w:t>-</w:t>
            </w:r>
          </w:p>
        </w:tc>
      </w:tr>
      <w:tr w:rsidR="00D05599" w:rsidRPr="00DE475B" w:rsidTr="008D7D3A">
        <w:trPr>
          <w:trHeight w:val="340"/>
        </w:trPr>
        <w:tc>
          <w:tcPr>
            <w:tcW w:w="4969" w:type="dxa"/>
            <w:gridSpan w:val="3"/>
            <w:shd w:val="clear" w:color="auto" w:fill="auto"/>
            <w:tcMar>
              <w:right w:w="0" w:type="dxa"/>
            </w:tcMar>
            <w:vAlign w:val="bottom"/>
          </w:tcPr>
          <w:p w:rsidR="00D05599" w:rsidRPr="00DE475B" w:rsidRDefault="00D05599" w:rsidP="00206538">
            <w:pPr>
              <w:snapToGrid w:val="0"/>
              <w:rPr>
                <w:rFonts w:ascii="Arial" w:hAnsi="Arial" w:cs="Arial"/>
                <w:b/>
                <w:sz w:val="20"/>
                <w:szCs w:val="20"/>
              </w:rPr>
            </w:pPr>
            <w:r w:rsidRPr="00DE475B">
              <w:rPr>
                <w:rFonts w:ascii="Arial" w:hAnsi="Arial" w:cs="Arial"/>
                <w:b/>
                <w:sz w:val="20"/>
                <w:szCs w:val="20"/>
              </w:rPr>
              <w:t>Computer software carrying amount as at 30 June</w:t>
            </w:r>
          </w:p>
        </w:tc>
        <w:tc>
          <w:tcPr>
            <w:tcW w:w="955" w:type="dxa"/>
            <w:tcBorders>
              <w:top w:val="single" w:sz="8" w:space="0" w:color="000000"/>
              <w:bottom w:val="single" w:sz="8" w:space="0" w:color="000000"/>
            </w:tcBorders>
            <w:shd w:val="clear" w:color="auto" w:fill="auto"/>
            <w:vAlign w:val="center"/>
          </w:tcPr>
          <w:p w:rsidR="00D05599" w:rsidRPr="00DE475B" w:rsidRDefault="00D05599" w:rsidP="00206538">
            <w:pPr>
              <w:jc w:val="right"/>
              <w:rPr>
                <w:rFonts w:ascii="Arial" w:hAnsi="Arial" w:cs="Arial"/>
                <w:b/>
                <w:bCs/>
                <w:sz w:val="20"/>
                <w:szCs w:val="20"/>
              </w:rPr>
            </w:pPr>
            <w:r>
              <w:rPr>
                <w:rFonts w:ascii="Arial" w:hAnsi="Arial" w:cs="Arial"/>
                <w:b/>
                <w:bCs/>
                <w:sz w:val="20"/>
                <w:szCs w:val="20"/>
              </w:rPr>
              <w:t>3</w:t>
            </w:r>
          </w:p>
        </w:tc>
        <w:tc>
          <w:tcPr>
            <w:tcW w:w="955" w:type="dxa"/>
            <w:tcBorders>
              <w:top w:val="single" w:sz="8" w:space="0" w:color="000000"/>
              <w:bottom w:val="single" w:sz="8" w:space="0" w:color="000000"/>
            </w:tcBorders>
            <w:shd w:val="clear" w:color="auto" w:fill="auto"/>
            <w:vAlign w:val="center"/>
          </w:tcPr>
          <w:p w:rsidR="00D05599" w:rsidRPr="00DE475B" w:rsidRDefault="00D05599" w:rsidP="00206538">
            <w:pPr>
              <w:jc w:val="right"/>
              <w:rPr>
                <w:rFonts w:ascii="Arial" w:hAnsi="Arial" w:cs="Arial"/>
                <w:b/>
                <w:bCs/>
                <w:sz w:val="20"/>
                <w:szCs w:val="20"/>
              </w:rPr>
            </w:pPr>
            <w:r w:rsidRPr="00DE475B">
              <w:rPr>
                <w:rFonts w:ascii="Arial" w:hAnsi="Arial" w:cs="Arial"/>
                <w:b/>
                <w:bCs/>
                <w:sz w:val="20"/>
                <w:szCs w:val="20"/>
              </w:rPr>
              <w:t xml:space="preserve">4 </w:t>
            </w:r>
          </w:p>
        </w:tc>
        <w:tc>
          <w:tcPr>
            <w:tcW w:w="955" w:type="dxa"/>
            <w:tcBorders>
              <w:top w:val="single" w:sz="8" w:space="0" w:color="000000"/>
              <w:bottom w:val="single" w:sz="8" w:space="0" w:color="000000"/>
            </w:tcBorders>
            <w:shd w:val="clear" w:color="auto" w:fill="auto"/>
            <w:vAlign w:val="center"/>
          </w:tcPr>
          <w:p w:rsidR="00D05599" w:rsidRPr="00DE475B" w:rsidRDefault="00D05599" w:rsidP="00206538">
            <w:pPr>
              <w:jc w:val="right"/>
              <w:rPr>
                <w:rFonts w:ascii="Arial" w:hAnsi="Arial" w:cs="Arial"/>
                <w:b/>
                <w:bCs/>
                <w:sz w:val="20"/>
                <w:szCs w:val="20"/>
              </w:rPr>
            </w:pPr>
            <w:r>
              <w:rPr>
                <w:rFonts w:ascii="Arial" w:hAnsi="Arial" w:cs="Arial"/>
                <w:b/>
                <w:bCs/>
                <w:sz w:val="20"/>
                <w:szCs w:val="20"/>
              </w:rPr>
              <w:t>3</w:t>
            </w:r>
          </w:p>
        </w:tc>
        <w:tc>
          <w:tcPr>
            <w:tcW w:w="955" w:type="dxa"/>
            <w:tcBorders>
              <w:top w:val="single" w:sz="8" w:space="0" w:color="000000"/>
              <w:bottom w:val="single" w:sz="8" w:space="0" w:color="000000"/>
            </w:tcBorders>
            <w:shd w:val="clear" w:color="auto" w:fill="auto"/>
            <w:vAlign w:val="center"/>
          </w:tcPr>
          <w:p w:rsidR="00D05599" w:rsidRPr="00DE475B" w:rsidRDefault="00D05599" w:rsidP="00206538">
            <w:pPr>
              <w:jc w:val="right"/>
              <w:rPr>
                <w:rFonts w:ascii="Arial" w:hAnsi="Arial" w:cs="Arial"/>
                <w:b/>
                <w:bCs/>
                <w:sz w:val="20"/>
                <w:szCs w:val="20"/>
              </w:rPr>
            </w:pPr>
            <w:r w:rsidRPr="00DE475B">
              <w:rPr>
                <w:rFonts w:ascii="Arial" w:hAnsi="Arial" w:cs="Arial"/>
                <w:b/>
                <w:bCs/>
                <w:sz w:val="20"/>
                <w:szCs w:val="20"/>
              </w:rPr>
              <w:t xml:space="preserve">4 </w:t>
            </w:r>
          </w:p>
        </w:tc>
      </w:tr>
      <w:tr w:rsidR="00D05599" w:rsidRPr="00DE475B" w:rsidTr="008D7D3A">
        <w:trPr>
          <w:trHeight w:val="340"/>
        </w:trPr>
        <w:tc>
          <w:tcPr>
            <w:tcW w:w="4969" w:type="dxa"/>
            <w:gridSpan w:val="3"/>
            <w:shd w:val="clear" w:color="auto" w:fill="auto"/>
            <w:vAlign w:val="bottom"/>
          </w:tcPr>
          <w:p w:rsidR="00D05599" w:rsidRPr="00DE475B" w:rsidRDefault="00D05599" w:rsidP="00206538">
            <w:pPr>
              <w:rPr>
                <w:rFonts w:ascii="Arial" w:hAnsi="Arial" w:cs="Arial"/>
                <w:sz w:val="12"/>
                <w:szCs w:val="12"/>
              </w:rPr>
            </w:pPr>
          </w:p>
        </w:tc>
        <w:tc>
          <w:tcPr>
            <w:tcW w:w="955" w:type="dxa"/>
            <w:shd w:val="clear" w:color="auto" w:fill="auto"/>
            <w:vAlign w:val="bottom"/>
          </w:tcPr>
          <w:p w:rsidR="00D05599" w:rsidRPr="00DE475B" w:rsidRDefault="00D05599" w:rsidP="00206538">
            <w:pPr>
              <w:snapToGrid w:val="0"/>
              <w:rPr>
                <w:rFonts w:ascii="Arial" w:hAnsi="Arial" w:cs="Arial"/>
                <w:sz w:val="12"/>
                <w:szCs w:val="12"/>
              </w:rPr>
            </w:pPr>
          </w:p>
        </w:tc>
        <w:tc>
          <w:tcPr>
            <w:tcW w:w="955" w:type="dxa"/>
            <w:tcBorders>
              <w:top w:val="single" w:sz="8" w:space="0" w:color="000000"/>
            </w:tcBorders>
            <w:shd w:val="clear" w:color="auto" w:fill="auto"/>
            <w:vAlign w:val="bottom"/>
          </w:tcPr>
          <w:p w:rsidR="00D05599" w:rsidRPr="00DE475B" w:rsidRDefault="00D05599" w:rsidP="00206538">
            <w:pPr>
              <w:snapToGrid w:val="0"/>
              <w:rPr>
                <w:rFonts w:ascii="Arial" w:hAnsi="Arial" w:cs="Arial"/>
                <w:sz w:val="12"/>
                <w:szCs w:val="12"/>
              </w:rPr>
            </w:pPr>
          </w:p>
        </w:tc>
        <w:tc>
          <w:tcPr>
            <w:tcW w:w="955" w:type="dxa"/>
            <w:shd w:val="clear" w:color="auto" w:fill="auto"/>
            <w:vAlign w:val="bottom"/>
          </w:tcPr>
          <w:p w:rsidR="00D05599" w:rsidRPr="00DE475B" w:rsidRDefault="00D05599" w:rsidP="00206538">
            <w:pPr>
              <w:snapToGrid w:val="0"/>
              <w:rPr>
                <w:rFonts w:ascii="Arial" w:hAnsi="Arial" w:cs="Arial"/>
                <w:sz w:val="12"/>
                <w:szCs w:val="12"/>
              </w:rPr>
            </w:pPr>
          </w:p>
        </w:tc>
        <w:tc>
          <w:tcPr>
            <w:tcW w:w="955" w:type="dxa"/>
            <w:shd w:val="clear" w:color="auto" w:fill="auto"/>
            <w:vAlign w:val="bottom"/>
          </w:tcPr>
          <w:p w:rsidR="00D05599" w:rsidRPr="00DE475B" w:rsidRDefault="00D05599" w:rsidP="00206538">
            <w:pPr>
              <w:snapToGrid w:val="0"/>
              <w:rPr>
                <w:rFonts w:ascii="Arial" w:hAnsi="Arial" w:cs="Arial"/>
                <w:sz w:val="12"/>
                <w:szCs w:val="12"/>
              </w:rPr>
            </w:pPr>
          </w:p>
        </w:tc>
      </w:tr>
      <w:tr w:rsidR="00D05599" w:rsidRPr="00DE475B" w:rsidTr="008D7D3A">
        <w:trPr>
          <w:trHeight w:val="340"/>
        </w:trPr>
        <w:tc>
          <w:tcPr>
            <w:tcW w:w="4969" w:type="dxa"/>
            <w:gridSpan w:val="3"/>
            <w:shd w:val="clear" w:color="auto" w:fill="auto"/>
            <w:vAlign w:val="bottom"/>
          </w:tcPr>
          <w:p w:rsidR="00D05599" w:rsidRPr="00DE475B" w:rsidRDefault="00D05599" w:rsidP="00206538">
            <w:pPr>
              <w:rPr>
                <w:rFonts w:ascii="Arial" w:hAnsi="Arial" w:cs="Arial"/>
                <w:b/>
                <w:sz w:val="20"/>
                <w:szCs w:val="20"/>
              </w:rPr>
            </w:pPr>
            <w:r w:rsidRPr="00DE475B">
              <w:rPr>
                <w:rFonts w:ascii="Arial" w:hAnsi="Arial" w:cs="Arial"/>
                <w:b/>
                <w:sz w:val="20"/>
                <w:szCs w:val="20"/>
              </w:rPr>
              <w:t>Heritage digital collections</w:t>
            </w:r>
          </w:p>
        </w:tc>
        <w:tc>
          <w:tcPr>
            <w:tcW w:w="955" w:type="dxa"/>
            <w:shd w:val="clear" w:color="auto" w:fill="auto"/>
            <w:vAlign w:val="bottom"/>
          </w:tcPr>
          <w:p w:rsidR="00D05599" w:rsidRPr="00DE475B" w:rsidRDefault="00D05599" w:rsidP="00206538">
            <w:pPr>
              <w:snapToGrid w:val="0"/>
              <w:rPr>
                <w:rFonts w:ascii="Arial" w:hAnsi="Arial" w:cs="Arial"/>
                <w:sz w:val="20"/>
                <w:szCs w:val="20"/>
              </w:rPr>
            </w:pPr>
          </w:p>
        </w:tc>
        <w:tc>
          <w:tcPr>
            <w:tcW w:w="955" w:type="dxa"/>
            <w:shd w:val="clear" w:color="auto" w:fill="auto"/>
            <w:vAlign w:val="bottom"/>
          </w:tcPr>
          <w:p w:rsidR="00D05599" w:rsidRPr="00DE475B" w:rsidRDefault="00D05599" w:rsidP="00206538">
            <w:pPr>
              <w:snapToGrid w:val="0"/>
              <w:rPr>
                <w:rFonts w:ascii="Arial" w:hAnsi="Arial" w:cs="Arial"/>
                <w:sz w:val="20"/>
                <w:szCs w:val="20"/>
              </w:rPr>
            </w:pPr>
          </w:p>
        </w:tc>
        <w:tc>
          <w:tcPr>
            <w:tcW w:w="955" w:type="dxa"/>
            <w:shd w:val="clear" w:color="auto" w:fill="auto"/>
            <w:vAlign w:val="bottom"/>
          </w:tcPr>
          <w:p w:rsidR="00D05599" w:rsidRPr="00DE475B" w:rsidRDefault="00D05599" w:rsidP="00206538">
            <w:pPr>
              <w:snapToGrid w:val="0"/>
              <w:rPr>
                <w:rFonts w:ascii="Arial" w:hAnsi="Arial" w:cs="Arial"/>
                <w:sz w:val="20"/>
                <w:szCs w:val="20"/>
              </w:rPr>
            </w:pPr>
          </w:p>
        </w:tc>
        <w:tc>
          <w:tcPr>
            <w:tcW w:w="955" w:type="dxa"/>
            <w:shd w:val="clear" w:color="auto" w:fill="auto"/>
            <w:vAlign w:val="bottom"/>
          </w:tcPr>
          <w:p w:rsidR="00D05599" w:rsidRPr="00DE475B" w:rsidRDefault="00D05599" w:rsidP="00206538">
            <w:pPr>
              <w:snapToGrid w:val="0"/>
              <w:rPr>
                <w:rFonts w:ascii="Arial" w:hAnsi="Arial" w:cs="Arial"/>
                <w:sz w:val="20"/>
                <w:szCs w:val="20"/>
              </w:rPr>
            </w:pPr>
          </w:p>
        </w:tc>
      </w:tr>
      <w:tr w:rsidR="00D05599" w:rsidRPr="00DE475B" w:rsidTr="008D7D3A">
        <w:trPr>
          <w:trHeight w:val="340"/>
        </w:trPr>
        <w:tc>
          <w:tcPr>
            <w:tcW w:w="505" w:type="dxa"/>
            <w:shd w:val="clear" w:color="auto" w:fill="auto"/>
            <w:vAlign w:val="bottom"/>
          </w:tcPr>
          <w:p w:rsidR="00D05599" w:rsidRPr="00DE475B" w:rsidRDefault="00D05599" w:rsidP="00206538">
            <w:pPr>
              <w:snapToGrid w:val="0"/>
              <w:rPr>
                <w:rFonts w:ascii="Arial" w:hAnsi="Arial" w:cs="Arial"/>
                <w:sz w:val="20"/>
                <w:szCs w:val="20"/>
              </w:rPr>
            </w:pPr>
          </w:p>
        </w:tc>
        <w:tc>
          <w:tcPr>
            <w:tcW w:w="4464" w:type="dxa"/>
            <w:gridSpan w:val="2"/>
            <w:shd w:val="clear" w:color="auto" w:fill="auto"/>
            <w:vAlign w:val="bottom"/>
          </w:tcPr>
          <w:p w:rsidR="00D05599" w:rsidRPr="00DE475B" w:rsidRDefault="00D05599" w:rsidP="00206538">
            <w:pPr>
              <w:rPr>
                <w:rFonts w:ascii="Arial" w:hAnsi="Arial" w:cs="Arial"/>
                <w:sz w:val="20"/>
                <w:szCs w:val="20"/>
              </w:rPr>
            </w:pPr>
            <w:r w:rsidRPr="00DE475B">
              <w:rPr>
                <w:rFonts w:ascii="Arial" w:hAnsi="Arial" w:cs="Arial"/>
                <w:sz w:val="20"/>
                <w:szCs w:val="20"/>
              </w:rPr>
              <w:t>Carrying amount at 1 July</w:t>
            </w:r>
          </w:p>
        </w:tc>
        <w:tc>
          <w:tcPr>
            <w:tcW w:w="955" w:type="dxa"/>
            <w:shd w:val="clear" w:color="auto" w:fill="auto"/>
            <w:vAlign w:val="center"/>
          </w:tcPr>
          <w:p w:rsidR="00D05599" w:rsidRPr="00DE475B" w:rsidRDefault="001414B3" w:rsidP="00542BE5">
            <w:pPr>
              <w:jc w:val="right"/>
              <w:rPr>
                <w:rFonts w:ascii="Arial" w:hAnsi="Arial" w:cs="Arial"/>
                <w:sz w:val="20"/>
                <w:szCs w:val="20"/>
              </w:rPr>
            </w:pPr>
            <w:r>
              <w:rPr>
                <w:rFonts w:ascii="Arial" w:hAnsi="Arial" w:cs="Arial"/>
                <w:sz w:val="20"/>
                <w:szCs w:val="20"/>
              </w:rPr>
              <w:t>7,563</w:t>
            </w:r>
          </w:p>
        </w:tc>
        <w:tc>
          <w:tcPr>
            <w:tcW w:w="955" w:type="dxa"/>
            <w:shd w:val="clear" w:color="auto" w:fill="auto"/>
            <w:vAlign w:val="center"/>
          </w:tcPr>
          <w:p w:rsidR="00D05599" w:rsidRPr="00DE475B" w:rsidRDefault="00D05599" w:rsidP="00A2292F">
            <w:pPr>
              <w:jc w:val="right"/>
              <w:rPr>
                <w:rFonts w:ascii="Arial" w:hAnsi="Arial" w:cs="Arial"/>
                <w:sz w:val="20"/>
                <w:szCs w:val="20"/>
              </w:rPr>
            </w:pPr>
            <w:r w:rsidRPr="00DE475B">
              <w:rPr>
                <w:rFonts w:ascii="Arial" w:hAnsi="Arial" w:cs="Arial"/>
                <w:sz w:val="20"/>
                <w:szCs w:val="20"/>
              </w:rPr>
              <w:t xml:space="preserve">5,446 </w:t>
            </w:r>
          </w:p>
        </w:tc>
        <w:tc>
          <w:tcPr>
            <w:tcW w:w="955" w:type="dxa"/>
            <w:shd w:val="clear" w:color="auto" w:fill="auto"/>
            <w:vAlign w:val="center"/>
          </w:tcPr>
          <w:p w:rsidR="00D05599" w:rsidRPr="00DE475B" w:rsidRDefault="001414B3" w:rsidP="00A2292F">
            <w:pPr>
              <w:jc w:val="right"/>
              <w:rPr>
                <w:rFonts w:ascii="Arial" w:hAnsi="Arial" w:cs="Arial"/>
                <w:sz w:val="20"/>
                <w:szCs w:val="20"/>
              </w:rPr>
            </w:pPr>
            <w:r>
              <w:rPr>
                <w:rFonts w:ascii="Arial" w:hAnsi="Arial" w:cs="Arial"/>
                <w:sz w:val="20"/>
                <w:szCs w:val="20"/>
              </w:rPr>
              <w:t>7,563</w:t>
            </w:r>
          </w:p>
        </w:tc>
        <w:tc>
          <w:tcPr>
            <w:tcW w:w="955" w:type="dxa"/>
            <w:shd w:val="clear" w:color="auto" w:fill="auto"/>
            <w:vAlign w:val="center"/>
          </w:tcPr>
          <w:p w:rsidR="00D05599" w:rsidRPr="00DE475B" w:rsidRDefault="00D05599" w:rsidP="00A2292F">
            <w:pPr>
              <w:jc w:val="right"/>
              <w:rPr>
                <w:rFonts w:ascii="Arial" w:hAnsi="Arial" w:cs="Arial"/>
                <w:sz w:val="20"/>
                <w:szCs w:val="20"/>
              </w:rPr>
            </w:pPr>
            <w:r w:rsidRPr="00DE475B">
              <w:rPr>
                <w:rFonts w:ascii="Arial" w:hAnsi="Arial" w:cs="Arial"/>
                <w:sz w:val="20"/>
                <w:szCs w:val="20"/>
              </w:rPr>
              <w:t xml:space="preserve">5,446 </w:t>
            </w:r>
          </w:p>
        </w:tc>
      </w:tr>
      <w:tr w:rsidR="001414B3" w:rsidRPr="00DE475B" w:rsidTr="008D7D3A">
        <w:trPr>
          <w:trHeight w:val="340"/>
        </w:trPr>
        <w:tc>
          <w:tcPr>
            <w:tcW w:w="505" w:type="dxa"/>
            <w:shd w:val="clear" w:color="auto" w:fill="auto"/>
            <w:vAlign w:val="bottom"/>
          </w:tcPr>
          <w:p w:rsidR="001414B3" w:rsidRPr="00DE475B" w:rsidRDefault="001414B3" w:rsidP="00206538">
            <w:pPr>
              <w:snapToGrid w:val="0"/>
              <w:rPr>
                <w:rFonts w:ascii="Arial" w:hAnsi="Arial" w:cs="Arial"/>
                <w:sz w:val="20"/>
                <w:szCs w:val="20"/>
              </w:rPr>
            </w:pPr>
          </w:p>
        </w:tc>
        <w:tc>
          <w:tcPr>
            <w:tcW w:w="541" w:type="dxa"/>
            <w:shd w:val="clear" w:color="auto" w:fill="auto"/>
            <w:vAlign w:val="bottom"/>
          </w:tcPr>
          <w:p w:rsidR="001414B3" w:rsidRPr="00DE475B" w:rsidRDefault="001414B3" w:rsidP="00206538">
            <w:pPr>
              <w:rPr>
                <w:rFonts w:ascii="Arial" w:hAnsi="Arial" w:cs="Arial"/>
                <w:sz w:val="20"/>
                <w:szCs w:val="20"/>
              </w:rPr>
            </w:pPr>
          </w:p>
        </w:tc>
        <w:tc>
          <w:tcPr>
            <w:tcW w:w="3923" w:type="dxa"/>
            <w:shd w:val="clear" w:color="auto" w:fill="auto"/>
            <w:vAlign w:val="bottom"/>
          </w:tcPr>
          <w:p w:rsidR="001414B3" w:rsidRPr="00DE475B" w:rsidRDefault="00B324E0" w:rsidP="00206538">
            <w:pPr>
              <w:rPr>
                <w:rFonts w:ascii="Arial" w:hAnsi="Arial" w:cs="Arial"/>
                <w:sz w:val="20"/>
                <w:szCs w:val="20"/>
              </w:rPr>
            </w:pPr>
            <w:r>
              <w:rPr>
                <w:rFonts w:ascii="Arial" w:hAnsi="Arial" w:cs="Arial"/>
                <w:sz w:val="20"/>
                <w:szCs w:val="20"/>
              </w:rPr>
              <w:t>Acquisitions/</w:t>
            </w:r>
            <w:r w:rsidR="001414B3" w:rsidRPr="00DE475B">
              <w:rPr>
                <w:rFonts w:ascii="Arial" w:hAnsi="Arial" w:cs="Arial"/>
                <w:sz w:val="20"/>
                <w:szCs w:val="20"/>
              </w:rPr>
              <w:t>internally developed items</w:t>
            </w:r>
          </w:p>
        </w:tc>
        <w:tc>
          <w:tcPr>
            <w:tcW w:w="955" w:type="dxa"/>
            <w:shd w:val="clear" w:color="auto" w:fill="auto"/>
            <w:vAlign w:val="center"/>
          </w:tcPr>
          <w:p w:rsidR="001414B3" w:rsidRPr="00DE475B" w:rsidRDefault="001414B3" w:rsidP="00206538">
            <w:pPr>
              <w:jc w:val="right"/>
              <w:rPr>
                <w:rFonts w:ascii="Arial" w:hAnsi="Arial" w:cs="Arial"/>
                <w:sz w:val="20"/>
                <w:szCs w:val="20"/>
              </w:rPr>
            </w:pPr>
            <w:r>
              <w:rPr>
                <w:rFonts w:ascii="Arial" w:hAnsi="Arial" w:cs="Arial"/>
                <w:sz w:val="20"/>
                <w:szCs w:val="20"/>
              </w:rPr>
              <w:t>595</w:t>
            </w:r>
          </w:p>
        </w:tc>
        <w:tc>
          <w:tcPr>
            <w:tcW w:w="955" w:type="dxa"/>
            <w:shd w:val="clear" w:color="auto" w:fill="auto"/>
            <w:vAlign w:val="center"/>
          </w:tcPr>
          <w:p w:rsidR="001414B3" w:rsidRPr="00DE475B" w:rsidRDefault="001414B3" w:rsidP="00A2292F">
            <w:pPr>
              <w:jc w:val="right"/>
              <w:rPr>
                <w:rFonts w:ascii="Arial" w:hAnsi="Arial" w:cs="Arial"/>
                <w:sz w:val="20"/>
                <w:szCs w:val="20"/>
              </w:rPr>
            </w:pPr>
            <w:r w:rsidRPr="00DE475B">
              <w:rPr>
                <w:rFonts w:ascii="Arial" w:hAnsi="Arial" w:cs="Arial"/>
                <w:sz w:val="20"/>
                <w:szCs w:val="20"/>
              </w:rPr>
              <w:t xml:space="preserve">683 </w:t>
            </w:r>
          </w:p>
        </w:tc>
        <w:tc>
          <w:tcPr>
            <w:tcW w:w="955" w:type="dxa"/>
            <w:shd w:val="clear" w:color="auto" w:fill="auto"/>
            <w:vAlign w:val="center"/>
          </w:tcPr>
          <w:p w:rsidR="001414B3" w:rsidRPr="00DE475B" w:rsidRDefault="001414B3" w:rsidP="00652F6C">
            <w:pPr>
              <w:jc w:val="right"/>
              <w:rPr>
                <w:rFonts w:ascii="Arial" w:hAnsi="Arial" w:cs="Arial"/>
                <w:sz w:val="20"/>
                <w:szCs w:val="20"/>
              </w:rPr>
            </w:pPr>
            <w:r>
              <w:rPr>
                <w:rFonts w:ascii="Arial" w:hAnsi="Arial" w:cs="Arial"/>
                <w:sz w:val="20"/>
                <w:szCs w:val="20"/>
              </w:rPr>
              <w:t>595</w:t>
            </w:r>
          </w:p>
        </w:tc>
        <w:tc>
          <w:tcPr>
            <w:tcW w:w="955" w:type="dxa"/>
            <w:shd w:val="clear" w:color="auto" w:fill="auto"/>
            <w:vAlign w:val="center"/>
          </w:tcPr>
          <w:p w:rsidR="001414B3" w:rsidRPr="00DE475B" w:rsidRDefault="001414B3" w:rsidP="00A2292F">
            <w:pPr>
              <w:jc w:val="right"/>
              <w:rPr>
                <w:rFonts w:ascii="Arial" w:hAnsi="Arial" w:cs="Arial"/>
                <w:sz w:val="20"/>
                <w:szCs w:val="20"/>
              </w:rPr>
            </w:pPr>
            <w:r w:rsidRPr="00DE475B">
              <w:rPr>
                <w:rFonts w:ascii="Arial" w:hAnsi="Arial" w:cs="Arial"/>
                <w:sz w:val="20"/>
                <w:szCs w:val="20"/>
              </w:rPr>
              <w:t xml:space="preserve">683 </w:t>
            </w:r>
          </w:p>
        </w:tc>
      </w:tr>
      <w:tr w:rsidR="001414B3" w:rsidRPr="00DE475B" w:rsidTr="008D7D3A">
        <w:trPr>
          <w:trHeight w:val="340"/>
        </w:trPr>
        <w:tc>
          <w:tcPr>
            <w:tcW w:w="505" w:type="dxa"/>
            <w:shd w:val="clear" w:color="auto" w:fill="auto"/>
            <w:vAlign w:val="bottom"/>
          </w:tcPr>
          <w:p w:rsidR="001414B3" w:rsidRPr="00DE475B" w:rsidRDefault="001414B3" w:rsidP="00206538">
            <w:pPr>
              <w:snapToGrid w:val="0"/>
              <w:rPr>
                <w:rFonts w:ascii="Arial" w:hAnsi="Arial" w:cs="Arial"/>
                <w:sz w:val="20"/>
                <w:szCs w:val="20"/>
              </w:rPr>
            </w:pPr>
          </w:p>
        </w:tc>
        <w:tc>
          <w:tcPr>
            <w:tcW w:w="541" w:type="dxa"/>
            <w:shd w:val="clear" w:color="auto" w:fill="auto"/>
            <w:vAlign w:val="bottom"/>
          </w:tcPr>
          <w:p w:rsidR="001414B3" w:rsidRPr="00DE475B" w:rsidRDefault="001414B3" w:rsidP="00206538">
            <w:pPr>
              <w:rPr>
                <w:rFonts w:ascii="Arial" w:hAnsi="Arial" w:cs="Arial"/>
                <w:sz w:val="20"/>
                <w:szCs w:val="20"/>
              </w:rPr>
            </w:pPr>
          </w:p>
        </w:tc>
        <w:tc>
          <w:tcPr>
            <w:tcW w:w="3923" w:type="dxa"/>
            <w:shd w:val="clear" w:color="auto" w:fill="auto"/>
            <w:vAlign w:val="bottom"/>
          </w:tcPr>
          <w:p w:rsidR="001414B3" w:rsidRPr="00DE475B" w:rsidRDefault="001414B3" w:rsidP="00206538">
            <w:pPr>
              <w:rPr>
                <w:rFonts w:ascii="Arial" w:hAnsi="Arial" w:cs="Arial"/>
                <w:sz w:val="20"/>
                <w:szCs w:val="20"/>
              </w:rPr>
            </w:pPr>
            <w:r w:rsidRPr="00DE475B">
              <w:rPr>
                <w:rFonts w:ascii="Arial" w:hAnsi="Arial" w:cs="Arial"/>
                <w:sz w:val="20"/>
                <w:szCs w:val="20"/>
              </w:rPr>
              <w:t>Donations</w:t>
            </w:r>
          </w:p>
        </w:tc>
        <w:tc>
          <w:tcPr>
            <w:tcW w:w="955" w:type="dxa"/>
            <w:tcBorders>
              <w:bottom w:val="single" w:sz="8" w:space="0" w:color="000000"/>
            </w:tcBorders>
            <w:shd w:val="clear" w:color="auto" w:fill="auto"/>
            <w:vAlign w:val="center"/>
          </w:tcPr>
          <w:p w:rsidR="001414B3" w:rsidRPr="00DE475B" w:rsidRDefault="001414B3" w:rsidP="00206538">
            <w:pPr>
              <w:jc w:val="right"/>
              <w:rPr>
                <w:rFonts w:ascii="Arial" w:hAnsi="Arial" w:cs="Arial"/>
                <w:sz w:val="20"/>
                <w:szCs w:val="20"/>
              </w:rPr>
            </w:pPr>
            <w:r>
              <w:rPr>
                <w:rFonts w:ascii="Arial" w:hAnsi="Arial" w:cs="Arial"/>
                <w:sz w:val="20"/>
                <w:szCs w:val="20"/>
              </w:rPr>
              <w:t>366</w:t>
            </w:r>
          </w:p>
        </w:tc>
        <w:tc>
          <w:tcPr>
            <w:tcW w:w="955" w:type="dxa"/>
            <w:tcBorders>
              <w:bottom w:val="single" w:sz="8" w:space="0" w:color="000000"/>
            </w:tcBorders>
            <w:shd w:val="clear" w:color="auto" w:fill="auto"/>
            <w:vAlign w:val="center"/>
          </w:tcPr>
          <w:p w:rsidR="001414B3" w:rsidRPr="00DE475B" w:rsidRDefault="001414B3" w:rsidP="00A2292F">
            <w:pPr>
              <w:jc w:val="right"/>
              <w:rPr>
                <w:rFonts w:ascii="Arial" w:hAnsi="Arial" w:cs="Arial"/>
                <w:sz w:val="20"/>
                <w:szCs w:val="20"/>
              </w:rPr>
            </w:pPr>
            <w:r w:rsidRPr="00DE475B">
              <w:rPr>
                <w:rFonts w:ascii="Arial" w:hAnsi="Arial" w:cs="Arial"/>
                <w:sz w:val="20"/>
                <w:szCs w:val="20"/>
              </w:rPr>
              <w:t>1,433</w:t>
            </w:r>
          </w:p>
        </w:tc>
        <w:tc>
          <w:tcPr>
            <w:tcW w:w="955" w:type="dxa"/>
            <w:tcBorders>
              <w:bottom w:val="single" w:sz="8" w:space="0" w:color="000000"/>
            </w:tcBorders>
            <w:shd w:val="clear" w:color="auto" w:fill="auto"/>
            <w:vAlign w:val="center"/>
          </w:tcPr>
          <w:p w:rsidR="001414B3" w:rsidRPr="00DE475B" w:rsidRDefault="001414B3" w:rsidP="00652F6C">
            <w:pPr>
              <w:jc w:val="right"/>
              <w:rPr>
                <w:rFonts w:ascii="Arial" w:hAnsi="Arial" w:cs="Arial"/>
                <w:sz w:val="20"/>
                <w:szCs w:val="20"/>
              </w:rPr>
            </w:pPr>
            <w:r>
              <w:rPr>
                <w:rFonts w:ascii="Arial" w:hAnsi="Arial" w:cs="Arial"/>
                <w:sz w:val="20"/>
                <w:szCs w:val="20"/>
              </w:rPr>
              <w:t>366</w:t>
            </w:r>
          </w:p>
        </w:tc>
        <w:tc>
          <w:tcPr>
            <w:tcW w:w="955" w:type="dxa"/>
            <w:tcBorders>
              <w:bottom w:val="single" w:sz="8" w:space="0" w:color="000000"/>
            </w:tcBorders>
            <w:shd w:val="clear" w:color="auto" w:fill="auto"/>
            <w:vAlign w:val="center"/>
          </w:tcPr>
          <w:p w:rsidR="001414B3" w:rsidRPr="00DE475B" w:rsidRDefault="001414B3" w:rsidP="00A2292F">
            <w:pPr>
              <w:jc w:val="right"/>
              <w:rPr>
                <w:rFonts w:ascii="Arial" w:hAnsi="Arial" w:cs="Arial"/>
                <w:sz w:val="20"/>
                <w:szCs w:val="20"/>
              </w:rPr>
            </w:pPr>
            <w:r w:rsidRPr="00DE475B">
              <w:rPr>
                <w:rFonts w:ascii="Arial" w:hAnsi="Arial" w:cs="Arial"/>
                <w:sz w:val="20"/>
                <w:szCs w:val="20"/>
              </w:rPr>
              <w:t>1,433</w:t>
            </w:r>
          </w:p>
        </w:tc>
      </w:tr>
      <w:tr w:rsidR="001414B3" w:rsidRPr="00DE475B" w:rsidTr="008D7D3A">
        <w:trPr>
          <w:trHeight w:val="340"/>
        </w:trPr>
        <w:tc>
          <w:tcPr>
            <w:tcW w:w="4969" w:type="dxa"/>
            <w:gridSpan w:val="3"/>
            <w:shd w:val="clear" w:color="auto" w:fill="auto"/>
            <w:vAlign w:val="bottom"/>
          </w:tcPr>
          <w:p w:rsidR="001414B3" w:rsidRPr="00DE475B" w:rsidRDefault="001414B3" w:rsidP="00206538">
            <w:pPr>
              <w:rPr>
                <w:rFonts w:ascii="Arial" w:hAnsi="Arial" w:cs="Arial"/>
                <w:sz w:val="20"/>
                <w:szCs w:val="20"/>
                <w:highlight w:val="yellow"/>
              </w:rPr>
            </w:pPr>
            <w:r w:rsidRPr="00DE475B">
              <w:rPr>
                <w:rFonts w:ascii="Arial" w:hAnsi="Arial" w:cs="Arial"/>
                <w:b/>
                <w:sz w:val="20"/>
                <w:szCs w:val="20"/>
              </w:rPr>
              <w:t>Heritage digital collections total</w:t>
            </w:r>
          </w:p>
        </w:tc>
        <w:tc>
          <w:tcPr>
            <w:tcW w:w="955" w:type="dxa"/>
            <w:tcBorders>
              <w:top w:val="single" w:sz="8" w:space="0" w:color="000000"/>
              <w:bottom w:val="single" w:sz="8" w:space="0" w:color="000000"/>
            </w:tcBorders>
            <w:shd w:val="clear" w:color="auto" w:fill="auto"/>
            <w:vAlign w:val="center"/>
          </w:tcPr>
          <w:p w:rsidR="001414B3" w:rsidRPr="00CB6FC2" w:rsidRDefault="001414B3" w:rsidP="00206538">
            <w:pPr>
              <w:jc w:val="right"/>
              <w:rPr>
                <w:rFonts w:ascii="Arial" w:hAnsi="Arial" w:cs="Arial"/>
                <w:b/>
                <w:sz w:val="20"/>
                <w:szCs w:val="20"/>
              </w:rPr>
            </w:pPr>
            <w:r w:rsidRPr="00CB6FC2">
              <w:rPr>
                <w:rFonts w:ascii="Arial" w:hAnsi="Arial" w:cs="Arial"/>
                <w:b/>
                <w:sz w:val="20"/>
                <w:szCs w:val="20"/>
              </w:rPr>
              <w:t>8,524</w:t>
            </w:r>
          </w:p>
        </w:tc>
        <w:tc>
          <w:tcPr>
            <w:tcW w:w="955" w:type="dxa"/>
            <w:tcBorders>
              <w:top w:val="single" w:sz="8" w:space="0" w:color="000000"/>
              <w:bottom w:val="single" w:sz="8" w:space="0" w:color="000000"/>
            </w:tcBorders>
            <w:shd w:val="clear" w:color="auto" w:fill="auto"/>
            <w:vAlign w:val="center"/>
          </w:tcPr>
          <w:p w:rsidR="001414B3" w:rsidRPr="00CB6FC2" w:rsidRDefault="001414B3" w:rsidP="00A2292F">
            <w:pPr>
              <w:jc w:val="right"/>
              <w:rPr>
                <w:rFonts w:ascii="Arial" w:hAnsi="Arial" w:cs="Arial"/>
                <w:b/>
                <w:sz w:val="20"/>
                <w:szCs w:val="20"/>
              </w:rPr>
            </w:pPr>
            <w:r w:rsidRPr="00CB6FC2">
              <w:rPr>
                <w:rFonts w:ascii="Arial" w:hAnsi="Arial" w:cs="Arial"/>
                <w:b/>
                <w:bCs/>
                <w:sz w:val="20"/>
                <w:szCs w:val="20"/>
              </w:rPr>
              <w:t>7,563</w:t>
            </w:r>
          </w:p>
        </w:tc>
        <w:tc>
          <w:tcPr>
            <w:tcW w:w="955" w:type="dxa"/>
            <w:tcBorders>
              <w:top w:val="single" w:sz="8" w:space="0" w:color="000000"/>
              <w:bottom w:val="single" w:sz="8" w:space="0" w:color="000000"/>
            </w:tcBorders>
            <w:shd w:val="clear" w:color="auto" w:fill="auto"/>
            <w:vAlign w:val="center"/>
          </w:tcPr>
          <w:p w:rsidR="001414B3" w:rsidRPr="00CB6FC2" w:rsidRDefault="001414B3" w:rsidP="00A2292F">
            <w:pPr>
              <w:jc w:val="right"/>
              <w:rPr>
                <w:rFonts w:ascii="Arial" w:hAnsi="Arial" w:cs="Arial"/>
                <w:b/>
                <w:bCs/>
                <w:sz w:val="20"/>
                <w:szCs w:val="20"/>
              </w:rPr>
            </w:pPr>
            <w:r w:rsidRPr="00CB6FC2">
              <w:rPr>
                <w:rFonts w:ascii="Arial" w:hAnsi="Arial" w:cs="Arial"/>
                <w:b/>
                <w:sz w:val="20"/>
                <w:szCs w:val="20"/>
              </w:rPr>
              <w:t>8,524</w:t>
            </w:r>
          </w:p>
        </w:tc>
        <w:tc>
          <w:tcPr>
            <w:tcW w:w="955" w:type="dxa"/>
            <w:tcBorders>
              <w:top w:val="single" w:sz="8" w:space="0" w:color="000000"/>
              <w:bottom w:val="single" w:sz="8" w:space="0" w:color="000000"/>
            </w:tcBorders>
            <w:shd w:val="clear" w:color="auto" w:fill="auto"/>
            <w:vAlign w:val="center"/>
          </w:tcPr>
          <w:p w:rsidR="001414B3" w:rsidRPr="00DE475B" w:rsidRDefault="001414B3" w:rsidP="00A2292F">
            <w:pPr>
              <w:jc w:val="right"/>
              <w:rPr>
                <w:rFonts w:ascii="Arial" w:hAnsi="Arial" w:cs="Arial"/>
                <w:b/>
                <w:bCs/>
                <w:sz w:val="20"/>
                <w:szCs w:val="20"/>
              </w:rPr>
            </w:pPr>
            <w:r w:rsidRPr="00DE475B">
              <w:rPr>
                <w:rFonts w:ascii="Arial" w:hAnsi="Arial" w:cs="Arial"/>
                <w:b/>
                <w:bCs/>
                <w:sz w:val="20"/>
                <w:szCs w:val="20"/>
              </w:rPr>
              <w:t>7,563</w:t>
            </w:r>
          </w:p>
        </w:tc>
      </w:tr>
      <w:tr w:rsidR="001414B3" w:rsidRPr="00DE475B" w:rsidTr="008D7D3A">
        <w:trPr>
          <w:trHeight w:val="340"/>
        </w:trPr>
        <w:tc>
          <w:tcPr>
            <w:tcW w:w="505" w:type="dxa"/>
            <w:shd w:val="clear" w:color="auto" w:fill="auto"/>
            <w:vAlign w:val="bottom"/>
          </w:tcPr>
          <w:p w:rsidR="001414B3" w:rsidRPr="00DE475B" w:rsidRDefault="001414B3" w:rsidP="00206538">
            <w:pPr>
              <w:snapToGrid w:val="0"/>
              <w:rPr>
                <w:rFonts w:ascii="Arial" w:hAnsi="Arial" w:cs="Arial"/>
                <w:sz w:val="12"/>
                <w:szCs w:val="12"/>
              </w:rPr>
            </w:pPr>
          </w:p>
        </w:tc>
        <w:tc>
          <w:tcPr>
            <w:tcW w:w="4464" w:type="dxa"/>
            <w:gridSpan w:val="2"/>
            <w:shd w:val="clear" w:color="auto" w:fill="auto"/>
            <w:vAlign w:val="bottom"/>
          </w:tcPr>
          <w:p w:rsidR="001414B3" w:rsidRPr="00DE475B" w:rsidRDefault="001414B3" w:rsidP="00206538">
            <w:pPr>
              <w:rPr>
                <w:rFonts w:ascii="Arial" w:hAnsi="Arial" w:cs="Arial"/>
                <w:sz w:val="12"/>
                <w:szCs w:val="12"/>
                <w:highlight w:val="yellow"/>
              </w:rPr>
            </w:pPr>
          </w:p>
        </w:tc>
        <w:tc>
          <w:tcPr>
            <w:tcW w:w="955" w:type="dxa"/>
            <w:shd w:val="clear" w:color="auto" w:fill="auto"/>
            <w:vAlign w:val="bottom"/>
          </w:tcPr>
          <w:p w:rsidR="001414B3" w:rsidRPr="00DE475B" w:rsidRDefault="001414B3" w:rsidP="00206538">
            <w:pPr>
              <w:rPr>
                <w:rFonts w:ascii="Arial" w:hAnsi="Arial" w:cs="Arial"/>
                <w:sz w:val="12"/>
                <w:szCs w:val="12"/>
              </w:rPr>
            </w:pPr>
          </w:p>
        </w:tc>
        <w:tc>
          <w:tcPr>
            <w:tcW w:w="955" w:type="dxa"/>
            <w:tcBorders>
              <w:top w:val="single" w:sz="8" w:space="0" w:color="000000"/>
            </w:tcBorders>
            <w:shd w:val="clear" w:color="auto" w:fill="auto"/>
            <w:vAlign w:val="bottom"/>
          </w:tcPr>
          <w:p w:rsidR="001414B3" w:rsidRPr="00DE475B" w:rsidRDefault="001414B3" w:rsidP="00206538">
            <w:pPr>
              <w:rPr>
                <w:rFonts w:ascii="Arial" w:hAnsi="Arial" w:cs="Arial"/>
                <w:sz w:val="12"/>
                <w:szCs w:val="12"/>
              </w:rPr>
            </w:pPr>
          </w:p>
        </w:tc>
        <w:tc>
          <w:tcPr>
            <w:tcW w:w="955" w:type="dxa"/>
            <w:tcBorders>
              <w:top w:val="single" w:sz="8" w:space="0" w:color="000000"/>
            </w:tcBorders>
            <w:shd w:val="clear" w:color="auto" w:fill="auto"/>
            <w:vAlign w:val="bottom"/>
          </w:tcPr>
          <w:p w:rsidR="001414B3" w:rsidRPr="00DE475B" w:rsidRDefault="001414B3" w:rsidP="00206538">
            <w:pPr>
              <w:rPr>
                <w:rFonts w:ascii="Arial" w:hAnsi="Arial" w:cs="Arial"/>
                <w:sz w:val="12"/>
                <w:szCs w:val="12"/>
              </w:rPr>
            </w:pPr>
          </w:p>
        </w:tc>
        <w:tc>
          <w:tcPr>
            <w:tcW w:w="955" w:type="dxa"/>
            <w:tcBorders>
              <w:top w:val="single" w:sz="8" w:space="0" w:color="000000"/>
            </w:tcBorders>
            <w:shd w:val="clear" w:color="auto" w:fill="auto"/>
            <w:vAlign w:val="bottom"/>
          </w:tcPr>
          <w:p w:rsidR="001414B3" w:rsidRPr="00DE475B" w:rsidRDefault="001414B3" w:rsidP="00206538">
            <w:pPr>
              <w:rPr>
                <w:rFonts w:ascii="Arial" w:hAnsi="Arial" w:cs="Arial"/>
                <w:sz w:val="12"/>
                <w:szCs w:val="12"/>
              </w:rPr>
            </w:pPr>
          </w:p>
        </w:tc>
      </w:tr>
      <w:tr w:rsidR="001414B3" w:rsidRPr="00DE475B" w:rsidTr="008D7D3A">
        <w:trPr>
          <w:trHeight w:val="340"/>
        </w:trPr>
        <w:tc>
          <w:tcPr>
            <w:tcW w:w="4969" w:type="dxa"/>
            <w:gridSpan w:val="3"/>
            <w:shd w:val="clear" w:color="auto" w:fill="auto"/>
            <w:vAlign w:val="bottom"/>
          </w:tcPr>
          <w:p w:rsidR="001414B3" w:rsidRPr="00DE475B" w:rsidRDefault="001414B3" w:rsidP="00206538">
            <w:pPr>
              <w:rPr>
                <w:rFonts w:ascii="Arial" w:hAnsi="Arial" w:cs="Arial"/>
                <w:sz w:val="20"/>
                <w:szCs w:val="20"/>
                <w:highlight w:val="yellow"/>
              </w:rPr>
            </w:pPr>
            <w:r w:rsidRPr="00DE475B">
              <w:rPr>
                <w:rFonts w:ascii="Arial" w:hAnsi="Arial" w:cs="Arial"/>
                <w:b/>
                <w:sz w:val="20"/>
                <w:szCs w:val="20"/>
              </w:rPr>
              <w:t>Heritage digital collections — Work in progress</w:t>
            </w:r>
          </w:p>
        </w:tc>
        <w:tc>
          <w:tcPr>
            <w:tcW w:w="955" w:type="dxa"/>
            <w:shd w:val="clear" w:color="auto" w:fill="auto"/>
            <w:vAlign w:val="bottom"/>
          </w:tcPr>
          <w:p w:rsidR="001414B3" w:rsidRPr="00DE475B" w:rsidRDefault="001414B3" w:rsidP="00206538">
            <w:pPr>
              <w:jc w:val="right"/>
              <w:rPr>
                <w:rFonts w:ascii="Arial" w:hAnsi="Arial" w:cs="Arial"/>
                <w:sz w:val="20"/>
                <w:szCs w:val="20"/>
              </w:rPr>
            </w:pPr>
          </w:p>
        </w:tc>
        <w:tc>
          <w:tcPr>
            <w:tcW w:w="955" w:type="dxa"/>
            <w:shd w:val="clear" w:color="auto" w:fill="auto"/>
            <w:vAlign w:val="bottom"/>
          </w:tcPr>
          <w:p w:rsidR="001414B3" w:rsidRPr="00DE475B" w:rsidRDefault="001414B3" w:rsidP="00206538">
            <w:pPr>
              <w:jc w:val="right"/>
              <w:rPr>
                <w:rFonts w:ascii="Arial" w:hAnsi="Arial" w:cs="Arial"/>
                <w:sz w:val="20"/>
                <w:szCs w:val="20"/>
              </w:rPr>
            </w:pPr>
          </w:p>
        </w:tc>
        <w:tc>
          <w:tcPr>
            <w:tcW w:w="955" w:type="dxa"/>
            <w:shd w:val="clear" w:color="auto" w:fill="auto"/>
            <w:vAlign w:val="bottom"/>
          </w:tcPr>
          <w:p w:rsidR="001414B3" w:rsidRPr="00DE475B" w:rsidRDefault="001414B3" w:rsidP="00206538">
            <w:pPr>
              <w:jc w:val="right"/>
              <w:rPr>
                <w:rFonts w:ascii="Arial" w:hAnsi="Arial" w:cs="Arial"/>
                <w:sz w:val="20"/>
                <w:szCs w:val="20"/>
              </w:rPr>
            </w:pPr>
          </w:p>
        </w:tc>
        <w:tc>
          <w:tcPr>
            <w:tcW w:w="955" w:type="dxa"/>
            <w:shd w:val="clear" w:color="auto" w:fill="auto"/>
            <w:vAlign w:val="bottom"/>
          </w:tcPr>
          <w:p w:rsidR="001414B3" w:rsidRPr="00DE475B" w:rsidRDefault="001414B3" w:rsidP="00206538">
            <w:pPr>
              <w:jc w:val="right"/>
              <w:rPr>
                <w:rFonts w:ascii="Arial" w:hAnsi="Arial" w:cs="Arial"/>
                <w:sz w:val="20"/>
                <w:szCs w:val="20"/>
              </w:rPr>
            </w:pPr>
          </w:p>
        </w:tc>
      </w:tr>
      <w:tr w:rsidR="001414B3" w:rsidRPr="00DE475B" w:rsidTr="008D7D3A">
        <w:trPr>
          <w:trHeight w:val="340"/>
        </w:trPr>
        <w:tc>
          <w:tcPr>
            <w:tcW w:w="505" w:type="dxa"/>
            <w:shd w:val="clear" w:color="auto" w:fill="auto"/>
            <w:vAlign w:val="bottom"/>
          </w:tcPr>
          <w:p w:rsidR="001414B3" w:rsidRPr="00DE475B" w:rsidRDefault="001414B3" w:rsidP="00206538">
            <w:pPr>
              <w:snapToGrid w:val="0"/>
              <w:rPr>
                <w:rFonts w:ascii="Arial" w:hAnsi="Arial" w:cs="Arial"/>
                <w:sz w:val="20"/>
                <w:szCs w:val="20"/>
              </w:rPr>
            </w:pPr>
          </w:p>
        </w:tc>
        <w:tc>
          <w:tcPr>
            <w:tcW w:w="4464" w:type="dxa"/>
            <w:gridSpan w:val="2"/>
            <w:shd w:val="clear" w:color="auto" w:fill="auto"/>
            <w:vAlign w:val="bottom"/>
          </w:tcPr>
          <w:p w:rsidR="001414B3" w:rsidRPr="00DE475B" w:rsidRDefault="001414B3" w:rsidP="00206538">
            <w:pPr>
              <w:rPr>
                <w:rFonts w:ascii="Arial" w:hAnsi="Arial" w:cs="Arial"/>
                <w:sz w:val="20"/>
                <w:szCs w:val="20"/>
                <w:highlight w:val="yellow"/>
              </w:rPr>
            </w:pPr>
            <w:r w:rsidRPr="00DE475B">
              <w:rPr>
                <w:rFonts w:ascii="Arial" w:hAnsi="Arial" w:cs="Arial"/>
                <w:sz w:val="20"/>
                <w:szCs w:val="20"/>
              </w:rPr>
              <w:t>Carrying amount at 1 July</w:t>
            </w:r>
          </w:p>
        </w:tc>
        <w:tc>
          <w:tcPr>
            <w:tcW w:w="955" w:type="dxa"/>
            <w:shd w:val="clear" w:color="auto" w:fill="auto"/>
            <w:vAlign w:val="bottom"/>
          </w:tcPr>
          <w:p w:rsidR="001414B3" w:rsidRPr="00DE475B" w:rsidRDefault="001414B3" w:rsidP="00206538">
            <w:pPr>
              <w:jc w:val="right"/>
              <w:rPr>
                <w:rFonts w:ascii="Arial" w:hAnsi="Arial" w:cs="Arial"/>
                <w:sz w:val="20"/>
                <w:szCs w:val="20"/>
              </w:rPr>
            </w:pPr>
            <w:r>
              <w:rPr>
                <w:rFonts w:ascii="Arial" w:hAnsi="Arial" w:cs="Arial"/>
                <w:sz w:val="20"/>
                <w:szCs w:val="20"/>
              </w:rPr>
              <w:t>96</w:t>
            </w:r>
          </w:p>
        </w:tc>
        <w:tc>
          <w:tcPr>
            <w:tcW w:w="955" w:type="dxa"/>
            <w:shd w:val="clear" w:color="auto" w:fill="auto"/>
            <w:vAlign w:val="bottom"/>
          </w:tcPr>
          <w:p w:rsidR="001414B3" w:rsidRPr="00DE475B" w:rsidRDefault="001414B3" w:rsidP="00A2292F">
            <w:pPr>
              <w:jc w:val="right"/>
              <w:rPr>
                <w:rFonts w:ascii="Arial" w:hAnsi="Arial" w:cs="Arial"/>
                <w:sz w:val="20"/>
                <w:szCs w:val="20"/>
              </w:rPr>
            </w:pPr>
            <w:r w:rsidRPr="00DE475B">
              <w:rPr>
                <w:rFonts w:ascii="Arial" w:hAnsi="Arial" w:cs="Arial"/>
                <w:sz w:val="20"/>
                <w:szCs w:val="20"/>
              </w:rPr>
              <w:t>70</w:t>
            </w:r>
          </w:p>
        </w:tc>
        <w:tc>
          <w:tcPr>
            <w:tcW w:w="955" w:type="dxa"/>
            <w:shd w:val="clear" w:color="auto" w:fill="auto"/>
            <w:vAlign w:val="bottom"/>
          </w:tcPr>
          <w:p w:rsidR="001414B3" w:rsidRPr="00DE475B" w:rsidRDefault="001414B3" w:rsidP="00A2292F">
            <w:pPr>
              <w:jc w:val="right"/>
              <w:rPr>
                <w:rFonts w:ascii="Arial" w:hAnsi="Arial" w:cs="Arial"/>
                <w:sz w:val="20"/>
                <w:szCs w:val="20"/>
              </w:rPr>
            </w:pPr>
            <w:r>
              <w:rPr>
                <w:rFonts w:ascii="Arial" w:hAnsi="Arial" w:cs="Arial"/>
                <w:sz w:val="20"/>
                <w:szCs w:val="20"/>
              </w:rPr>
              <w:t>96</w:t>
            </w:r>
          </w:p>
        </w:tc>
        <w:tc>
          <w:tcPr>
            <w:tcW w:w="955" w:type="dxa"/>
            <w:shd w:val="clear" w:color="auto" w:fill="auto"/>
            <w:vAlign w:val="bottom"/>
          </w:tcPr>
          <w:p w:rsidR="001414B3" w:rsidRPr="00DE475B" w:rsidRDefault="001414B3" w:rsidP="00A2292F">
            <w:pPr>
              <w:jc w:val="right"/>
              <w:rPr>
                <w:rFonts w:ascii="Arial" w:hAnsi="Arial" w:cs="Arial"/>
                <w:sz w:val="20"/>
                <w:szCs w:val="20"/>
              </w:rPr>
            </w:pPr>
            <w:r w:rsidRPr="00DE475B">
              <w:rPr>
                <w:rFonts w:ascii="Arial" w:hAnsi="Arial" w:cs="Arial"/>
                <w:sz w:val="20"/>
                <w:szCs w:val="20"/>
              </w:rPr>
              <w:t>70</w:t>
            </w:r>
          </w:p>
        </w:tc>
      </w:tr>
      <w:tr w:rsidR="001414B3" w:rsidRPr="00DE475B" w:rsidTr="008D7D3A">
        <w:trPr>
          <w:trHeight w:val="340"/>
        </w:trPr>
        <w:tc>
          <w:tcPr>
            <w:tcW w:w="505" w:type="dxa"/>
            <w:shd w:val="clear" w:color="auto" w:fill="auto"/>
            <w:vAlign w:val="bottom"/>
          </w:tcPr>
          <w:p w:rsidR="001414B3" w:rsidRPr="00DE475B" w:rsidRDefault="001414B3" w:rsidP="00206538">
            <w:pPr>
              <w:snapToGrid w:val="0"/>
              <w:rPr>
                <w:rFonts w:ascii="Arial" w:hAnsi="Arial" w:cs="Arial"/>
                <w:sz w:val="20"/>
                <w:szCs w:val="20"/>
              </w:rPr>
            </w:pPr>
          </w:p>
        </w:tc>
        <w:tc>
          <w:tcPr>
            <w:tcW w:w="541" w:type="dxa"/>
            <w:shd w:val="clear" w:color="auto" w:fill="auto"/>
            <w:vAlign w:val="bottom"/>
          </w:tcPr>
          <w:p w:rsidR="001414B3" w:rsidRPr="00DE475B" w:rsidRDefault="001414B3" w:rsidP="00206538">
            <w:pPr>
              <w:rPr>
                <w:rFonts w:ascii="Arial" w:hAnsi="Arial" w:cs="Arial"/>
                <w:sz w:val="20"/>
                <w:szCs w:val="20"/>
                <w:highlight w:val="yellow"/>
              </w:rPr>
            </w:pPr>
          </w:p>
        </w:tc>
        <w:tc>
          <w:tcPr>
            <w:tcW w:w="3923" w:type="dxa"/>
            <w:shd w:val="clear" w:color="auto" w:fill="auto"/>
            <w:vAlign w:val="bottom"/>
          </w:tcPr>
          <w:p w:rsidR="001414B3" w:rsidRPr="00DE475B" w:rsidRDefault="001414B3" w:rsidP="00206538">
            <w:pPr>
              <w:rPr>
                <w:rFonts w:ascii="Arial" w:hAnsi="Arial" w:cs="Arial"/>
                <w:sz w:val="20"/>
                <w:szCs w:val="20"/>
                <w:highlight w:val="yellow"/>
              </w:rPr>
            </w:pPr>
            <w:r w:rsidRPr="00DE475B">
              <w:rPr>
                <w:rFonts w:ascii="Arial" w:hAnsi="Arial" w:cs="Arial"/>
                <w:sz w:val="20"/>
                <w:szCs w:val="20"/>
              </w:rPr>
              <w:t>Movement in work in progress*</w:t>
            </w:r>
          </w:p>
        </w:tc>
        <w:tc>
          <w:tcPr>
            <w:tcW w:w="955" w:type="dxa"/>
            <w:shd w:val="clear" w:color="auto" w:fill="auto"/>
            <w:vAlign w:val="bottom"/>
          </w:tcPr>
          <w:p w:rsidR="001414B3" w:rsidRPr="00DE475B" w:rsidRDefault="001414B3" w:rsidP="00206538">
            <w:pPr>
              <w:jc w:val="right"/>
              <w:rPr>
                <w:rFonts w:ascii="Arial" w:hAnsi="Arial" w:cs="Arial"/>
                <w:sz w:val="20"/>
                <w:szCs w:val="20"/>
              </w:rPr>
            </w:pPr>
            <w:r>
              <w:rPr>
                <w:rFonts w:ascii="Arial" w:hAnsi="Arial" w:cs="Arial"/>
                <w:sz w:val="20"/>
                <w:szCs w:val="20"/>
              </w:rPr>
              <w:t>(38)</w:t>
            </w:r>
          </w:p>
        </w:tc>
        <w:tc>
          <w:tcPr>
            <w:tcW w:w="955" w:type="dxa"/>
            <w:shd w:val="clear" w:color="auto" w:fill="auto"/>
            <w:vAlign w:val="bottom"/>
          </w:tcPr>
          <w:p w:rsidR="001414B3" w:rsidRPr="00DE475B" w:rsidRDefault="001414B3" w:rsidP="00A2292F">
            <w:pPr>
              <w:jc w:val="right"/>
              <w:rPr>
                <w:rFonts w:ascii="Arial" w:hAnsi="Arial" w:cs="Arial"/>
                <w:sz w:val="20"/>
                <w:szCs w:val="20"/>
              </w:rPr>
            </w:pPr>
            <w:r w:rsidRPr="00DE475B">
              <w:rPr>
                <w:rFonts w:ascii="Arial" w:hAnsi="Arial" w:cs="Arial"/>
                <w:sz w:val="20"/>
                <w:szCs w:val="20"/>
              </w:rPr>
              <w:t>26</w:t>
            </w:r>
          </w:p>
        </w:tc>
        <w:tc>
          <w:tcPr>
            <w:tcW w:w="955" w:type="dxa"/>
            <w:shd w:val="clear" w:color="auto" w:fill="auto"/>
            <w:vAlign w:val="bottom"/>
          </w:tcPr>
          <w:p w:rsidR="001414B3" w:rsidRPr="00DE475B" w:rsidRDefault="001414B3" w:rsidP="00A2292F">
            <w:pPr>
              <w:jc w:val="right"/>
              <w:rPr>
                <w:rFonts w:ascii="Arial" w:hAnsi="Arial" w:cs="Arial"/>
                <w:sz w:val="20"/>
                <w:szCs w:val="20"/>
              </w:rPr>
            </w:pPr>
            <w:r>
              <w:rPr>
                <w:rFonts w:ascii="Arial" w:hAnsi="Arial" w:cs="Arial"/>
                <w:sz w:val="20"/>
                <w:szCs w:val="20"/>
              </w:rPr>
              <w:t>(38)</w:t>
            </w:r>
          </w:p>
        </w:tc>
        <w:tc>
          <w:tcPr>
            <w:tcW w:w="955" w:type="dxa"/>
            <w:shd w:val="clear" w:color="auto" w:fill="auto"/>
            <w:vAlign w:val="bottom"/>
          </w:tcPr>
          <w:p w:rsidR="001414B3" w:rsidRPr="00DE475B" w:rsidRDefault="001414B3" w:rsidP="00A2292F">
            <w:pPr>
              <w:jc w:val="right"/>
              <w:rPr>
                <w:rFonts w:ascii="Arial" w:hAnsi="Arial" w:cs="Arial"/>
                <w:sz w:val="20"/>
                <w:szCs w:val="20"/>
              </w:rPr>
            </w:pPr>
            <w:r w:rsidRPr="00DE475B">
              <w:rPr>
                <w:rFonts w:ascii="Arial" w:hAnsi="Arial" w:cs="Arial"/>
                <w:sz w:val="20"/>
                <w:szCs w:val="20"/>
              </w:rPr>
              <w:t>26</w:t>
            </w:r>
          </w:p>
        </w:tc>
      </w:tr>
      <w:tr w:rsidR="001414B3" w:rsidRPr="00DE475B" w:rsidTr="008D7D3A">
        <w:trPr>
          <w:trHeight w:val="340"/>
        </w:trPr>
        <w:tc>
          <w:tcPr>
            <w:tcW w:w="4969" w:type="dxa"/>
            <w:gridSpan w:val="3"/>
            <w:shd w:val="clear" w:color="auto" w:fill="auto"/>
            <w:vAlign w:val="center"/>
          </w:tcPr>
          <w:p w:rsidR="001414B3" w:rsidRPr="00DE475B" w:rsidRDefault="001414B3" w:rsidP="00696837">
            <w:pPr>
              <w:snapToGrid w:val="0"/>
              <w:rPr>
                <w:rFonts w:ascii="Arial" w:hAnsi="Arial" w:cs="Arial"/>
                <w:b/>
                <w:sz w:val="20"/>
                <w:szCs w:val="20"/>
              </w:rPr>
            </w:pPr>
            <w:r w:rsidRPr="00DE475B">
              <w:rPr>
                <w:rFonts w:ascii="Arial" w:hAnsi="Arial" w:cs="Arial"/>
                <w:b/>
                <w:sz w:val="20"/>
                <w:szCs w:val="20"/>
              </w:rPr>
              <w:t xml:space="preserve">Heritage digital collections </w:t>
            </w:r>
            <w:r w:rsidR="00696837">
              <w:rPr>
                <w:rFonts w:ascii="Arial" w:hAnsi="Arial" w:cs="Arial"/>
                <w:b/>
                <w:bCs/>
                <w:sz w:val="20"/>
                <w:szCs w:val="20"/>
              </w:rPr>
              <w:t>work in progress</w:t>
            </w:r>
            <w:r w:rsidRPr="00DE475B">
              <w:rPr>
                <w:rFonts w:ascii="Arial" w:hAnsi="Arial" w:cs="Arial"/>
                <w:b/>
                <w:bCs/>
                <w:sz w:val="20"/>
                <w:szCs w:val="20"/>
              </w:rPr>
              <w:t xml:space="preserve"> as at 30 June</w:t>
            </w:r>
          </w:p>
        </w:tc>
        <w:tc>
          <w:tcPr>
            <w:tcW w:w="955" w:type="dxa"/>
            <w:tcBorders>
              <w:top w:val="single" w:sz="6" w:space="0" w:color="000000"/>
              <w:bottom w:val="single" w:sz="6" w:space="0" w:color="000000"/>
            </w:tcBorders>
            <w:shd w:val="clear" w:color="auto" w:fill="auto"/>
            <w:vAlign w:val="center"/>
          </w:tcPr>
          <w:p w:rsidR="001414B3" w:rsidRPr="00DE475B" w:rsidRDefault="001414B3" w:rsidP="00206538">
            <w:pPr>
              <w:jc w:val="right"/>
              <w:rPr>
                <w:rFonts w:ascii="Arial" w:hAnsi="Arial" w:cs="Arial"/>
                <w:b/>
                <w:bCs/>
                <w:sz w:val="20"/>
                <w:szCs w:val="20"/>
              </w:rPr>
            </w:pPr>
            <w:r>
              <w:rPr>
                <w:rFonts w:ascii="Arial" w:hAnsi="Arial" w:cs="Arial"/>
                <w:b/>
                <w:bCs/>
                <w:sz w:val="20"/>
                <w:szCs w:val="20"/>
              </w:rPr>
              <w:t>58</w:t>
            </w:r>
          </w:p>
        </w:tc>
        <w:tc>
          <w:tcPr>
            <w:tcW w:w="955" w:type="dxa"/>
            <w:tcBorders>
              <w:top w:val="single" w:sz="6" w:space="0" w:color="000000"/>
              <w:bottom w:val="single" w:sz="6" w:space="0" w:color="000000"/>
            </w:tcBorders>
            <w:shd w:val="clear" w:color="auto" w:fill="auto"/>
            <w:vAlign w:val="center"/>
          </w:tcPr>
          <w:p w:rsidR="001414B3" w:rsidRPr="00DE475B" w:rsidRDefault="001414B3" w:rsidP="00A2292F">
            <w:pPr>
              <w:jc w:val="right"/>
              <w:rPr>
                <w:rFonts w:ascii="Arial" w:hAnsi="Arial" w:cs="Arial"/>
                <w:b/>
                <w:bCs/>
                <w:sz w:val="20"/>
                <w:szCs w:val="20"/>
              </w:rPr>
            </w:pPr>
            <w:r w:rsidRPr="00DE475B">
              <w:rPr>
                <w:rFonts w:ascii="Arial" w:hAnsi="Arial" w:cs="Arial"/>
                <w:b/>
                <w:bCs/>
                <w:sz w:val="20"/>
                <w:szCs w:val="20"/>
              </w:rPr>
              <w:t>96</w:t>
            </w:r>
          </w:p>
        </w:tc>
        <w:tc>
          <w:tcPr>
            <w:tcW w:w="955" w:type="dxa"/>
            <w:tcBorders>
              <w:top w:val="single" w:sz="4" w:space="0" w:color="000000"/>
              <w:bottom w:val="single" w:sz="4" w:space="0" w:color="000000"/>
            </w:tcBorders>
            <w:shd w:val="clear" w:color="auto" w:fill="auto"/>
            <w:vAlign w:val="center"/>
          </w:tcPr>
          <w:p w:rsidR="001414B3" w:rsidRPr="00DE475B" w:rsidRDefault="001414B3" w:rsidP="00A2292F">
            <w:pPr>
              <w:jc w:val="right"/>
              <w:rPr>
                <w:rFonts w:ascii="Arial" w:hAnsi="Arial" w:cs="Arial"/>
                <w:b/>
                <w:bCs/>
                <w:sz w:val="20"/>
                <w:szCs w:val="20"/>
              </w:rPr>
            </w:pPr>
            <w:r>
              <w:rPr>
                <w:rFonts w:ascii="Arial" w:hAnsi="Arial" w:cs="Arial"/>
                <w:b/>
                <w:bCs/>
                <w:sz w:val="20"/>
                <w:szCs w:val="20"/>
              </w:rPr>
              <w:t>58</w:t>
            </w:r>
          </w:p>
        </w:tc>
        <w:tc>
          <w:tcPr>
            <w:tcW w:w="955" w:type="dxa"/>
            <w:tcBorders>
              <w:top w:val="single" w:sz="4" w:space="0" w:color="000000"/>
              <w:bottom w:val="single" w:sz="4" w:space="0" w:color="000000"/>
            </w:tcBorders>
            <w:shd w:val="clear" w:color="auto" w:fill="auto"/>
            <w:vAlign w:val="center"/>
          </w:tcPr>
          <w:p w:rsidR="001414B3" w:rsidRPr="00DE475B" w:rsidRDefault="001414B3" w:rsidP="00A2292F">
            <w:pPr>
              <w:jc w:val="right"/>
              <w:rPr>
                <w:rFonts w:ascii="Arial" w:hAnsi="Arial" w:cs="Arial"/>
                <w:b/>
                <w:bCs/>
                <w:sz w:val="20"/>
                <w:szCs w:val="20"/>
              </w:rPr>
            </w:pPr>
            <w:r w:rsidRPr="00DE475B">
              <w:rPr>
                <w:rFonts w:ascii="Arial" w:hAnsi="Arial" w:cs="Arial"/>
                <w:b/>
                <w:bCs/>
                <w:sz w:val="20"/>
                <w:szCs w:val="20"/>
              </w:rPr>
              <w:t>96</w:t>
            </w:r>
          </w:p>
        </w:tc>
      </w:tr>
      <w:tr w:rsidR="001414B3" w:rsidRPr="00DE475B" w:rsidTr="008D7D3A">
        <w:trPr>
          <w:trHeight w:val="340"/>
        </w:trPr>
        <w:tc>
          <w:tcPr>
            <w:tcW w:w="4969" w:type="dxa"/>
            <w:gridSpan w:val="3"/>
            <w:shd w:val="clear" w:color="auto" w:fill="auto"/>
            <w:vAlign w:val="bottom"/>
          </w:tcPr>
          <w:p w:rsidR="001414B3" w:rsidRPr="00DE475B" w:rsidRDefault="001414B3" w:rsidP="00206538">
            <w:pPr>
              <w:snapToGrid w:val="0"/>
              <w:rPr>
                <w:rFonts w:ascii="Arial" w:hAnsi="Arial" w:cs="Arial"/>
                <w:b/>
                <w:sz w:val="12"/>
                <w:szCs w:val="12"/>
              </w:rPr>
            </w:pPr>
          </w:p>
        </w:tc>
        <w:tc>
          <w:tcPr>
            <w:tcW w:w="955" w:type="dxa"/>
            <w:tcBorders>
              <w:top w:val="single" w:sz="6" w:space="0" w:color="000000"/>
              <w:bottom w:val="single" w:sz="6" w:space="0" w:color="000000"/>
            </w:tcBorders>
            <w:shd w:val="clear" w:color="auto" w:fill="auto"/>
            <w:vAlign w:val="center"/>
          </w:tcPr>
          <w:p w:rsidR="001414B3" w:rsidRPr="00DE475B" w:rsidRDefault="001414B3" w:rsidP="00206538">
            <w:pPr>
              <w:jc w:val="right"/>
              <w:rPr>
                <w:rFonts w:ascii="Arial" w:hAnsi="Arial" w:cs="Arial"/>
                <w:b/>
                <w:bCs/>
                <w:sz w:val="12"/>
                <w:szCs w:val="12"/>
              </w:rPr>
            </w:pPr>
          </w:p>
        </w:tc>
        <w:tc>
          <w:tcPr>
            <w:tcW w:w="955" w:type="dxa"/>
            <w:tcBorders>
              <w:top w:val="single" w:sz="6" w:space="0" w:color="000000"/>
              <w:bottom w:val="single" w:sz="6" w:space="0" w:color="000000"/>
            </w:tcBorders>
            <w:shd w:val="clear" w:color="auto" w:fill="auto"/>
            <w:vAlign w:val="center"/>
          </w:tcPr>
          <w:p w:rsidR="001414B3" w:rsidRPr="00DE475B" w:rsidRDefault="001414B3" w:rsidP="00206538">
            <w:pPr>
              <w:jc w:val="right"/>
              <w:rPr>
                <w:rFonts w:ascii="Arial" w:hAnsi="Arial" w:cs="Arial"/>
                <w:b/>
                <w:bCs/>
                <w:sz w:val="12"/>
                <w:szCs w:val="12"/>
              </w:rPr>
            </w:pPr>
          </w:p>
        </w:tc>
        <w:tc>
          <w:tcPr>
            <w:tcW w:w="955" w:type="dxa"/>
            <w:tcBorders>
              <w:top w:val="single" w:sz="4" w:space="0" w:color="000000"/>
              <w:bottom w:val="single" w:sz="4" w:space="0" w:color="000000"/>
            </w:tcBorders>
            <w:shd w:val="clear" w:color="auto" w:fill="auto"/>
            <w:vAlign w:val="center"/>
          </w:tcPr>
          <w:p w:rsidR="001414B3" w:rsidRPr="00DE475B" w:rsidRDefault="001414B3" w:rsidP="00206538">
            <w:pPr>
              <w:jc w:val="right"/>
              <w:rPr>
                <w:rFonts w:ascii="Arial" w:hAnsi="Arial" w:cs="Arial"/>
                <w:b/>
                <w:bCs/>
                <w:sz w:val="12"/>
                <w:szCs w:val="12"/>
              </w:rPr>
            </w:pPr>
          </w:p>
        </w:tc>
        <w:tc>
          <w:tcPr>
            <w:tcW w:w="955" w:type="dxa"/>
            <w:tcBorders>
              <w:top w:val="single" w:sz="4" w:space="0" w:color="000000"/>
              <w:bottom w:val="single" w:sz="4" w:space="0" w:color="000000"/>
            </w:tcBorders>
            <w:shd w:val="clear" w:color="auto" w:fill="auto"/>
            <w:vAlign w:val="center"/>
          </w:tcPr>
          <w:p w:rsidR="001414B3" w:rsidRPr="00DE475B" w:rsidRDefault="001414B3" w:rsidP="00206538">
            <w:pPr>
              <w:jc w:val="right"/>
              <w:rPr>
                <w:rFonts w:ascii="Arial" w:hAnsi="Arial" w:cs="Arial"/>
                <w:b/>
                <w:bCs/>
                <w:sz w:val="12"/>
                <w:szCs w:val="12"/>
              </w:rPr>
            </w:pPr>
          </w:p>
        </w:tc>
      </w:tr>
      <w:tr w:rsidR="001414B3" w:rsidRPr="00DE475B" w:rsidTr="008D7D3A">
        <w:trPr>
          <w:trHeight w:val="340"/>
        </w:trPr>
        <w:tc>
          <w:tcPr>
            <w:tcW w:w="4969" w:type="dxa"/>
            <w:gridSpan w:val="3"/>
            <w:shd w:val="clear" w:color="auto" w:fill="auto"/>
            <w:vAlign w:val="bottom"/>
          </w:tcPr>
          <w:p w:rsidR="001414B3" w:rsidRPr="00DE475B" w:rsidRDefault="001414B3" w:rsidP="00206538">
            <w:pPr>
              <w:snapToGrid w:val="0"/>
              <w:rPr>
                <w:rFonts w:ascii="Arial" w:hAnsi="Arial" w:cs="Arial"/>
                <w:sz w:val="20"/>
                <w:szCs w:val="20"/>
              </w:rPr>
            </w:pPr>
            <w:r w:rsidRPr="00DE475B">
              <w:rPr>
                <w:rFonts w:ascii="Arial" w:hAnsi="Arial" w:cs="Arial"/>
                <w:b/>
                <w:sz w:val="20"/>
                <w:szCs w:val="20"/>
              </w:rPr>
              <w:t xml:space="preserve">Heritage digital collections </w:t>
            </w:r>
            <w:r w:rsidRPr="00DE475B">
              <w:rPr>
                <w:rFonts w:ascii="Arial" w:hAnsi="Arial" w:cs="Arial"/>
                <w:b/>
                <w:bCs/>
                <w:sz w:val="20"/>
                <w:szCs w:val="20"/>
              </w:rPr>
              <w:t>carrying amount</w:t>
            </w:r>
            <w:r w:rsidRPr="00DE475B">
              <w:rPr>
                <w:rFonts w:ascii="Arial" w:hAnsi="Arial" w:cs="Arial"/>
                <w:b/>
                <w:bCs/>
                <w:sz w:val="20"/>
                <w:szCs w:val="20"/>
              </w:rPr>
              <w:br/>
              <w:t>as at 30 June</w:t>
            </w:r>
          </w:p>
        </w:tc>
        <w:tc>
          <w:tcPr>
            <w:tcW w:w="955" w:type="dxa"/>
            <w:tcBorders>
              <w:top w:val="single" w:sz="6" w:space="0" w:color="000000"/>
              <w:bottom w:val="single" w:sz="6" w:space="0" w:color="000000"/>
            </w:tcBorders>
            <w:shd w:val="clear" w:color="auto" w:fill="auto"/>
            <w:vAlign w:val="center"/>
          </w:tcPr>
          <w:p w:rsidR="001414B3" w:rsidRPr="00DE475B" w:rsidRDefault="001414B3" w:rsidP="00206538">
            <w:pPr>
              <w:jc w:val="right"/>
              <w:rPr>
                <w:rFonts w:ascii="Arial" w:hAnsi="Arial" w:cs="Arial"/>
                <w:b/>
                <w:bCs/>
                <w:sz w:val="20"/>
                <w:szCs w:val="20"/>
              </w:rPr>
            </w:pPr>
            <w:r>
              <w:rPr>
                <w:rFonts w:ascii="Arial" w:hAnsi="Arial" w:cs="Arial"/>
                <w:b/>
                <w:bCs/>
                <w:sz w:val="20"/>
                <w:szCs w:val="20"/>
              </w:rPr>
              <w:t>8,582</w:t>
            </w:r>
          </w:p>
        </w:tc>
        <w:tc>
          <w:tcPr>
            <w:tcW w:w="955" w:type="dxa"/>
            <w:tcBorders>
              <w:top w:val="single" w:sz="6" w:space="0" w:color="000000"/>
              <w:bottom w:val="single" w:sz="6" w:space="0" w:color="000000"/>
            </w:tcBorders>
            <w:shd w:val="clear" w:color="auto" w:fill="auto"/>
            <w:vAlign w:val="center"/>
          </w:tcPr>
          <w:p w:rsidR="001414B3" w:rsidRPr="00DE475B" w:rsidRDefault="001414B3" w:rsidP="00A2292F">
            <w:pPr>
              <w:jc w:val="right"/>
              <w:rPr>
                <w:rFonts w:ascii="Arial" w:hAnsi="Arial" w:cs="Arial"/>
                <w:b/>
                <w:bCs/>
                <w:sz w:val="20"/>
                <w:szCs w:val="20"/>
              </w:rPr>
            </w:pPr>
            <w:r w:rsidRPr="00DE475B">
              <w:rPr>
                <w:rFonts w:ascii="Arial" w:hAnsi="Arial" w:cs="Arial"/>
                <w:b/>
                <w:bCs/>
                <w:sz w:val="20"/>
                <w:szCs w:val="20"/>
              </w:rPr>
              <w:t>7,659</w:t>
            </w:r>
          </w:p>
        </w:tc>
        <w:tc>
          <w:tcPr>
            <w:tcW w:w="955" w:type="dxa"/>
            <w:tcBorders>
              <w:top w:val="single" w:sz="4" w:space="0" w:color="000000"/>
              <w:bottom w:val="single" w:sz="4" w:space="0" w:color="000000"/>
            </w:tcBorders>
            <w:shd w:val="clear" w:color="auto" w:fill="auto"/>
            <w:vAlign w:val="center"/>
          </w:tcPr>
          <w:p w:rsidR="001414B3" w:rsidRPr="00DE475B" w:rsidRDefault="001414B3" w:rsidP="00A2292F">
            <w:pPr>
              <w:jc w:val="right"/>
              <w:rPr>
                <w:rFonts w:ascii="Arial" w:hAnsi="Arial" w:cs="Arial"/>
                <w:b/>
                <w:bCs/>
                <w:sz w:val="20"/>
                <w:szCs w:val="20"/>
              </w:rPr>
            </w:pPr>
            <w:r>
              <w:rPr>
                <w:rFonts w:ascii="Arial" w:hAnsi="Arial" w:cs="Arial"/>
                <w:b/>
                <w:bCs/>
                <w:sz w:val="20"/>
                <w:szCs w:val="20"/>
              </w:rPr>
              <w:t>8,582</w:t>
            </w:r>
          </w:p>
        </w:tc>
        <w:tc>
          <w:tcPr>
            <w:tcW w:w="955" w:type="dxa"/>
            <w:tcBorders>
              <w:top w:val="single" w:sz="4" w:space="0" w:color="000000"/>
              <w:bottom w:val="single" w:sz="4" w:space="0" w:color="000000"/>
            </w:tcBorders>
            <w:shd w:val="clear" w:color="auto" w:fill="auto"/>
            <w:vAlign w:val="center"/>
          </w:tcPr>
          <w:p w:rsidR="001414B3" w:rsidRPr="00DE475B" w:rsidRDefault="001414B3" w:rsidP="00A2292F">
            <w:pPr>
              <w:jc w:val="right"/>
              <w:rPr>
                <w:rFonts w:ascii="Arial" w:hAnsi="Arial" w:cs="Arial"/>
                <w:b/>
                <w:bCs/>
                <w:sz w:val="20"/>
                <w:szCs w:val="20"/>
              </w:rPr>
            </w:pPr>
            <w:r w:rsidRPr="00DE475B">
              <w:rPr>
                <w:rFonts w:ascii="Arial" w:hAnsi="Arial" w:cs="Arial"/>
                <w:b/>
                <w:bCs/>
                <w:sz w:val="20"/>
                <w:szCs w:val="20"/>
              </w:rPr>
              <w:t>7,659</w:t>
            </w:r>
          </w:p>
        </w:tc>
      </w:tr>
      <w:tr w:rsidR="001414B3" w:rsidRPr="00DE475B" w:rsidTr="008D7D3A">
        <w:trPr>
          <w:trHeight w:val="340"/>
        </w:trPr>
        <w:tc>
          <w:tcPr>
            <w:tcW w:w="4969" w:type="dxa"/>
            <w:gridSpan w:val="3"/>
            <w:shd w:val="clear" w:color="auto" w:fill="auto"/>
            <w:vAlign w:val="bottom"/>
          </w:tcPr>
          <w:p w:rsidR="001414B3" w:rsidRPr="00DE475B" w:rsidRDefault="001414B3" w:rsidP="00206538">
            <w:pPr>
              <w:snapToGrid w:val="0"/>
              <w:rPr>
                <w:rFonts w:ascii="Arial" w:hAnsi="Arial" w:cs="Arial"/>
                <w:b/>
                <w:sz w:val="12"/>
                <w:szCs w:val="12"/>
              </w:rPr>
            </w:pPr>
          </w:p>
        </w:tc>
        <w:tc>
          <w:tcPr>
            <w:tcW w:w="955" w:type="dxa"/>
            <w:tcBorders>
              <w:top w:val="single" w:sz="6" w:space="0" w:color="000000"/>
              <w:bottom w:val="single" w:sz="6" w:space="0" w:color="000000"/>
            </w:tcBorders>
            <w:shd w:val="clear" w:color="auto" w:fill="auto"/>
            <w:vAlign w:val="center"/>
          </w:tcPr>
          <w:p w:rsidR="001414B3" w:rsidRPr="00DE475B" w:rsidRDefault="001414B3" w:rsidP="00206538">
            <w:pPr>
              <w:jc w:val="right"/>
              <w:rPr>
                <w:rFonts w:ascii="Arial" w:hAnsi="Arial" w:cs="Arial"/>
                <w:b/>
                <w:bCs/>
                <w:sz w:val="12"/>
                <w:szCs w:val="12"/>
              </w:rPr>
            </w:pPr>
          </w:p>
        </w:tc>
        <w:tc>
          <w:tcPr>
            <w:tcW w:w="955" w:type="dxa"/>
            <w:tcBorders>
              <w:top w:val="single" w:sz="6" w:space="0" w:color="000000"/>
              <w:bottom w:val="single" w:sz="6" w:space="0" w:color="000000"/>
            </w:tcBorders>
            <w:shd w:val="clear" w:color="auto" w:fill="auto"/>
            <w:vAlign w:val="center"/>
          </w:tcPr>
          <w:p w:rsidR="001414B3" w:rsidRPr="00DE475B" w:rsidRDefault="001414B3" w:rsidP="00206538">
            <w:pPr>
              <w:jc w:val="right"/>
              <w:rPr>
                <w:rFonts w:ascii="Arial" w:hAnsi="Arial" w:cs="Arial"/>
                <w:b/>
                <w:bCs/>
                <w:sz w:val="12"/>
                <w:szCs w:val="12"/>
              </w:rPr>
            </w:pPr>
          </w:p>
        </w:tc>
        <w:tc>
          <w:tcPr>
            <w:tcW w:w="955" w:type="dxa"/>
            <w:tcBorders>
              <w:top w:val="single" w:sz="4" w:space="0" w:color="000000"/>
              <w:bottom w:val="single" w:sz="4" w:space="0" w:color="000000"/>
            </w:tcBorders>
            <w:shd w:val="clear" w:color="auto" w:fill="auto"/>
            <w:vAlign w:val="center"/>
          </w:tcPr>
          <w:p w:rsidR="001414B3" w:rsidRPr="00DE475B" w:rsidRDefault="001414B3" w:rsidP="00206538">
            <w:pPr>
              <w:jc w:val="right"/>
              <w:rPr>
                <w:rFonts w:ascii="Arial" w:hAnsi="Arial" w:cs="Arial"/>
                <w:b/>
                <w:bCs/>
                <w:sz w:val="12"/>
                <w:szCs w:val="12"/>
              </w:rPr>
            </w:pPr>
          </w:p>
        </w:tc>
        <w:tc>
          <w:tcPr>
            <w:tcW w:w="955" w:type="dxa"/>
            <w:tcBorders>
              <w:top w:val="single" w:sz="4" w:space="0" w:color="000000"/>
              <w:bottom w:val="single" w:sz="4" w:space="0" w:color="000000"/>
            </w:tcBorders>
            <w:shd w:val="clear" w:color="auto" w:fill="auto"/>
            <w:vAlign w:val="center"/>
          </w:tcPr>
          <w:p w:rsidR="001414B3" w:rsidRPr="00DE475B" w:rsidRDefault="001414B3" w:rsidP="00206538">
            <w:pPr>
              <w:jc w:val="right"/>
              <w:rPr>
                <w:rFonts w:ascii="Arial" w:hAnsi="Arial" w:cs="Arial"/>
                <w:b/>
                <w:sz w:val="12"/>
                <w:szCs w:val="12"/>
              </w:rPr>
            </w:pPr>
          </w:p>
        </w:tc>
      </w:tr>
      <w:tr w:rsidR="001414B3" w:rsidRPr="00DE475B" w:rsidTr="008D7D3A">
        <w:trPr>
          <w:trHeight w:val="340"/>
        </w:trPr>
        <w:tc>
          <w:tcPr>
            <w:tcW w:w="4969" w:type="dxa"/>
            <w:gridSpan w:val="3"/>
            <w:shd w:val="clear" w:color="auto" w:fill="auto"/>
          </w:tcPr>
          <w:p w:rsidR="001414B3" w:rsidRPr="00DE475B" w:rsidRDefault="001414B3" w:rsidP="00696837">
            <w:pPr>
              <w:snapToGrid w:val="0"/>
              <w:rPr>
                <w:rFonts w:ascii="Arial" w:hAnsi="Arial" w:cs="Arial"/>
                <w:b/>
                <w:sz w:val="20"/>
                <w:szCs w:val="20"/>
              </w:rPr>
            </w:pPr>
            <w:r w:rsidRPr="00DE475B">
              <w:rPr>
                <w:rFonts w:ascii="Arial" w:hAnsi="Arial" w:cs="Arial"/>
                <w:b/>
                <w:sz w:val="20"/>
                <w:szCs w:val="20"/>
              </w:rPr>
              <w:t xml:space="preserve">Total </w:t>
            </w:r>
            <w:r w:rsidR="00696837">
              <w:rPr>
                <w:rFonts w:ascii="Arial" w:hAnsi="Arial" w:cs="Arial"/>
                <w:b/>
                <w:sz w:val="20"/>
                <w:szCs w:val="20"/>
              </w:rPr>
              <w:t>Intangibles C</w:t>
            </w:r>
            <w:r w:rsidRPr="00DE475B">
              <w:rPr>
                <w:rFonts w:ascii="Arial" w:hAnsi="Arial" w:cs="Arial"/>
                <w:b/>
                <w:sz w:val="20"/>
                <w:szCs w:val="20"/>
              </w:rPr>
              <w:t>arrying amount at 30 June</w:t>
            </w:r>
          </w:p>
        </w:tc>
        <w:tc>
          <w:tcPr>
            <w:tcW w:w="955" w:type="dxa"/>
            <w:tcBorders>
              <w:top w:val="single" w:sz="6" w:space="0" w:color="000000"/>
              <w:bottom w:val="single" w:sz="6" w:space="0" w:color="000000"/>
            </w:tcBorders>
            <w:shd w:val="clear" w:color="auto" w:fill="auto"/>
            <w:vAlign w:val="center"/>
          </w:tcPr>
          <w:p w:rsidR="001414B3" w:rsidRPr="00DE475B" w:rsidRDefault="001414B3" w:rsidP="00206538">
            <w:pPr>
              <w:jc w:val="right"/>
              <w:rPr>
                <w:rFonts w:ascii="Arial" w:hAnsi="Arial" w:cs="Arial"/>
                <w:b/>
                <w:bCs/>
                <w:sz w:val="20"/>
                <w:szCs w:val="20"/>
              </w:rPr>
            </w:pPr>
            <w:r>
              <w:rPr>
                <w:rFonts w:ascii="Arial" w:hAnsi="Arial" w:cs="Arial"/>
                <w:b/>
                <w:bCs/>
                <w:sz w:val="20"/>
                <w:szCs w:val="20"/>
              </w:rPr>
              <w:t>8,585</w:t>
            </w:r>
          </w:p>
        </w:tc>
        <w:tc>
          <w:tcPr>
            <w:tcW w:w="955" w:type="dxa"/>
            <w:tcBorders>
              <w:top w:val="single" w:sz="6" w:space="0" w:color="000000"/>
              <w:bottom w:val="single" w:sz="6" w:space="0" w:color="000000"/>
            </w:tcBorders>
            <w:shd w:val="clear" w:color="auto" w:fill="auto"/>
            <w:vAlign w:val="center"/>
          </w:tcPr>
          <w:p w:rsidR="001414B3" w:rsidRPr="00DE475B" w:rsidRDefault="001414B3" w:rsidP="00A2292F">
            <w:pPr>
              <w:jc w:val="right"/>
              <w:rPr>
                <w:rFonts w:ascii="Arial" w:hAnsi="Arial" w:cs="Arial"/>
                <w:b/>
                <w:bCs/>
                <w:sz w:val="20"/>
                <w:szCs w:val="20"/>
              </w:rPr>
            </w:pPr>
            <w:r w:rsidRPr="00DE475B">
              <w:rPr>
                <w:rFonts w:ascii="Arial" w:hAnsi="Arial" w:cs="Arial"/>
                <w:b/>
                <w:bCs/>
                <w:sz w:val="20"/>
                <w:szCs w:val="20"/>
              </w:rPr>
              <w:t>7,663</w:t>
            </w:r>
          </w:p>
        </w:tc>
        <w:tc>
          <w:tcPr>
            <w:tcW w:w="955" w:type="dxa"/>
            <w:tcBorders>
              <w:top w:val="single" w:sz="4" w:space="0" w:color="000000"/>
              <w:bottom w:val="single" w:sz="4" w:space="0" w:color="000000"/>
            </w:tcBorders>
            <w:shd w:val="clear" w:color="auto" w:fill="auto"/>
            <w:vAlign w:val="center"/>
          </w:tcPr>
          <w:p w:rsidR="001414B3" w:rsidRPr="00DE475B" w:rsidRDefault="001414B3" w:rsidP="00A2292F">
            <w:pPr>
              <w:jc w:val="right"/>
              <w:rPr>
                <w:rFonts w:ascii="Arial" w:hAnsi="Arial" w:cs="Arial"/>
                <w:b/>
                <w:bCs/>
                <w:sz w:val="20"/>
                <w:szCs w:val="20"/>
              </w:rPr>
            </w:pPr>
            <w:r>
              <w:rPr>
                <w:rFonts w:ascii="Arial" w:hAnsi="Arial" w:cs="Arial"/>
                <w:b/>
                <w:bCs/>
                <w:sz w:val="20"/>
                <w:szCs w:val="20"/>
              </w:rPr>
              <w:t>8,585</w:t>
            </w:r>
          </w:p>
        </w:tc>
        <w:tc>
          <w:tcPr>
            <w:tcW w:w="955" w:type="dxa"/>
            <w:tcBorders>
              <w:top w:val="single" w:sz="4" w:space="0" w:color="000000"/>
              <w:bottom w:val="single" w:sz="4" w:space="0" w:color="000000"/>
            </w:tcBorders>
            <w:shd w:val="clear" w:color="auto" w:fill="auto"/>
            <w:vAlign w:val="center"/>
          </w:tcPr>
          <w:p w:rsidR="001414B3" w:rsidRPr="00DE475B" w:rsidRDefault="001414B3" w:rsidP="00A2292F">
            <w:pPr>
              <w:jc w:val="right"/>
              <w:rPr>
                <w:rFonts w:ascii="Arial" w:hAnsi="Arial" w:cs="Arial"/>
                <w:b/>
                <w:bCs/>
                <w:sz w:val="20"/>
                <w:szCs w:val="20"/>
              </w:rPr>
            </w:pPr>
            <w:r w:rsidRPr="00DE475B">
              <w:rPr>
                <w:rFonts w:ascii="Arial" w:hAnsi="Arial" w:cs="Arial"/>
                <w:b/>
                <w:bCs/>
                <w:sz w:val="20"/>
                <w:szCs w:val="20"/>
              </w:rPr>
              <w:t>7,663</w:t>
            </w:r>
          </w:p>
        </w:tc>
      </w:tr>
    </w:tbl>
    <w:p w:rsidR="00FB3766" w:rsidRPr="00DE475B" w:rsidRDefault="009E7DF8" w:rsidP="00272530">
      <w:pPr>
        <w:tabs>
          <w:tab w:val="left" w:pos="284"/>
          <w:tab w:val="left" w:pos="5878"/>
          <w:tab w:val="left" w:pos="8548"/>
          <w:tab w:val="left" w:pos="8770"/>
          <w:tab w:val="left" w:pos="10266"/>
          <w:tab w:val="left" w:pos="11702"/>
        </w:tabs>
        <w:spacing w:before="40"/>
        <w:rPr>
          <w:rFonts w:ascii="Arial" w:hAnsi="Arial" w:cs="Arial"/>
          <w:bCs/>
          <w:i/>
          <w:iCs/>
          <w:sz w:val="18"/>
          <w:szCs w:val="18"/>
        </w:rPr>
        <w:sectPr w:rsidR="00FB3766" w:rsidRPr="00DE475B" w:rsidSect="00B53922">
          <w:type w:val="continuous"/>
          <w:pgSz w:w="11906" w:h="16838"/>
          <w:pgMar w:top="1440" w:right="1701" w:bottom="1440" w:left="1701" w:header="680" w:footer="680" w:gutter="0"/>
          <w:cols w:space="566"/>
          <w:docGrid w:linePitch="360"/>
        </w:sectPr>
      </w:pPr>
      <w:r w:rsidRPr="00DE475B">
        <w:rPr>
          <w:rFonts w:ascii="Arial" w:hAnsi="Arial" w:cs="Arial"/>
          <w:bCs/>
          <w:sz w:val="18"/>
          <w:szCs w:val="18"/>
        </w:rPr>
        <w:t>*Work in Progress represents purchases made not yet catalogued</w:t>
      </w:r>
      <w:r w:rsidR="00FB3766" w:rsidRPr="00DE475B">
        <w:rPr>
          <w:rFonts w:ascii="Arial" w:hAnsi="Arial" w:cs="Arial"/>
          <w:b/>
          <w:bCs/>
          <w:sz w:val="18"/>
          <w:szCs w:val="18"/>
        </w:rPr>
        <w:br w:type="page"/>
      </w:r>
    </w:p>
    <w:p w:rsidR="001E4C15" w:rsidRPr="00DE475B" w:rsidRDefault="001E4C15" w:rsidP="001E4C15">
      <w:pPr>
        <w:pStyle w:val="ARbodytext"/>
        <w:rPr>
          <w:b/>
          <w:bCs/>
        </w:rPr>
      </w:pPr>
      <w:r w:rsidRPr="00DE475B">
        <w:rPr>
          <w:b/>
          <w:bCs/>
          <w:i/>
          <w:iCs/>
        </w:rPr>
        <w:lastRenderedPageBreak/>
        <w:t>Library Board of Queensland and controlled entities</w:t>
      </w:r>
    </w:p>
    <w:p w:rsidR="001E4C15" w:rsidRPr="00DE475B" w:rsidRDefault="00373FFE" w:rsidP="001E4C15">
      <w:pPr>
        <w:rPr>
          <w:rFonts w:ascii="Arial" w:hAnsi="Arial" w:cs="Arial"/>
          <w:b/>
          <w:bCs/>
          <w:sz w:val="20"/>
          <w:szCs w:val="20"/>
        </w:rPr>
      </w:pPr>
      <w:r w:rsidRPr="00DE475B">
        <w:rPr>
          <w:noProof/>
          <w:lang w:eastAsia="en-AU"/>
        </w:rPr>
        <mc:AlternateContent>
          <mc:Choice Requires="wps">
            <w:drawing>
              <wp:anchor distT="0" distB="0" distL="114300" distR="114300" simplePos="0" relativeHeight="251643904" behindDoc="0" locked="0" layoutInCell="1" allowOverlap="1" wp14:anchorId="629EFBFE" wp14:editId="083636CA">
                <wp:simplePos x="0" y="0"/>
                <wp:positionH relativeFrom="column">
                  <wp:posOffset>-66040</wp:posOffset>
                </wp:positionH>
                <wp:positionV relativeFrom="paragraph">
                  <wp:posOffset>-222250</wp:posOffset>
                </wp:positionV>
                <wp:extent cx="5573395" cy="0"/>
                <wp:effectExtent l="13970" t="7620" r="13335" b="11430"/>
                <wp:wrapNone/>
                <wp:docPr id="50"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lwmwIAAHoFAAAOAAAAZHJzL2Uyb0RvYy54bWysVE1v2zAMvQ/YfxB0d23Hdj6MOkXrOLt0&#10;W4F22FmR5ViYLHmSGicY+t9HKYnXdJdhaAIYokRSj3yPur7ZdwLtmDZcyQLHVxFGTFJVc7kt8Len&#10;dTDHyFgiayKUZAU+MINvlh8/XA99ziaqVaJmGkESafKhL3BrbZ+HoaEt64i5Uj2TcNgo3RELpt6G&#10;tSYDZO9EOImiaTgoXfdaUWYM7K6Oh3jp8zcNo/Zr0xhmkSgwYLP+q/13477h8prkW036ltMTDPIf&#10;KDrCJVw6ploRS9Cz5n+l6jjVyqjGXlHVhappOGW+Bqgmjt5U89iSnvlaoDmmH9tk3i8t/bJ70IjX&#10;Bc6gPZJ0wNE9lwxN4tQ1Z+hNDj6lfNCuPLqXj/29oj8MkqpsidwyD/Lp0ENg7CLCixBnmB6u2Ayf&#10;VQ0+5Nkq36l9ozuXEnqA9p6Qw0gI21tEYTPLZkmyyDCi57OQ5OfAXhv7iakOuUWBBaD2icnu3lgH&#10;hORnF3ePVGsuhOdbSDQUeJFMoWRKQHXmp480SvDaeTl/o7ebUmi0I046/ufLg5PXbh23IGDBuwLP&#10;RyeSt4zUlaz9dZZwcVwDJCFdcualecQJ1t7C0u9D4V42vxbRoppX8zRIJ9MqSKPVKrhdl2kwXcez&#10;bJWsynIVvzjUcZq3vK6ZdMDPEo7Tf5PIaZiO4htFPLYqvMzuewpgL5HerrNolibzYDbLkiBNqii4&#10;m6/L4LaMp9NZdVfeVW+QVr568z5gx1Y6VOoZ2Hhs6wHV3IkiyRaTGIMBIz+ZHflBRGzhraJWY6SV&#10;/c5t6zXs1OdyXBA/j9z/RPyY/diIM4fOGlk41fanVcD5mV8/Gm4ajnO1UfXhQZ9HBgbcB50eI/eC&#10;vLZh/frJXP4GAAD//wMAUEsDBBQABgAIAAAAIQDe2Ktn4AAAAAsBAAAPAAAAZHJzL2Rvd25yZXYu&#10;eG1sTI9BS8NAEIXvgv9hGcGLtJuaWEvMpoggHgRpqyjettkxG8zOht1tE/+9Iwh6m5n3ePO9aj25&#10;XhwxxM6TgsU8A4HUeNNRq+Dl+X62AhGTJqN7T6jgCyOs69OTSpfGj7TF4y61gkMollqBTWkopYyN&#10;Rafj3A9IrH344HTiNbTSBD1yuOvlZZYtpdMd8QerB7yz2HzuDk7BUxi7mPKi2GB6f314fLObC7dV&#10;6vxsur0BkXBKf2b4wWd0qJlp7w9kougVzBZZwVYe8isuxY7V8joHsf+9yLqS/zvU3wAAAP//AwBQ&#10;SwECLQAUAAYACAAAACEAtoM4kv4AAADhAQAAEwAAAAAAAAAAAAAAAAAAAAAAW0NvbnRlbnRfVHlw&#10;ZXNdLnhtbFBLAQItABQABgAIAAAAIQA4/SH/1gAAAJQBAAALAAAAAAAAAAAAAAAAAC8BAABfcmVs&#10;cy8ucmVsc1BLAQItABQABgAIAAAAIQAizclwmwIAAHoFAAAOAAAAAAAAAAAAAAAAAC4CAABkcnMv&#10;ZTJvRG9jLnhtbFBLAQItABQABgAIAAAAIQDe2Ktn4AAAAAsBAAAPAAAAAAAAAAAAAAAAAPUEAABk&#10;cnMvZG93bnJldi54bWxQSwUGAAAAAAQABADzAAAAAgYAAAAA&#10;" strokeweight=".26mm">
                <v:stroke joinstyle="miter" endcap="square"/>
              </v:line>
            </w:pict>
          </mc:Fallback>
        </mc:AlternateContent>
      </w:r>
      <w:r w:rsidR="001E4C15" w:rsidRPr="00DE475B">
        <w:rPr>
          <w:rFonts w:ascii="Arial" w:hAnsi="Arial" w:cs="Arial"/>
          <w:b/>
          <w:bCs/>
          <w:sz w:val="20"/>
          <w:szCs w:val="20"/>
        </w:rPr>
        <w:t>NOTES TO THE FINANCIAL STATEMENTS</w:t>
      </w:r>
      <w:r w:rsidR="00D36DBA" w:rsidRPr="00DE475B">
        <w:rPr>
          <w:rFonts w:ascii="Arial" w:hAnsi="Arial" w:cs="Arial"/>
          <w:b/>
          <w:bCs/>
          <w:sz w:val="20"/>
          <w:szCs w:val="20"/>
        </w:rPr>
        <w:t xml:space="preserve"> </w:t>
      </w:r>
    </w:p>
    <w:p w:rsidR="001E4C15" w:rsidRPr="00DE475B" w:rsidRDefault="00B91AE8" w:rsidP="001E4C15">
      <w:r>
        <w:rPr>
          <w:rFonts w:ascii="Arial" w:hAnsi="Arial" w:cs="Arial"/>
          <w:b/>
          <w:bCs/>
          <w:sz w:val="20"/>
          <w:szCs w:val="20"/>
        </w:rPr>
        <w:t>For the year ended 30 June 2017</w:t>
      </w:r>
    </w:p>
    <w:p w:rsidR="001E4C15" w:rsidRPr="00DE475B" w:rsidRDefault="00373FFE" w:rsidP="001E4C15">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642880" behindDoc="0" locked="0" layoutInCell="1" allowOverlap="1" wp14:anchorId="22E08BFF" wp14:editId="1B677A59">
                <wp:simplePos x="0" y="0"/>
                <wp:positionH relativeFrom="column">
                  <wp:posOffset>-66040</wp:posOffset>
                </wp:positionH>
                <wp:positionV relativeFrom="paragraph">
                  <wp:posOffset>70485</wp:posOffset>
                </wp:positionV>
                <wp:extent cx="5573395" cy="0"/>
                <wp:effectExtent l="13970" t="11430" r="13335" b="7620"/>
                <wp:wrapNone/>
                <wp:docPr id="49"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2a5mwIAAHoFAAAOAAAAZHJzL2Uyb0RvYy54bWysVN9v2yAQfp+0/wHx7tqOnV9Wnal1nL10&#10;W6V22jMBHKNh8IDGqab97ztI4jXdyzQ1kSwO7o7v7vuO6w+HTqI9N1ZoVeL0KsGIK6qZULsSf33c&#10;RAuMrCOKEakVL/Ezt/jD6v2766Ev+ES3WjJuECRRthj6ErfO9UUcW9ryjtgr3XMFh402HXFgml3M&#10;DBkgeyfjSZLM4kEb1htNubWwuz4e4lXI3zScui9NY7lDssSAzYWvCd+t/8ara1LsDOlbQU8wyH+g&#10;6IhQcOmYak0cQU9G/JWqE9Roqxt3RXUX66YRlIcaoJo0eVXNQ0t6HmqB5th+bJN9u7T08/7eIMFK&#10;nC8xUqQDju6E4miSZr45Q28L8KnUvfHl0YN66O80/W6R0lVL1I4HkI/PPQSmPiK+CPGG7eGK7fBJ&#10;M/AhT06HTh0a0/mU0AN0CIQ8j4Twg0MUNqfTeZYtpxjR81lMinNgb6z7yHWH/KLEElCHxGR/Z50H&#10;Qoqzi79H6Y2QMvAtFRpKvMxmoAhKQHX2R4i0Wgrmvby/NbttJQ3aEy+d8AvlwclLt044ELAUXYkX&#10;oxMpWk5YrVi4zhEhj2uAJJVPzoM0jzjBOjhYhn0oPMjm5zJZ1ot6kUf5ZFZHebJeRzebKo9mm3Q+&#10;XWfrqlqnvzzqNC9awRhXHvhZwmn+bxI5DdNRfKOIx1bFl9lDTwHsJdKbzTSZ59kims+nWZRndRLd&#10;LjZVdFOls9m8vq1u61dI61C9fRuwYys9Kv0EbDy0bEBMeFFk0+UkxWDAyE/mR34QkTt4q6gzGBnt&#10;vgnXBg179fkcF8QvEv8/ET9mPzbizKG3RhZOtf1pFXB+5jeMhp+G41xtNXu+N+eRgQEPQafHyL8g&#10;L21Yv3wyV78BAAD//wMAUEsDBBQABgAIAAAAIQDwQGlx3gAAAAkBAAAPAAAAZHJzL2Rvd25yZXYu&#10;eG1sTI/BSsNAEIbvgu+wjOBF2k1sqCVmU0QQD4K0VRRv2+yYDWZnw+62iW/vSA96nPk//vmmWk+u&#10;F0cMsfOkIJ9nIJAabzpqFby+PMxWIGLSZHTvCRV8Y4R1fX5W6dL4kbZ43KVWcAnFUiuwKQ2llLGx&#10;6HSc+wGJs08fnE48hlaaoEcud728zrKldLojvmD1gPcWm6/dwSl4DmMX06IoNpg+3h6f3u3mym2V&#10;uryY7m5BJJzSHwy/+qwONTvt/YFMFL2CWZ4VjHKQ5yAYWC1vFiD2p4WsK/n/g/oHAAD//wMAUEsB&#10;Ai0AFAAGAAgAAAAhALaDOJL+AAAA4QEAABMAAAAAAAAAAAAAAAAAAAAAAFtDb250ZW50X1R5cGVz&#10;XS54bWxQSwECLQAUAAYACAAAACEAOP0h/9YAAACUAQAACwAAAAAAAAAAAAAAAAAvAQAAX3JlbHMv&#10;LnJlbHNQSwECLQAUAAYACAAAACEAfQ9muZsCAAB6BQAADgAAAAAAAAAAAAAAAAAuAgAAZHJzL2Uy&#10;b0RvYy54bWxQSwECLQAUAAYACAAAACEA8EBpcd4AAAAJAQAADwAAAAAAAAAAAAAAAAD1BAAAZHJz&#10;L2Rvd25yZXYueG1sUEsFBgAAAAAEAAQA8wAAAAAGAAAAAA==&#10;" strokeweight=".26mm">
                <v:stroke joinstyle="miter" endcap="square"/>
              </v:line>
            </w:pict>
          </mc:Fallback>
        </mc:AlternateContent>
      </w:r>
    </w:p>
    <w:p w:rsidR="001E4C15" w:rsidRPr="00DE475B" w:rsidRDefault="001E4C15" w:rsidP="001E4C15">
      <w:pPr>
        <w:pStyle w:val="ARheading3"/>
        <w:tabs>
          <w:tab w:val="left" w:pos="851"/>
        </w:tabs>
        <w:spacing w:after="120"/>
        <w:rPr>
          <w:color w:val="808080"/>
        </w:rPr>
        <w:sectPr w:rsidR="001E4C15" w:rsidRPr="00DE475B" w:rsidSect="00B53922">
          <w:type w:val="continuous"/>
          <w:pgSz w:w="11906" w:h="16838"/>
          <w:pgMar w:top="1440" w:right="1701" w:bottom="1440" w:left="1701" w:header="680" w:footer="680" w:gutter="0"/>
          <w:cols w:space="720"/>
          <w:docGrid w:linePitch="360"/>
        </w:sectPr>
      </w:pPr>
      <w:r w:rsidRPr="00DE475B">
        <w:rPr>
          <w:color w:val="808080"/>
        </w:rPr>
        <w:t>C4 Property, plant and equipment</w:t>
      </w:r>
    </w:p>
    <w:p w:rsidR="005E7DB4" w:rsidRPr="00DE475B" w:rsidRDefault="001E4C15" w:rsidP="00652F6C">
      <w:pPr>
        <w:tabs>
          <w:tab w:val="left" w:pos="284"/>
          <w:tab w:val="left" w:pos="5878"/>
          <w:tab w:val="left" w:pos="8548"/>
          <w:tab w:val="left" w:pos="8770"/>
          <w:tab w:val="left" w:pos="10266"/>
          <w:tab w:val="left" w:pos="11702"/>
        </w:tabs>
        <w:rPr>
          <w:rFonts w:ascii="Arial" w:hAnsi="Arial" w:cs="Arial"/>
          <w:b/>
          <w:bCs/>
          <w:sz w:val="20"/>
          <w:szCs w:val="20"/>
        </w:rPr>
        <w:sectPr w:rsidR="005E7DB4" w:rsidRPr="00DE475B" w:rsidSect="00B53922">
          <w:type w:val="continuous"/>
          <w:pgSz w:w="11906" w:h="16838"/>
          <w:pgMar w:top="1440" w:right="1701" w:bottom="1440" w:left="1701" w:header="680" w:footer="680" w:gutter="0"/>
          <w:cols w:num="2" w:space="566"/>
          <w:docGrid w:linePitch="360"/>
        </w:sectPr>
      </w:pPr>
      <w:r w:rsidRPr="00DE475B">
        <w:rPr>
          <w:rFonts w:ascii="Arial" w:hAnsi="Arial" w:cs="Arial"/>
          <w:b/>
          <w:bCs/>
          <w:sz w:val="20"/>
          <w:szCs w:val="20"/>
        </w:rPr>
        <w:lastRenderedPageBreak/>
        <w:t>C4-1 Accounting policies</w:t>
      </w:r>
    </w:p>
    <w:p w:rsidR="00933C84" w:rsidRPr="00DE475B" w:rsidRDefault="00B91AE8" w:rsidP="00933C84">
      <w:pPr>
        <w:rPr>
          <w:rFonts w:ascii="Arial" w:hAnsi="Arial" w:cs="Arial"/>
          <w:i/>
          <w:iCs/>
          <w:sz w:val="20"/>
          <w:szCs w:val="20"/>
        </w:rPr>
      </w:pPr>
      <w:r>
        <w:rPr>
          <w:rFonts w:ascii="Arial" w:hAnsi="Arial" w:cs="Arial"/>
          <w:i/>
          <w:iCs/>
          <w:sz w:val="20"/>
          <w:szCs w:val="20"/>
        </w:rPr>
        <w:lastRenderedPageBreak/>
        <w:t>Basis of capitalisation and r</w:t>
      </w:r>
      <w:r w:rsidR="00933C84" w:rsidRPr="00DE475B">
        <w:rPr>
          <w:rFonts w:ascii="Arial" w:hAnsi="Arial" w:cs="Arial"/>
          <w:i/>
          <w:iCs/>
          <w:sz w:val="20"/>
          <w:szCs w:val="20"/>
        </w:rPr>
        <w:t xml:space="preserve">ecognition </w:t>
      </w:r>
      <w:r>
        <w:rPr>
          <w:rFonts w:ascii="Arial" w:hAnsi="Arial" w:cs="Arial"/>
          <w:i/>
          <w:iCs/>
          <w:sz w:val="20"/>
          <w:szCs w:val="20"/>
        </w:rPr>
        <w:t>t</w:t>
      </w:r>
      <w:r w:rsidR="00933C84" w:rsidRPr="00DE475B">
        <w:rPr>
          <w:rFonts w:ascii="Arial" w:hAnsi="Arial" w:cs="Arial"/>
          <w:i/>
          <w:iCs/>
          <w:sz w:val="20"/>
          <w:szCs w:val="20"/>
        </w:rPr>
        <w:t>hresholds</w:t>
      </w:r>
    </w:p>
    <w:p w:rsidR="00933C84" w:rsidRPr="00DE475B" w:rsidRDefault="00933C84" w:rsidP="00AD5168">
      <w:pPr>
        <w:tabs>
          <w:tab w:val="left" w:pos="504"/>
          <w:tab w:val="left" w:pos="5878"/>
        </w:tabs>
        <w:spacing w:after="120"/>
        <w:rPr>
          <w:rFonts w:ascii="Arial" w:hAnsi="Arial" w:cs="Arial"/>
          <w:sz w:val="20"/>
          <w:szCs w:val="20"/>
        </w:rPr>
      </w:pPr>
      <w:r w:rsidRPr="00DE475B">
        <w:rPr>
          <w:rFonts w:ascii="Arial" w:hAnsi="Arial" w:cs="Arial"/>
          <w:sz w:val="20"/>
          <w:szCs w:val="20"/>
        </w:rPr>
        <w:t xml:space="preserve">Items of property, plant and equipment, with the exception of the collections, with a cost or other value in excess of $5,000 are recognised for financial reporting purposes in the year of acquisition. As per the </w:t>
      </w:r>
      <w:r w:rsidRPr="00DE475B">
        <w:rPr>
          <w:rFonts w:ascii="Arial" w:hAnsi="Arial" w:cs="Arial"/>
          <w:i/>
          <w:sz w:val="20"/>
          <w:szCs w:val="20"/>
        </w:rPr>
        <w:t>Non-Current Asset Accounting Policies for the Queensland Public Sector</w:t>
      </w:r>
      <w:r w:rsidRPr="00DE475B">
        <w:rPr>
          <w:rFonts w:ascii="Arial" w:hAnsi="Arial" w:cs="Arial"/>
          <w:sz w:val="20"/>
          <w:szCs w:val="20"/>
        </w:rPr>
        <w:t xml:space="preserve"> (</w:t>
      </w:r>
      <w:proofErr w:type="spellStart"/>
      <w:r w:rsidRPr="00DE475B">
        <w:rPr>
          <w:rFonts w:ascii="Arial" w:hAnsi="Arial" w:cs="Arial"/>
          <w:sz w:val="20"/>
          <w:szCs w:val="20"/>
        </w:rPr>
        <w:t>NCAPs</w:t>
      </w:r>
      <w:proofErr w:type="spellEnd"/>
      <w:r w:rsidRPr="00DE475B">
        <w:rPr>
          <w:rFonts w:ascii="Arial" w:hAnsi="Arial" w:cs="Arial"/>
          <w:sz w:val="20"/>
          <w:szCs w:val="20"/>
        </w:rPr>
        <w:t>), an asset recognition threshold of $1,000,000 is applied to the reference collection (Information Collection) and a threshold of $5,000 applies to the heritage and cultural collections (John Oxley Library (</w:t>
      </w:r>
      <w:proofErr w:type="spellStart"/>
      <w:r w:rsidRPr="00DE475B">
        <w:rPr>
          <w:rFonts w:ascii="Arial" w:hAnsi="Arial" w:cs="Arial"/>
          <w:sz w:val="20"/>
          <w:szCs w:val="20"/>
        </w:rPr>
        <w:t>JOL</w:t>
      </w:r>
      <w:proofErr w:type="spellEnd"/>
      <w:r w:rsidRPr="00DE475B">
        <w:rPr>
          <w:rFonts w:ascii="Arial" w:hAnsi="Arial" w:cs="Arial"/>
          <w:sz w:val="20"/>
          <w:szCs w:val="20"/>
        </w:rPr>
        <w:t>) and Australian Library of Art (ALA)).</w:t>
      </w:r>
    </w:p>
    <w:p w:rsidR="00AD5168" w:rsidRPr="00DE475B" w:rsidRDefault="00933C84" w:rsidP="00AD5168">
      <w:pPr>
        <w:tabs>
          <w:tab w:val="left" w:pos="284"/>
        </w:tabs>
        <w:rPr>
          <w:rFonts w:ascii="Arial" w:hAnsi="Arial" w:cs="Arial"/>
          <w:b/>
          <w:bCs/>
          <w:sz w:val="20"/>
          <w:szCs w:val="20"/>
        </w:rPr>
      </w:pPr>
      <w:r w:rsidRPr="00DE475B">
        <w:rPr>
          <w:rFonts w:ascii="Arial" w:hAnsi="Arial" w:cs="Arial"/>
          <w:spacing w:val="-2"/>
          <w:sz w:val="20"/>
          <w:szCs w:val="20"/>
        </w:rPr>
        <w:t>Items with a lesser value are expensed in the year of acquisition.</w:t>
      </w:r>
      <w:r w:rsidR="00AD5168" w:rsidRPr="00DE475B">
        <w:rPr>
          <w:rFonts w:ascii="Arial" w:hAnsi="Arial" w:cs="Arial"/>
          <w:b/>
          <w:bCs/>
          <w:sz w:val="20"/>
          <w:szCs w:val="20"/>
        </w:rPr>
        <w:t xml:space="preserve"> </w:t>
      </w:r>
    </w:p>
    <w:p w:rsidR="00AD5168" w:rsidRPr="00DE475B" w:rsidRDefault="00AD5168" w:rsidP="00AD5168">
      <w:pPr>
        <w:tabs>
          <w:tab w:val="left" w:pos="284"/>
        </w:tabs>
        <w:rPr>
          <w:rFonts w:ascii="Arial" w:hAnsi="Arial" w:cs="Arial"/>
          <w:b/>
          <w:bCs/>
          <w:sz w:val="20"/>
          <w:szCs w:val="20"/>
        </w:rPr>
      </w:pPr>
    </w:p>
    <w:p w:rsidR="00AD5168" w:rsidRPr="00DE475B" w:rsidRDefault="00AD5168" w:rsidP="00AD5168">
      <w:pPr>
        <w:rPr>
          <w:rFonts w:ascii="Arial" w:hAnsi="Arial" w:cs="Arial"/>
          <w:i/>
          <w:iCs/>
          <w:sz w:val="20"/>
          <w:szCs w:val="20"/>
        </w:rPr>
      </w:pPr>
      <w:r w:rsidRPr="00DE475B">
        <w:rPr>
          <w:rFonts w:ascii="Arial" w:hAnsi="Arial" w:cs="Arial"/>
          <w:i/>
          <w:iCs/>
          <w:sz w:val="20"/>
          <w:szCs w:val="20"/>
        </w:rPr>
        <w:t xml:space="preserve">Collections </w:t>
      </w:r>
    </w:p>
    <w:p w:rsidR="00AD5168" w:rsidRPr="00DE475B" w:rsidRDefault="00AD5168" w:rsidP="00933C84">
      <w:pPr>
        <w:tabs>
          <w:tab w:val="left" w:pos="504"/>
          <w:tab w:val="left" w:pos="5878"/>
        </w:tabs>
        <w:spacing w:after="120"/>
        <w:rPr>
          <w:rFonts w:ascii="Arial" w:hAnsi="Arial" w:cs="Arial"/>
          <w:sz w:val="20"/>
          <w:szCs w:val="20"/>
        </w:rPr>
      </w:pPr>
      <w:r w:rsidRPr="00DE475B">
        <w:rPr>
          <w:rFonts w:ascii="Arial" w:hAnsi="Arial" w:cs="Arial"/>
          <w:sz w:val="20"/>
          <w:szCs w:val="20"/>
        </w:rPr>
        <w:t>Capital expenditure on the State Library Information Collection is recorded as an addition to the collection. Purchases of common use collections are expensed on purchase.</w:t>
      </w:r>
    </w:p>
    <w:p w:rsidR="00AD5168" w:rsidRPr="00DE475B" w:rsidRDefault="00AD5168" w:rsidP="00AD5168">
      <w:pPr>
        <w:rPr>
          <w:rFonts w:ascii="Arial" w:hAnsi="Arial" w:cs="Arial"/>
          <w:i/>
          <w:iCs/>
          <w:sz w:val="20"/>
          <w:szCs w:val="20"/>
        </w:rPr>
      </w:pPr>
      <w:r w:rsidRPr="00DE475B">
        <w:rPr>
          <w:rFonts w:ascii="Arial" w:hAnsi="Arial" w:cs="Arial"/>
          <w:i/>
          <w:iCs/>
          <w:sz w:val="20"/>
          <w:szCs w:val="20"/>
        </w:rPr>
        <w:t>Heritage and Cultural Assets (Valuables)</w:t>
      </w:r>
    </w:p>
    <w:p w:rsidR="00AD5168" w:rsidRPr="00DE475B" w:rsidRDefault="00AD5168" w:rsidP="00AD5168">
      <w:pPr>
        <w:tabs>
          <w:tab w:val="left" w:pos="504"/>
          <w:tab w:val="left" w:pos="5878"/>
        </w:tabs>
        <w:spacing w:after="120"/>
        <w:rPr>
          <w:rFonts w:ascii="Arial" w:hAnsi="Arial" w:cs="Arial"/>
          <w:spacing w:val="-2"/>
          <w:sz w:val="20"/>
          <w:szCs w:val="20"/>
        </w:rPr>
      </w:pPr>
      <w:r w:rsidRPr="00DE475B">
        <w:rPr>
          <w:rFonts w:ascii="Arial" w:hAnsi="Arial" w:cs="Arial"/>
          <w:spacing w:val="-2"/>
          <w:sz w:val="20"/>
          <w:szCs w:val="20"/>
        </w:rPr>
        <w:t xml:space="preserve">Capital expenditure on the </w:t>
      </w:r>
      <w:proofErr w:type="spellStart"/>
      <w:r w:rsidRPr="00DE475B">
        <w:rPr>
          <w:rFonts w:ascii="Arial" w:hAnsi="Arial" w:cs="Arial"/>
          <w:spacing w:val="-2"/>
          <w:sz w:val="20"/>
          <w:szCs w:val="20"/>
        </w:rPr>
        <w:t>JOL</w:t>
      </w:r>
      <w:proofErr w:type="spellEnd"/>
      <w:r w:rsidRPr="00DE475B">
        <w:rPr>
          <w:rFonts w:ascii="Arial" w:hAnsi="Arial" w:cs="Arial"/>
          <w:spacing w:val="-2"/>
          <w:sz w:val="20"/>
          <w:szCs w:val="20"/>
        </w:rPr>
        <w:t xml:space="preserve"> and ALA collections is recorded as an addition to Valuables. Due to the nature of these items, they are not depreciated in accordance with </w:t>
      </w:r>
      <w:proofErr w:type="spellStart"/>
      <w:r w:rsidRPr="00DE475B">
        <w:rPr>
          <w:rFonts w:ascii="Arial" w:hAnsi="Arial" w:cs="Arial"/>
          <w:i/>
          <w:iCs/>
          <w:spacing w:val="-2"/>
          <w:sz w:val="20"/>
          <w:szCs w:val="20"/>
        </w:rPr>
        <w:t>NCAP</w:t>
      </w:r>
      <w:proofErr w:type="spellEnd"/>
      <w:r w:rsidRPr="00DE475B">
        <w:rPr>
          <w:rFonts w:ascii="Arial" w:hAnsi="Arial" w:cs="Arial"/>
          <w:i/>
          <w:iCs/>
          <w:spacing w:val="-2"/>
          <w:sz w:val="20"/>
          <w:szCs w:val="20"/>
        </w:rPr>
        <w:t xml:space="preserve"> 7. </w:t>
      </w:r>
      <w:r w:rsidRPr="00DE475B">
        <w:rPr>
          <w:rFonts w:ascii="Arial" w:hAnsi="Arial" w:cs="Arial"/>
          <w:spacing w:val="-2"/>
          <w:sz w:val="20"/>
          <w:szCs w:val="20"/>
        </w:rPr>
        <w:t xml:space="preserve">Digital collections held within the </w:t>
      </w:r>
      <w:proofErr w:type="spellStart"/>
      <w:r w:rsidRPr="00DE475B">
        <w:rPr>
          <w:rFonts w:ascii="Arial" w:hAnsi="Arial" w:cs="Arial"/>
          <w:spacing w:val="-2"/>
          <w:sz w:val="20"/>
          <w:szCs w:val="20"/>
        </w:rPr>
        <w:t>JOL</w:t>
      </w:r>
      <w:proofErr w:type="spellEnd"/>
      <w:r w:rsidRPr="00DE475B">
        <w:rPr>
          <w:rFonts w:ascii="Arial" w:hAnsi="Arial" w:cs="Arial"/>
          <w:spacing w:val="-2"/>
          <w:sz w:val="20"/>
          <w:szCs w:val="20"/>
        </w:rPr>
        <w:t xml:space="preserve"> and ALA Collections have been treated as intangible assets since 2012–13. For further information regarding inta</w:t>
      </w:r>
      <w:r w:rsidR="00F7189F" w:rsidRPr="00DE475B">
        <w:rPr>
          <w:rFonts w:ascii="Arial" w:hAnsi="Arial" w:cs="Arial"/>
          <w:spacing w:val="-2"/>
          <w:sz w:val="20"/>
          <w:szCs w:val="20"/>
        </w:rPr>
        <w:t>ngibles, please refer to Note C3</w:t>
      </w:r>
      <w:r w:rsidRPr="00DE475B">
        <w:rPr>
          <w:rFonts w:ascii="Arial" w:hAnsi="Arial" w:cs="Arial"/>
          <w:spacing w:val="-2"/>
          <w:sz w:val="20"/>
          <w:szCs w:val="20"/>
        </w:rPr>
        <w:t>.</w:t>
      </w:r>
    </w:p>
    <w:p w:rsidR="00911D98" w:rsidRPr="00DE475B" w:rsidRDefault="00004FB2" w:rsidP="00911D98">
      <w:pPr>
        <w:rPr>
          <w:rFonts w:ascii="Arial" w:hAnsi="Arial" w:cs="Arial"/>
          <w:i/>
          <w:iCs/>
          <w:sz w:val="20"/>
          <w:szCs w:val="20"/>
        </w:rPr>
      </w:pPr>
      <w:r>
        <w:rPr>
          <w:rFonts w:ascii="Arial" w:hAnsi="Arial" w:cs="Arial"/>
          <w:i/>
          <w:iCs/>
          <w:sz w:val="20"/>
          <w:szCs w:val="20"/>
        </w:rPr>
        <w:t>Cost of acquisition</w:t>
      </w:r>
    </w:p>
    <w:p w:rsidR="00911D98" w:rsidRPr="00DE475B" w:rsidRDefault="00911D98" w:rsidP="00911D98">
      <w:pPr>
        <w:tabs>
          <w:tab w:val="left" w:pos="504"/>
          <w:tab w:val="left" w:pos="5878"/>
        </w:tabs>
        <w:spacing w:after="120"/>
        <w:rPr>
          <w:rFonts w:ascii="Arial" w:hAnsi="Arial" w:cs="Arial"/>
          <w:sz w:val="20"/>
          <w:szCs w:val="20"/>
        </w:rPr>
      </w:pPr>
      <w:r w:rsidRPr="00DE475B">
        <w:rPr>
          <w:rFonts w:ascii="Arial" w:hAnsi="Arial" w:cs="Arial"/>
          <w:sz w:val="20"/>
          <w:szCs w:val="20"/>
        </w:rPr>
        <w:t>Actual cost is used for the initial recording of all non-current physical and intangible asset acquisitions. Cost is determined as the value given as consideration plus costs incidental to the acquisition, including all other costs incurred in getting the assets ready for use. However, any training costs are expensed as incurred.</w:t>
      </w:r>
    </w:p>
    <w:p w:rsidR="00911D98" w:rsidRPr="00DE475B" w:rsidRDefault="00911D98" w:rsidP="0015184C">
      <w:pPr>
        <w:spacing w:after="120"/>
        <w:rPr>
          <w:rFonts w:ascii="Arial" w:hAnsi="Arial" w:cs="Arial"/>
          <w:b/>
          <w:bCs/>
          <w:sz w:val="20"/>
          <w:szCs w:val="20"/>
        </w:rPr>
      </w:pPr>
      <w:r w:rsidRPr="00DE475B">
        <w:rPr>
          <w:rFonts w:ascii="Arial" w:hAnsi="Arial" w:cs="Arial"/>
          <w:sz w:val="20"/>
          <w:szCs w:val="20"/>
        </w:rPr>
        <w:t>Assets acquired at no cost or for nominal consideration, other than from an involuntary transfer from another Queensland Government entity, are recognised at their fair value at date of acquisition in accordance with</w:t>
      </w:r>
      <w:r w:rsidRPr="00DE475B">
        <w:rPr>
          <w:rFonts w:ascii="Arial" w:hAnsi="Arial" w:cs="Arial"/>
          <w:i/>
          <w:sz w:val="20"/>
          <w:szCs w:val="20"/>
        </w:rPr>
        <w:t xml:space="preserve"> </w:t>
      </w:r>
      <w:proofErr w:type="spellStart"/>
      <w:r w:rsidRPr="00DE475B">
        <w:rPr>
          <w:rFonts w:ascii="Arial" w:hAnsi="Arial" w:cs="Arial"/>
          <w:i/>
          <w:sz w:val="20"/>
          <w:szCs w:val="20"/>
        </w:rPr>
        <w:t>AASB</w:t>
      </w:r>
      <w:proofErr w:type="spellEnd"/>
      <w:r w:rsidRPr="00DE475B">
        <w:rPr>
          <w:rFonts w:ascii="Arial" w:hAnsi="Arial" w:cs="Arial"/>
          <w:i/>
          <w:sz w:val="20"/>
          <w:szCs w:val="20"/>
        </w:rPr>
        <w:t xml:space="preserve"> 116 </w:t>
      </w:r>
      <w:r w:rsidRPr="00DE475B">
        <w:rPr>
          <w:rFonts w:ascii="Arial" w:hAnsi="Arial" w:cs="Arial"/>
          <w:i/>
          <w:iCs/>
          <w:sz w:val="20"/>
          <w:szCs w:val="20"/>
        </w:rPr>
        <w:t>Property, Plant and Equipment</w:t>
      </w:r>
      <w:r w:rsidRPr="00DE475B">
        <w:rPr>
          <w:rFonts w:ascii="Arial" w:hAnsi="Arial" w:cs="Arial"/>
          <w:sz w:val="20"/>
          <w:szCs w:val="20"/>
        </w:rPr>
        <w:t>.</w:t>
      </w:r>
    </w:p>
    <w:p w:rsidR="0015184C" w:rsidRPr="00DE475B" w:rsidRDefault="003E7067" w:rsidP="00C47778">
      <w:pPr>
        <w:rPr>
          <w:rFonts w:ascii="Arial" w:hAnsi="Arial" w:cs="Arial"/>
          <w:i/>
          <w:iCs/>
          <w:sz w:val="20"/>
          <w:szCs w:val="20"/>
        </w:rPr>
      </w:pPr>
      <w:r w:rsidRPr="00DE475B">
        <w:rPr>
          <w:rFonts w:ascii="Arial" w:hAnsi="Arial" w:cs="Arial"/>
          <w:i/>
          <w:iCs/>
          <w:sz w:val="20"/>
          <w:szCs w:val="20"/>
        </w:rPr>
        <w:lastRenderedPageBreak/>
        <w:t>Measurement of property plant and equipment using fair value</w:t>
      </w:r>
    </w:p>
    <w:p w:rsidR="0015184C" w:rsidRPr="00DE475B" w:rsidRDefault="0015184C" w:rsidP="0015184C">
      <w:pPr>
        <w:spacing w:after="120"/>
        <w:rPr>
          <w:rFonts w:ascii="Arial" w:hAnsi="Arial" w:cs="Arial"/>
          <w:sz w:val="20"/>
          <w:szCs w:val="20"/>
        </w:rPr>
      </w:pPr>
      <w:r w:rsidRPr="00DE475B">
        <w:rPr>
          <w:rFonts w:ascii="Arial" w:hAnsi="Arial" w:cs="Arial"/>
          <w:sz w:val="20"/>
          <w:szCs w:val="20"/>
        </w:rPr>
        <w:t xml:space="preserve">Heritage and cultural assets are measured at fair value as required by </w:t>
      </w:r>
      <w:proofErr w:type="spellStart"/>
      <w:r w:rsidRPr="00DE475B">
        <w:rPr>
          <w:rFonts w:ascii="Arial" w:hAnsi="Arial" w:cs="Arial"/>
          <w:sz w:val="20"/>
          <w:szCs w:val="20"/>
        </w:rPr>
        <w:t>NCAPs</w:t>
      </w:r>
      <w:proofErr w:type="spellEnd"/>
      <w:r w:rsidRPr="00DE475B">
        <w:rPr>
          <w:rFonts w:ascii="Arial" w:hAnsi="Arial" w:cs="Arial"/>
          <w:sz w:val="20"/>
          <w:szCs w:val="20"/>
        </w:rPr>
        <w:t>. These assets are reported at their revalued amounts, being the fair value at the date of valuation, less any subsequent accumulated depreciation and subsequent accumulated impairment losses where applicable (refer also to an explanation later in this note regarding the impact of different methods of accounting for accumulated depreciation and accumulated impairment losses in conjunction with revaluations).</w:t>
      </w:r>
    </w:p>
    <w:p w:rsidR="00C041BF" w:rsidRDefault="00C041BF" w:rsidP="00F7189F">
      <w:pPr>
        <w:spacing w:after="120"/>
        <w:rPr>
          <w:rFonts w:ascii="Arial" w:hAnsi="Arial" w:cs="Arial"/>
          <w:sz w:val="20"/>
          <w:szCs w:val="20"/>
        </w:rPr>
      </w:pPr>
      <w:r w:rsidRPr="00C041BF">
        <w:rPr>
          <w:rFonts w:ascii="Arial" w:hAnsi="Arial" w:cs="Arial"/>
          <w:sz w:val="20"/>
          <w:szCs w:val="20"/>
        </w:rPr>
        <w:t xml:space="preserve">The carrying </w:t>
      </w:r>
      <w:proofErr w:type="gramStart"/>
      <w:r w:rsidRPr="00C041BF">
        <w:rPr>
          <w:rFonts w:ascii="Arial" w:hAnsi="Arial" w:cs="Arial"/>
          <w:sz w:val="20"/>
          <w:szCs w:val="20"/>
        </w:rPr>
        <w:t>amounts of items acquired during the financial year has</w:t>
      </w:r>
      <w:proofErr w:type="gramEnd"/>
      <w:r w:rsidRPr="00C041BF">
        <w:rPr>
          <w:rFonts w:ascii="Arial" w:hAnsi="Arial" w:cs="Arial"/>
          <w:sz w:val="20"/>
          <w:szCs w:val="20"/>
        </w:rPr>
        <w:t xml:space="preserve"> been judged by management to materially represent their fair value at the end of the reporting period. For further information regarding fair value measurement, please refer to Note D1.</w:t>
      </w:r>
    </w:p>
    <w:p w:rsidR="00F7189F" w:rsidRPr="00DE475B" w:rsidRDefault="00F7189F" w:rsidP="00F7189F">
      <w:pPr>
        <w:spacing w:after="120"/>
        <w:rPr>
          <w:rFonts w:ascii="Arial" w:hAnsi="Arial" w:cs="Arial"/>
          <w:sz w:val="20"/>
          <w:szCs w:val="20"/>
        </w:rPr>
      </w:pPr>
      <w:r w:rsidRPr="00DE475B">
        <w:rPr>
          <w:rFonts w:ascii="Arial" w:hAnsi="Arial" w:cs="Arial"/>
          <w:sz w:val="20"/>
          <w:szCs w:val="20"/>
        </w:rPr>
        <w:t xml:space="preserve">The </w:t>
      </w:r>
      <w:proofErr w:type="spellStart"/>
      <w:r w:rsidRPr="00DE475B">
        <w:rPr>
          <w:rFonts w:ascii="Arial" w:hAnsi="Arial" w:cs="Arial"/>
          <w:sz w:val="20"/>
          <w:szCs w:val="20"/>
        </w:rPr>
        <w:t>JOL</w:t>
      </w:r>
      <w:proofErr w:type="spellEnd"/>
      <w:r w:rsidRPr="00DE475B">
        <w:rPr>
          <w:rFonts w:ascii="Arial" w:hAnsi="Arial" w:cs="Arial"/>
          <w:sz w:val="20"/>
          <w:szCs w:val="20"/>
        </w:rPr>
        <w:t xml:space="preserve"> and ALA collections measured at fair value are comprehensively revalued at least once every five years. In the intervening years and where applicable, their previous valuations are materially kept up-to-date via the application of relevant indices. The application of such indices results in a valid estimation of the assets' fair values at reporting date. However, if a particular asset class experiences significant and volatile changes in fair value since the previous reporting period, that class is subject to specific appraisal in the reporting period, where practicable, regardless of the timing of the last specific appraisal.</w:t>
      </w:r>
    </w:p>
    <w:p w:rsidR="00D77A2B" w:rsidRPr="00B57DC2" w:rsidRDefault="00E31154" w:rsidP="00F7189F">
      <w:pPr>
        <w:spacing w:after="120"/>
        <w:rPr>
          <w:rFonts w:ascii="Arial" w:hAnsi="Arial" w:cs="Arial"/>
          <w:sz w:val="20"/>
          <w:szCs w:val="20"/>
        </w:rPr>
        <w:sectPr w:rsidR="00D77A2B" w:rsidRPr="00B57DC2" w:rsidSect="00B53922">
          <w:type w:val="continuous"/>
          <w:pgSz w:w="11906" w:h="16838"/>
          <w:pgMar w:top="1440" w:right="1701" w:bottom="1440" w:left="1701" w:header="680" w:footer="680" w:gutter="0"/>
          <w:cols w:num="2" w:space="566"/>
          <w:docGrid w:linePitch="360"/>
        </w:sectPr>
      </w:pPr>
      <w:r w:rsidRPr="00B57DC2">
        <w:rPr>
          <w:rFonts w:ascii="Arial" w:hAnsi="Arial" w:cs="Arial"/>
          <w:sz w:val="20"/>
          <w:szCs w:val="20"/>
        </w:rPr>
        <w:t xml:space="preserve">An independent revaluation of the </w:t>
      </w:r>
      <w:proofErr w:type="spellStart"/>
      <w:r w:rsidRPr="00B57DC2">
        <w:rPr>
          <w:rFonts w:ascii="Arial" w:hAnsi="Arial" w:cs="Arial"/>
          <w:sz w:val="20"/>
          <w:szCs w:val="20"/>
        </w:rPr>
        <w:t>JOL</w:t>
      </w:r>
      <w:proofErr w:type="spellEnd"/>
      <w:r w:rsidRPr="00B57DC2">
        <w:rPr>
          <w:rFonts w:ascii="Arial" w:hAnsi="Arial" w:cs="Arial"/>
          <w:sz w:val="20"/>
          <w:szCs w:val="20"/>
        </w:rPr>
        <w:t xml:space="preserve"> and ALA collections was undertaken as at 30 June 2017 to determine the fair value of these assets. The revaluation was conducted by Pickles Valuation Services and was done in accordance with the reporting requirements of Queensland Treasury’s Non-Current Asset Policies for the Queensland Public Sector, </w:t>
      </w:r>
      <w:proofErr w:type="spellStart"/>
      <w:r w:rsidRPr="00B57DC2">
        <w:rPr>
          <w:rFonts w:ascii="Arial" w:hAnsi="Arial" w:cs="Arial"/>
          <w:sz w:val="20"/>
          <w:szCs w:val="20"/>
        </w:rPr>
        <w:t>NCAP</w:t>
      </w:r>
      <w:proofErr w:type="spellEnd"/>
      <w:r w:rsidRPr="00B57DC2">
        <w:rPr>
          <w:rFonts w:ascii="Arial" w:hAnsi="Arial" w:cs="Arial"/>
          <w:sz w:val="20"/>
          <w:szCs w:val="20"/>
        </w:rPr>
        <w:t xml:space="preserve"> 7 — Accounting for Library Collections Policy and </w:t>
      </w:r>
      <w:proofErr w:type="spellStart"/>
      <w:r w:rsidRPr="00B57DC2">
        <w:rPr>
          <w:rFonts w:ascii="Arial" w:hAnsi="Arial" w:cs="Arial"/>
          <w:sz w:val="20"/>
          <w:szCs w:val="20"/>
        </w:rPr>
        <w:t>NCAP</w:t>
      </w:r>
      <w:proofErr w:type="spellEnd"/>
      <w:r w:rsidRPr="00B57DC2">
        <w:rPr>
          <w:rFonts w:ascii="Arial" w:hAnsi="Arial" w:cs="Arial"/>
          <w:sz w:val="20"/>
          <w:szCs w:val="20"/>
        </w:rPr>
        <w:t xml:space="preserve"> 3 — Valuation of Assets; the Australian Accounting Standard Boards (</w:t>
      </w:r>
      <w:proofErr w:type="spellStart"/>
      <w:r w:rsidRPr="00B57DC2">
        <w:rPr>
          <w:rFonts w:ascii="Arial" w:hAnsi="Arial" w:cs="Arial"/>
          <w:sz w:val="20"/>
          <w:szCs w:val="20"/>
        </w:rPr>
        <w:t>AASB</w:t>
      </w:r>
      <w:proofErr w:type="spellEnd"/>
      <w:r w:rsidRPr="00B57DC2">
        <w:rPr>
          <w:rFonts w:ascii="Arial" w:hAnsi="Arial" w:cs="Arial"/>
          <w:sz w:val="20"/>
          <w:szCs w:val="20"/>
        </w:rPr>
        <w:t xml:space="preserve">) Standards </w:t>
      </w:r>
      <w:proofErr w:type="spellStart"/>
      <w:r w:rsidRPr="00B57DC2">
        <w:rPr>
          <w:rFonts w:ascii="Arial" w:hAnsi="Arial" w:cs="Arial"/>
          <w:sz w:val="20"/>
          <w:szCs w:val="20"/>
        </w:rPr>
        <w:t>AASB</w:t>
      </w:r>
      <w:proofErr w:type="spellEnd"/>
      <w:r w:rsidRPr="00B57DC2">
        <w:rPr>
          <w:rFonts w:ascii="Arial" w:hAnsi="Arial" w:cs="Arial"/>
          <w:sz w:val="20"/>
          <w:szCs w:val="20"/>
        </w:rPr>
        <w:t xml:space="preserve"> 13, </w:t>
      </w:r>
      <w:proofErr w:type="spellStart"/>
      <w:r w:rsidRPr="00B57DC2">
        <w:rPr>
          <w:rFonts w:ascii="Arial" w:hAnsi="Arial" w:cs="Arial"/>
          <w:sz w:val="20"/>
          <w:szCs w:val="20"/>
        </w:rPr>
        <w:t>AASB</w:t>
      </w:r>
      <w:proofErr w:type="spellEnd"/>
      <w:r w:rsidRPr="00B57DC2">
        <w:rPr>
          <w:rFonts w:ascii="Arial" w:hAnsi="Arial" w:cs="Arial"/>
          <w:sz w:val="20"/>
          <w:szCs w:val="20"/>
        </w:rPr>
        <w:t xml:space="preserve"> 116, </w:t>
      </w:r>
      <w:proofErr w:type="spellStart"/>
      <w:r w:rsidRPr="00B57DC2">
        <w:rPr>
          <w:rFonts w:ascii="Arial" w:hAnsi="Arial" w:cs="Arial"/>
          <w:sz w:val="20"/>
          <w:szCs w:val="20"/>
        </w:rPr>
        <w:t>AASB</w:t>
      </w:r>
      <w:proofErr w:type="spellEnd"/>
      <w:r w:rsidRPr="00B57DC2">
        <w:rPr>
          <w:rFonts w:ascii="Arial" w:hAnsi="Arial" w:cs="Arial"/>
          <w:sz w:val="20"/>
          <w:szCs w:val="20"/>
        </w:rPr>
        <w:t xml:space="preserve"> 136, and SLQ Accounting for Library Collections Policy.</w:t>
      </w:r>
    </w:p>
    <w:p w:rsidR="00FA1C3A" w:rsidRPr="00DE475B" w:rsidRDefault="00D77A2B" w:rsidP="00D77A2B">
      <w:pPr>
        <w:pStyle w:val="ARbodytext"/>
        <w:rPr>
          <w:b/>
          <w:bCs/>
        </w:rPr>
      </w:pPr>
      <w:r w:rsidRPr="00DE475B">
        <w:rPr>
          <w:b/>
          <w:bCs/>
        </w:rPr>
        <w:lastRenderedPageBreak/>
        <w:br w:type="page"/>
      </w:r>
      <w:r w:rsidR="00FA1C3A" w:rsidRPr="00DE475B">
        <w:rPr>
          <w:b/>
          <w:bCs/>
          <w:i/>
          <w:iCs/>
        </w:rPr>
        <w:lastRenderedPageBreak/>
        <w:t>Library Board of Queensland and controlled entities</w:t>
      </w:r>
    </w:p>
    <w:p w:rsidR="00FA1C3A" w:rsidRPr="00DE475B" w:rsidRDefault="00373FFE" w:rsidP="00FA1C3A">
      <w:pPr>
        <w:rPr>
          <w:rFonts w:ascii="Arial" w:hAnsi="Arial" w:cs="Arial"/>
          <w:b/>
          <w:bCs/>
          <w:sz w:val="20"/>
          <w:szCs w:val="20"/>
        </w:rPr>
      </w:pPr>
      <w:r w:rsidRPr="00DE475B">
        <w:rPr>
          <w:noProof/>
          <w:lang w:eastAsia="en-AU"/>
        </w:rPr>
        <mc:AlternateContent>
          <mc:Choice Requires="wps">
            <w:drawing>
              <wp:anchor distT="0" distB="0" distL="114300" distR="114300" simplePos="0" relativeHeight="251645952" behindDoc="0" locked="0" layoutInCell="1" allowOverlap="1" wp14:anchorId="2B158C3A" wp14:editId="74B168C8">
                <wp:simplePos x="0" y="0"/>
                <wp:positionH relativeFrom="column">
                  <wp:posOffset>-66040</wp:posOffset>
                </wp:positionH>
                <wp:positionV relativeFrom="paragraph">
                  <wp:posOffset>-222250</wp:posOffset>
                </wp:positionV>
                <wp:extent cx="5573395" cy="0"/>
                <wp:effectExtent l="13970" t="9525" r="13335" b="9525"/>
                <wp:wrapNone/>
                <wp:docPr id="48"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PymwIAAHoFAAAOAAAAZHJzL2Uyb0RvYy54bWysVN9v2yAQfp+0/wHx7tqOnV9Wnal1nL10&#10;W6V22jMBHKNh8IDGqab97ztI4jXdyzQ1kSwO7o7v7vuO6w+HTqI9N1ZoVeL0KsGIK6qZULsSf33c&#10;RAuMrCOKEakVL/Ezt/jD6v2766Ev+ES3WjJuECRRthj6ErfO9UUcW9ryjtgr3XMFh402HXFgml3M&#10;DBkgeyfjSZLM4kEb1htNubWwuz4e4lXI3zScui9NY7lDssSAzYWvCd+t/8ara1LsDOlbQU8wyH+g&#10;6IhQcOmYak0cQU9G/JWqE9Roqxt3RXUX66YRlIcaoJo0eVXNQ0t6HmqB5th+bJN9u7T08/7eIMFK&#10;nANTinTA0Z1QHE3SmW/O0NsCfCp1b3x59KAe+jtNv1ukdNUSteMB5ONzD4Gpj4gvQrxhe7hiO3zS&#10;DHzIk9OhU4fGdD4l9AAdAiHPIyH84BCFzel0nmXLKUb0fBaT4hzYG+s+ct0hvyixBNQhMdnfWeeB&#10;kOLs4u9ReiOkDHxLhYYSL7MZKIISUJ39ESKtloJ5L+9vzW5bSYP2xEsn/EJ5cPLSrRMOBCxFV+LF&#10;6ESKlhNWKxauc0TI4xogSeWT8yDNI06wDg6WYR8KD7L5uUyW9aJe5FE+mdVRnqzX0c2myqPZJp1P&#10;19m6qtbpL486zYtWMMaVB36WcJr/m0ROw3QU3yjisVXxZfbQUwB7ifRmM03mebaI5vNpFuVZnUS3&#10;i00V3VTpbDavb6vb+hXSOlRv3wbs2EqPSj8BGw8tGxATXhTZdDlJMRgw8pP5kR9E5A7eKuoMRka7&#10;b8K1QcNefT7HBfGLxP9PxI/Zj404c+itkYVTbX9aBZyf+Q2j4afhOFdbzZ7vzXlkYMBD0Okx8i/I&#10;SxvWL5/M1W8AAAD//wMAUEsDBBQABgAIAAAAIQDe2Ktn4AAAAAsBAAAPAAAAZHJzL2Rvd25yZXYu&#10;eG1sTI9BS8NAEIXvgv9hGcGLtJuaWEvMpoggHgRpqyjettkxG8zOht1tE/+9Iwh6m5n3ePO9aj25&#10;XhwxxM6TgsU8A4HUeNNRq+Dl+X62AhGTJqN7T6jgCyOs69OTSpfGj7TF4y61gkMollqBTWkopYyN&#10;Rafj3A9IrH344HTiNbTSBD1yuOvlZZYtpdMd8QerB7yz2HzuDk7BUxi7mPKi2GB6f314fLObC7dV&#10;6vxsur0BkXBKf2b4wWd0qJlp7w9kougVzBZZwVYe8isuxY7V8joHsf+9yLqS/zvU3wAAAP//AwBQ&#10;SwECLQAUAAYACAAAACEAtoM4kv4AAADhAQAAEwAAAAAAAAAAAAAAAAAAAAAAW0NvbnRlbnRfVHlw&#10;ZXNdLnhtbFBLAQItABQABgAIAAAAIQA4/SH/1gAAAJQBAAALAAAAAAAAAAAAAAAAAC8BAABfcmVs&#10;cy8ucmVsc1BLAQItABQABgAIAAAAIQBsROPymwIAAHoFAAAOAAAAAAAAAAAAAAAAAC4CAABkcnMv&#10;ZTJvRG9jLnhtbFBLAQItABQABgAIAAAAIQDe2Ktn4AAAAAsBAAAPAAAAAAAAAAAAAAAAAPUEAABk&#10;cnMvZG93bnJldi54bWxQSwUGAAAAAAQABADzAAAAAgYAAAAA&#10;" strokeweight=".26mm">
                <v:stroke joinstyle="miter" endcap="square"/>
              </v:line>
            </w:pict>
          </mc:Fallback>
        </mc:AlternateContent>
      </w:r>
      <w:r w:rsidR="00FA1C3A" w:rsidRPr="00DE475B">
        <w:rPr>
          <w:rFonts w:ascii="Arial" w:hAnsi="Arial" w:cs="Arial"/>
          <w:b/>
          <w:bCs/>
          <w:sz w:val="20"/>
          <w:szCs w:val="20"/>
        </w:rPr>
        <w:t>NOTES TO THE FINANCIAL STATEMENTS</w:t>
      </w:r>
    </w:p>
    <w:p w:rsidR="00FA1C3A" w:rsidRPr="00DE475B" w:rsidRDefault="00FA1C3A" w:rsidP="00FA1C3A">
      <w:r w:rsidRPr="00DE475B">
        <w:rPr>
          <w:rFonts w:ascii="Arial" w:hAnsi="Arial" w:cs="Arial"/>
          <w:b/>
          <w:bCs/>
          <w:sz w:val="20"/>
          <w:szCs w:val="20"/>
        </w:rPr>
        <w:t xml:space="preserve">For the year ended 30 June </w:t>
      </w:r>
      <w:r w:rsidR="00E81215">
        <w:rPr>
          <w:rFonts w:ascii="Arial" w:hAnsi="Arial" w:cs="Arial"/>
          <w:b/>
          <w:bCs/>
          <w:sz w:val="20"/>
          <w:szCs w:val="20"/>
        </w:rPr>
        <w:t>2017</w:t>
      </w:r>
    </w:p>
    <w:p w:rsidR="00FA1C3A" w:rsidRPr="00DE475B" w:rsidRDefault="00373FFE" w:rsidP="00FA1C3A">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644928" behindDoc="0" locked="0" layoutInCell="1" allowOverlap="1" wp14:anchorId="550DA715" wp14:editId="07CFB629">
                <wp:simplePos x="0" y="0"/>
                <wp:positionH relativeFrom="column">
                  <wp:posOffset>-66040</wp:posOffset>
                </wp:positionH>
                <wp:positionV relativeFrom="paragraph">
                  <wp:posOffset>70485</wp:posOffset>
                </wp:positionV>
                <wp:extent cx="5573395" cy="0"/>
                <wp:effectExtent l="13970" t="13335" r="13335" b="5715"/>
                <wp:wrapNone/>
                <wp:docPr id="4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rdmwIAAHoFAAAOAAAAZHJzL2Uyb0RvYy54bWysVFFvmzAQfp+0/2D5nQIBQoJKppaQvXRb&#10;pXbas2NMsGZsZrsh1bT/vrOTsKZ7maYmEvLZd+fv7vvO1x8OvUB7pg1XssTxVYQRk1Q1XO5K/PVx&#10;EywwMpbIhgglWYmfmcEfVu/fXY9DwWaqU6JhGkESaYpxKHFn7VCEoaEd64m5UgOTcNgq3RMLpt6F&#10;jSYjZO9FOIuieTgq3QxaUWYM7K6Ph3jl87cto/ZL2xpmkSgxYLP+q/13677h6poUO02GjtMTDPIf&#10;KHrCJVw6pVoTS9CT5n+l6jnVyqjWXlHVh6ptOWW+Bqgmjl5V89CRgflaoDlmmNpk3i4t/by/14g3&#10;JU5zjCTpgaM7LhmaxZlrzjiYAnwqea9defQgH4Y7Rb8bJFXVEbljHuTj8wCBsYsIL0KcYQa4Yjt+&#10;Ug34kCerfKcOre5dSugBOnhCnidC2MEiCptZlifJMsOIns9CUpwDB23sR6Z65BYlFoDaJyb7O2Md&#10;EFKcXdw9Um24EJ5vIdFY4mUyB0VQAqozP3ykUYI3zsv5G73bVkKjPXHS8T9fHpy8dOu5BQEL3pd4&#10;MTmRomOkqWXjr7OEi+MaIAnpkjMvzSNOsA4Wln4fCvey+bmMlvWiXqRBOpvXQRqt18HNpkqD+SbO&#10;s3Wyrqp1/MuhjtOi403DpAN+lnCc/ptETsN0FN8k4qlV4WV231MAe4n0ZpNFeZosgjzPkiBN6ii4&#10;XWyq4KaK5/O8vq1u61dIa1+9eRuwUysdKvUEbDx0zYga7kSRZMtZjMGAkZ/lR34QETt4q6jVGGll&#10;v3HbeQ079bkcF8QvIvc/ET9lPzbizKGzJhZOtf1pFXB+5tePhpuG41xtVfN8r88jAwPug06PkXtB&#10;Xtqwfvlkrn4DAAD//wMAUEsDBBQABgAIAAAAIQDwQGlx3gAAAAkBAAAPAAAAZHJzL2Rvd25yZXYu&#10;eG1sTI/BSsNAEIbvgu+wjOBF2k1sqCVmU0QQD4K0VRRv2+yYDWZnw+62iW/vSA96nPk//vmmWk+u&#10;F0cMsfOkIJ9nIJAabzpqFby+PMxWIGLSZHTvCRV8Y4R1fX5W6dL4kbZ43KVWcAnFUiuwKQ2llLGx&#10;6HSc+wGJs08fnE48hlaaoEcud728zrKldLojvmD1gPcWm6/dwSl4DmMX06IoNpg+3h6f3u3mym2V&#10;uryY7m5BJJzSHwy/+qwONTvt/YFMFL2CWZ4VjHKQ5yAYWC1vFiD2p4WsK/n/g/oHAAD//wMAUEsB&#10;Ai0AFAAGAAgAAAAhALaDOJL+AAAA4QEAABMAAAAAAAAAAAAAAAAAAAAAAFtDb250ZW50X1R5cGVz&#10;XS54bWxQSwECLQAUAAYACAAAACEAOP0h/9YAAACUAQAACwAAAAAAAAAAAAAAAAAvAQAAX3JlbHMv&#10;LnJlbHNQSwECLQAUAAYACAAAACEAKYia3ZsCAAB6BQAADgAAAAAAAAAAAAAAAAAuAgAAZHJzL2Uy&#10;b0RvYy54bWxQSwECLQAUAAYACAAAACEA8EBpcd4AAAAJAQAADwAAAAAAAAAAAAAAAAD1BAAAZHJz&#10;L2Rvd25yZXYueG1sUEsFBgAAAAAEAAQA8wAAAAAGAAAAAA==&#10;" strokeweight=".26mm">
                <v:stroke joinstyle="miter" endcap="square"/>
              </v:line>
            </w:pict>
          </mc:Fallback>
        </mc:AlternateContent>
      </w:r>
    </w:p>
    <w:p w:rsidR="00FA1C3A" w:rsidRPr="00DE475B" w:rsidRDefault="00FA1C3A" w:rsidP="00FA1C3A">
      <w:pPr>
        <w:pStyle w:val="ARheading3"/>
        <w:tabs>
          <w:tab w:val="left" w:pos="851"/>
        </w:tabs>
        <w:spacing w:after="120"/>
        <w:rPr>
          <w:color w:val="808080"/>
        </w:rPr>
        <w:sectPr w:rsidR="00FA1C3A" w:rsidRPr="00DE475B" w:rsidSect="00B53922">
          <w:type w:val="continuous"/>
          <w:pgSz w:w="11906" w:h="16838"/>
          <w:pgMar w:top="1440" w:right="1701" w:bottom="1440" w:left="1701" w:header="680" w:footer="680" w:gutter="0"/>
          <w:cols w:space="720"/>
          <w:docGrid w:linePitch="360"/>
        </w:sectPr>
      </w:pPr>
      <w:r w:rsidRPr="00DE475B">
        <w:rPr>
          <w:color w:val="808080"/>
        </w:rPr>
        <w:t>C4 Property, plant and equipment</w:t>
      </w:r>
      <w:r w:rsidR="000E04B0" w:rsidRPr="00DE475B">
        <w:rPr>
          <w:color w:val="808080"/>
        </w:rPr>
        <w:t xml:space="preserve"> (continued)</w:t>
      </w:r>
    </w:p>
    <w:p w:rsidR="00FA1C3A" w:rsidRPr="00DE475B" w:rsidRDefault="00FA1C3A" w:rsidP="00652F6C">
      <w:pPr>
        <w:tabs>
          <w:tab w:val="left" w:pos="284"/>
          <w:tab w:val="left" w:pos="5878"/>
          <w:tab w:val="left" w:pos="8548"/>
          <w:tab w:val="left" w:pos="8770"/>
          <w:tab w:val="left" w:pos="10266"/>
          <w:tab w:val="left" w:pos="11702"/>
        </w:tabs>
        <w:rPr>
          <w:rFonts w:ascii="Arial" w:hAnsi="Arial" w:cs="Arial"/>
          <w:b/>
          <w:bCs/>
          <w:sz w:val="20"/>
          <w:szCs w:val="20"/>
        </w:rPr>
        <w:sectPr w:rsidR="00FA1C3A" w:rsidRPr="00DE475B" w:rsidSect="00B53922">
          <w:type w:val="continuous"/>
          <w:pgSz w:w="11906" w:h="16838"/>
          <w:pgMar w:top="1440" w:right="1701" w:bottom="1440" w:left="1701" w:header="680" w:footer="680" w:gutter="0"/>
          <w:cols w:space="566"/>
          <w:docGrid w:linePitch="360"/>
        </w:sectPr>
      </w:pPr>
      <w:r w:rsidRPr="00DE475B">
        <w:rPr>
          <w:rFonts w:ascii="Arial" w:hAnsi="Arial" w:cs="Arial"/>
          <w:b/>
          <w:bCs/>
          <w:sz w:val="20"/>
          <w:szCs w:val="20"/>
        </w:rPr>
        <w:lastRenderedPageBreak/>
        <w:t>C4-1 Accounting policies</w:t>
      </w:r>
      <w:r w:rsidR="000E04B0" w:rsidRPr="00DE475B">
        <w:rPr>
          <w:rFonts w:ascii="Arial" w:hAnsi="Arial" w:cs="Arial"/>
          <w:b/>
          <w:bCs/>
          <w:sz w:val="20"/>
          <w:szCs w:val="20"/>
        </w:rPr>
        <w:t xml:space="preserve"> (continued)</w:t>
      </w:r>
    </w:p>
    <w:p w:rsidR="00D77A2B" w:rsidRPr="00DE475B" w:rsidRDefault="00D77A2B" w:rsidP="00D77A2B">
      <w:pPr>
        <w:rPr>
          <w:rFonts w:ascii="Arial" w:hAnsi="Arial" w:cs="Arial"/>
          <w:i/>
          <w:iCs/>
          <w:sz w:val="20"/>
          <w:szCs w:val="20"/>
        </w:rPr>
      </w:pPr>
      <w:r w:rsidRPr="00DE475B">
        <w:rPr>
          <w:rFonts w:ascii="Arial" w:hAnsi="Arial" w:cs="Arial"/>
          <w:i/>
          <w:iCs/>
          <w:sz w:val="20"/>
          <w:szCs w:val="20"/>
        </w:rPr>
        <w:lastRenderedPageBreak/>
        <w:t>Measurement of property plant and equipment using fair value (continued)</w:t>
      </w:r>
    </w:p>
    <w:p w:rsidR="00D77A2B" w:rsidRDefault="00D77A2B" w:rsidP="00D77A2B">
      <w:pPr>
        <w:spacing w:after="120"/>
        <w:rPr>
          <w:rFonts w:ascii="Arial" w:hAnsi="Arial" w:cs="Arial"/>
          <w:sz w:val="20"/>
          <w:szCs w:val="20"/>
        </w:rPr>
      </w:pPr>
      <w:r w:rsidRPr="00DE475B">
        <w:rPr>
          <w:rFonts w:ascii="Arial" w:hAnsi="Arial" w:cs="Arial"/>
          <w:sz w:val="20"/>
          <w:szCs w:val="20"/>
        </w:rPr>
        <w:t xml:space="preserve">Fair value for the Information Collection is determined using average replacement cost based on the average cost of purchases over the last five years. This cost is applied to all titles in the collection at year end in line with </w:t>
      </w:r>
      <w:proofErr w:type="spellStart"/>
      <w:r w:rsidRPr="00DE475B">
        <w:rPr>
          <w:rFonts w:ascii="Arial" w:hAnsi="Arial" w:cs="Arial"/>
          <w:i/>
          <w:sz w:val="20"/>
          <w:szCs w:val="20"/>
        </w:rPr>
        <w:t>NCAP</w:t>
      </w:r>
      <w:proofErr w:type="spellEnd"/>
      <w:r w:rsidRPr="00DE475B">
        <w:rPr>
          <w:rFonts w:ascii="Arial" w:hAnsi="Arial" w:cs="Arial"/>
          <w:i/>
          <w:sz w:val="20"/>
          <w:szCs w:val="20"/>
        </w:rPr>
        <w:t xml:space="preserve"> 7</w:t>
      </w:r>
      <w:r w:rsidRPr="00DE475B">
        <w:rPr>
          <w:rFonts w:ascii="Arial" w:hAnsi="Arial" w:cs="Arial"/>
          <w:sz w:val="20"/>
          <w:szCs w:val="20"/>
        </w:rPr>
        <w:t>. The fair values reported are based on appropriate valuation techniques that maximise the use of available and relevant observable inputs and minimise the use of unobservable inputs.</w:t>
      </w:r>
    </w:p>
    <w:p w:rsidR="00B57DC2" w:rsidRPr="00B57DC2" w:rsidRDefault="00B57DC2" w:rsidP="00D77A2B">
      <w:pPr>
        <w:spacing w:after="120"/>
        <w:rPr>
          <w:rFonts w:ascii="Arial" w:hAnsi="Arial" w:cs="Arial"/>
          <w:sz w:val="20"/>
          <w:szCs w:val="20"/>
        </w:rPr>
      </w:pPr>
      <w:r w:rsidRPr="00B57DC2">
        <w:rPr>
          <w:rFonts w:ascii="Arial" w:hAnsi="Arial" w:cs="Arial"/>
          <w:sz w:val="20"/>
          <w:szCs w:val="20"/>
        </w:rPr>
        <w:t>Independent confirmation of the methodology used to value the Information coll</w:t>
      </w:r>
      <w:r w:rsidR="00824C8C">
        <w:rPr>
          <w:rFonts w:ascii="Arial" w:hAnsi="Arial" w:cs="Arial"/>
          <w:sz w:val="20"/>
          <w:szCs w:val="20"/>
        </w:rPr>
        <w:t xml:space="preserve">ection is to be obtained by </w:t>
      </w:r>
      <w:r w:rsidRPr="00B57DC2">
        <w:rPr>
          <w:rFonts w:ascii="Arial" w:hAnsi="Arial" w:cs="Arial"/>
          <w:sz w:val="20"/>
          <w:szCs w:val="20"/>
        </w:rPr>
        <w:t xml:space="preserve">State Library every 5 years as per </w:t>
      </w:r>
      <w:proofErr w:type="spellStart"/>
      <w:r w:rsidRPr="00B57DC2">
        <w:rPr>
          <w:rFonts w:ascii="Arial" w:hAnsi="Arial" w:cs="Arial"/>
          <w:sz w:val="20"/>
          <w:szCs w:val="20"/>
        </w:rPr>
        <w:t>NCAP</w:t>
      </w:r>
      <w:proofErr w:type="spellEnd"/>
      <w:r w:rsidRPr="00B57DC2">
        <w:rPr>
          <w:rFonts w:ascii="Arial" w:hAnsi="Arial" w:cs="Arial"/>
          <w:sz w:val="20"/>
          <w:szCs w:val="20"/>
        </w:rPr>
        <w:t xml:space="preserve"> 7. This confirmation was received as at 30 June from Pickles Valuation Services.</w:t>
      </w:r>
    </w:p>
    <w:p w:rsidR="00D77A2B" w:rsidRDefault="00D77A2B" w:rsidP="00D77A2B">
      <w:pPr>
        <w:spacing w:after="120"/>
        <w:rPr>
          <w:rFonts w:ascii="Arial" w:hAnsi="Arial" w:cs="Arial"/>
          <w:spacing w:val="-2"/>
          <w:sz w:val="20"/>
          <w:szCs w:val="20"/>
        </w:rPr>
      </w:pPr>
      <w:r w:rsidRPr="00DE475B">
        <w:rPr>
          <w:rFonts w:ascii="Arial" w:hAnsi="Arial" w:cs="Arial"/>
          <w:spacing w:val="-2"/>
          <w:sz w:val="20"/>
          <w:szCs w:val="20"/>
        </w:rPr>
        <w:t xml:space="preserve">Any revaluation increment arising on the revaluation of an asset is credited to the asset revaluation surplus of the appropriate class, except to the extent it reverses a revaluation decrement for the class previously recognised as an expense. </w:t>
      </w:r>
      <w:r w:rsidRPr="00DE475B">
        <w:rPr>
          <w:rFonts w:ascii="Arial" w:hAnsi="Arial" w:cs="Arial"/>
          <w:spacing w:val="-2"/>
          <w:sz w:val="20"/>
          <w:szCs w:val="20"/>
        </w:rPr>
        <w:br/>
        <w:t>A decrease in the carrying amount on revaluation is charged as an expense, to the extent it exceeds the balance, if any, in the revaluation surplus relating to that class.</w:t>
      </w:r>
    </w:p>
    <w:p w:rsidR="00B57DC2" w:rsidRPr="00B57DC2" w:rsidRDefault="00B57DC2" w:rsidP="00D77A2B">
      <w:pPr>
        <w:spacing w:after="120"/>
        <w:rPr>
          <w:rFonts w:ascii="Arial" w:hAnsi="Arial" w:cs="Arial"/>
          <w:sz w:val="20"/>
          <w:szCs w:val="20"/>
        </w:rPr>
      </w:pPr>
      <w:r w:rsidRPr="00B57DC2">
        <w:rPr>
          <w:rFonts w:ascii="Arial" w:hAnsi="Arial" w:cs="Arial"/>
          <w:sz w:val="20"/>
          <w:szCs w:val="20"/>
        </w:rPr>
        <w:t>As part of the independent valuation undertaken by Pickles Valuation Service, a valuation was obta</w:t>
      </w:r>
      <w:r w:rsidR="00824C8C">
        <w:rPr>
          <w:rFonts w:ascii="Arial" w:hAnsi="Arial" w:cs="Arial"/>
          <w:sz w:val="20"/>
          <w:szCs w:val="20"/>
        </w:rPr>
        <w:t xml:space="preserve">ined for art works owned by </w:t>
      </w:r>
      <w:r w:rsidRPr="00B57DC2">
        <w:rPr>
          <w:rFonts w:ascii="Arial" w:hAnsi="Arial" w:cs="Arial"/>
          <w:sz w:val="20"/>
          <w:szCs w:val="20"/>
        </w:rPr>
        <w:t>State Library that have not been previously recognised. These assets have been recogn</w:t>
      </w:r>
      <w:r w:rsidR="00A11623">
        <w:rPr>
          <w:rFonts w:ascii="Arial" w:hAnsi="Arial" w:cs="Arial"/>
          <w:sz w:val="20"/>
          <w:szCs w:val="20"/>
        </w:rPr>
        <w:t>ised for the first time in 2016–</w:t>
      </w:r>
      <w:r w:rsidRPr="00B57DC2">
        <w:rPr>
          <w:rFonts w:ascii="Arial" w:hAnsi="Arial" w:cs="Arial"/>
          <w:sz w:val="20"/>
          <w:szCs w:val="20"/>
        </w:rPr>
        <w:t>17 (note C4-2).</w:t>
      </w:r>
    </w:p>
    <w:p w:rsidR="00D77A2B" w:rsidRDefault="00D77A2B" w:rsidP="00D77A2B">
      <w:pPr>
        <w:spacing w:after="120"/>
        <w:rPr>
          <w:rFonts w:ascii="Arial" w:hAnsi="Arial" w:cs="Arial"/>
          <w:spacing w:val="-2"/>
          <w:sz w:val="20"/>
          <w:szCs w:val="20"/>
        </w:rPr>
      </w:pPr>
      <w:r w:rsidRPr="00DE475B">
        <w:rPr>
          <w:rFonts w:ascii="Arial" w:hAnsi="Arial" w:cs="Arial"/>
          <w:spacing w:val="-2"/>
          <w:sz w:val="20"/>
          <w:szCs w:val="20"/>
        </w:rPr>
        <w:t xml:space="preserve">All other non-current assets are measured at cost in accordance with </w:t>
      </w:r>
      <w:proofErr w:type="spellStart"/>
      <w:r w:rsidRPr="00DE475B">
        <w:rPr>
          <w:rFonts w:ascii="Arial" w:hAnsi="Arial" w:cs="Arial"/>
          <w:i/>
          <w:spacing w:val="-2"/>
          <w:sz w:val="20"/>
          <w:szCs w:val="20"/>
        </w:rPr>
        <w:t>NCAPs</w:t>
      </w:r>
      <w:proofErr w:type="spellEnd"/>
      <w:r w:rsidRPr="00DE475B">
        <w:rPr>
          <w:rFonts w:ascii="Arial" w:hAnsi="Arial" w:cs="Arial"/>
          <w:i/>
          <w:spacing w:val="-2"/>
          <w:sz w:val="20"/>
          <w:szCs w:val="20"/>
        </w:rPr>
        <w:t xml:space="preserve"> 1–7</w:t>
      </w:r>
      <w:r w:rsidRPr="00DE475B">
        <w:rPr>
          <w:rFonts w:ascii="Arial" w:hAnsi="Arial" w:cs="Arial"/>
          <w:spacing w:val="-2"/>
          <w:sz w:val="20"/>
          <w:szCs w:val="20"/>
        </w:rPr>
        <w:t>.</w:t>
      </w:r>
    </w:p>
    <w:p w:rsidR="002B29D6" w:rsidRPr="002B29D6" w:rsidRDefault="002B29D6" w:rsidP="002B29D6">
      <w:pPr>
        <w:suppressAutoHyphens w:val="0"/>
        <w:autoSpaceDE/>
        <w:rPr>
          <w:rFonts w:ascii="Arial" w:hAnsi="Arial" w:cs="Arial"/>
          <w:i/>
          <w:iCs/>
          <w:sz w:val="20"/>
          <w:szCs w:val="20"/>
        </w:rPr>
      </w:pPr>
      <w:r w:rsidRPr="002B29D6">
        <w:rPr>
          <w:rFonts w:ascii="Arial" w:hAnsi="Arial" w:cs="Arial"/>
          <w:i/>
          <w:iCs/>
          <w:sz w:val="20"/>
          <w:szCs w:val="20"/>
        </w:rPr>
        <w:t>Revision in Accounting Estimates</w:t>
      </w:r>
    </w:p>
    <w:p w:rsidR="002B29D6" w:rsidRPr="002B29D6" w:rsidRDefault="002B29D6" w:rsidP="002B29D6">
      <w:pPr>
        <w:spacing w:after="120"/>
        <w:rPr>
          <w:rFonts w:ascii="Arial" w:hAnsi="Arial" w:cs="Arial"/>
          <w:color w:val="auto"/>
          <w:sz w:val="20"/>
          <w:szCs w:val="20"/>
          <w:lang w:eastAsia="en-AU"/>
        </w:rPr>
      </w:pPr>
      <w:r>
        <w:rPr>
          <w:rFonts w:ascii="Arial" w:hAnsi="Arial" w:cs="Arial"/>
          <w:sz w:val="20"/>
          <w:szCs w:val="20"/>
        </w:rPr>
        <w:t>During 2016–</w:t>
      </w:r>
      <w:r w:rsidRPr="002B29D6">
        <w:rPr>
          <w:rFonts w:ascii="Arial" w:hAnsi="Arial" w:cs="Arial"/>
          <w:sz w:val="20"/>
          <w:szCs w:val="20"/>
        </w:rPr>
        <w:t xml:space="preserve">17, an assessment of microfilm assets held within the </w:t>
      </w:r>
      <w:proofErr w:type="spellStart"/>
      <w:r w:rsidRPr="002B29D6">
        <w:rPr>
          <w:rFonts w:ascii="Arial" w:hAnsi="Arial" w:cs="Arial"/>
          <w:sz w:val="20"/>
          <w:szCs w:val="20"/>
        </w:rPr>
        <w:t>JOL</w:t>
      </w:r>
      <w:proofErr w:type="spellEnd"/>
      <w:r w:rsidRPr="002B29D6">
        <w:rPr>
          <w:rFonts w:ascii="Arial" w:hAnsi="Arial" w:cs="Arial"/>
          <w:sz w:val="20"/>
          <w:szCs w:val="20"/>
        </w:rPr>
        <w:t xml:space="preserve"> </w:t>
      </w:r>
      <w:r>
        <w:rPr>
          <w:rFonts w:ascii="Arial" w:hAnsi="Arial" w:cs="Arial"/>
          <w:sz w:val="20"/>
          <w:szCs w:val="20"/>
        </w:rPr>
        <w:t>and</w:t>
      </w:r>
      <w:r w:rsidRPr="002B29D6">
        <w:rPr>
          <w:rFonts w:ascii="Arial" w:hAnsi="Arial" w:cs="Arial"/>
          <w:sz w:val="20"/>
          <w:szCs w:val="20"/>
        </w:rPr>
        <w:t xml:space="preserve"> ALA collections previously valued 'per title' was found to not represent the fair value of these assets. An independent valuation of these assets based on the number of microfilm rolls held as opposed to number of titles was completed which resulted in a value of $16.112M at 30 June 2017. Had this been applied at 30 June 2016 the value would have been $16.046M.</w:t>
      </w:r>
    </w:p>
    <w:p w:rsidR="002B29D6" w:rsidRPr="002B29D6" w:rsidRDefault="002B29D6" w:rsidP="002B29D6">
      <w:pPr>
        <w:suppressAutoHyphens w:val="0"/>
        <w:autoSpaceDE/>
        <w:rPr>
          <w:rFonts w:ascii="Arial" w:hAnsi="Arial" w:cs="Arial"/>
          <w:color w:val="auto"/>
          <w:sz w:val="20"/>
          <w:szCs w:val="20"/>
          <w:lang w:eastAsia="en-AU"/>
        </w:rPr>
      </w:pPr>
    </w:p>
    <w:p w:rsidR="00D77A2B" w:rsidRPr="00DE475B" w:rsidRDefault="00D77A2B" w:rsidP="00D77A2B">
      <w:pPr>
        <w:rPr>
          <w:rFonts w:ascii="Arial" w:hAnsi="Arial" w:cs="Arial"/>
          <w:i/>
          <w:iCs/>
          <w:sz w:val="20"/>
          <w:szCs w:val="20"/>
        </w:rPr>
      </w:pPr>
      <w:r w:rsidRPr="00DE475B">
        <w:rPr>
          <w:rFonts w:ascii="Arial" w:hAnsi="Arial" w:cs="Arial"/>
          <w:i/>
          <w:iCs/>
          <w:sz w:val="20"/>
          <w:szCs w:val="20"/>
        </w:rPr>
        <w:t>Measurement of property plant and equipment using cost</w:t>
      </w:r>
    </w:p>
    <w:p w:rsidR="00D77A2B" w:rsidRPr="00DE475B" w:rsidRDefault="00D77A2B" w:rsidP="00D77A2B">
      <w:pPr>
        <w:spacing w:after="120"/>
        <w:rPr>
          <w:rFonts w:ascii="Arial" w:hAnsi="Arial" w:cs="Arial"/>
          <w:sz w:val="20"/>
          <w:szCs w:val="20"/>
        </w:rPr>
      </w:pPr>
      <w:r w:rsidRPr="00DE475B">
        <w:rPr>
          <w:rFonts w:ascii="Arial" w:hAnsi="Arial" w:cs="Arial"/>
          <w:sz w:val="20"/>
          <w:szCs w:val="20"/>
        </w:rPr>
        <w:t xml:space="preserve">Plant and equipment, (that is not classified as major plant and equipment) is measured at cost in accordance with the </w:t>
      </w:r>
      <w:proofErr w:type="spellStart"/>
      <w:r w:rsidRPr="00DE475B">
        <w:rPr>
          <w:rFonts w:ascii="Arial" w:hAnsi="Arial" w:cs="Arial"/>
          <w:sz w:val="20"/>
          <w:szCs w:val="20"/>
        </w:rPr>
        <w:t>NCAPs</w:t>
      </w:r>
      <w:proofErr w:type="spellEnd"/>
      <w:r w:rsidRPr="00DE475B">
        <w:rPr>
          <w:rFonts w:ascii="Arial" w:hAnsi="Arial" w:cs="Arial"/>
          <w:sz w:val="20"/>
          <w:szCs w:val="20"/>
        </w:rPr>
        <w:t xml:space="preserve">. The carrying </w:t>
      </w:r>
      <w:proofErr w:type="gramStart"/>
      <w:r w:rsidRPr="00DE475B">
        <w:rPr>
          <w:rFonts w:ascii="Arial" w:hAnsi="Arial" w:cs="Arial"/>
          <w:sz w:val="20"/>
          <w:szCs w:val="20"/>
        </w:rPr>
        <w:t>amounts for such plant and equipment at cost is</w:t>
      </w:r>
      <w:proofErr w:type="gramEnd"/>
      <w:r w:rsidRPr="00DE475B">
        <w:rPr>
          <w:rFonts w:ascii="Arial" w:hAnsi="Arial" w:cs="Arial"/>
          <w:sz w:val="20"/>
          <w:szCs w:val="20"/>
        </w:rPr>
        <w:t xml:space="preserve"> not materially different from their fair value.</w:t>
      </w:r>
    </w:p>
    <w:p w:rsidR="00D77A2B" w:rsidRPr="00DE475B" w:rsidRDefault="00D77A2B" w:rsidP="00D77A2B">
      <w:pPr>
        <w:spacing w:after="120"/>
        <w:rPr>
          <w:rFonts w:ascii="Arial" w:hAnsi="Arial" w:cs="Arial"/>
          <w:sz w:val="20"/>
          <w:szCs w:val="20"/>
        </w:rPr>
      </w:pPr>
      <w:r w:rsidRPr="00DE475B">
        <w:rPr>
          <w:rFonts w:ascii="Arial" w:hAnsi="Arial" w:cs="Arial"/>
          <w:sz w:val="20"/>
          <w:szCs w:val="20"/>
        </w:rPr>
        <w:t>Separately identified components of assets are measured on the same basis as the assets to which they relate.</w:t>
      </w:r>
    </w:p>
    <w:p w:rsidR="00D77A2B" w:rsidRPr="00DE475B" w:rsidRDefault="00D77A2B" w:rsidP="00D77A2B">
      <w:pPr>
        <w:rPr>
          <w:rFonts w:ascii="Arial" w:hAnsi="Arial" w:cs="Arial"/>
          <w:i/>
          <w:iCs/>
          <w:sz w:val="20"/>
          <w:szCs w:val="20"/>
        </w:rPr>
      </w:pPr>
      <w:r w:rsidRPr="00DE475B">
        <w:rPr>
          <w:rFonts w:ascii="Arial" w:hAnsi="Arial" w:cs="Arial"/>
          <w:i/>
          <w:iCs/>
          <w:sz w:val="20"/>
          <w:szCs w:val="20"/>
        </w:rPr>
        <w:t>Depreciation of Property, Plant and Equipment</w:t>
      </w:r>
    </w:p>
    <w:p w:rsidR="008934B8" w:rsidRPr="00DE475B" w:rsidRDefault="00D77A2B" w:rsidP="008934B8">
      <w:pPr>
        <w:spacing w:after="120"/>
        <w:rPr>
          <w:rFonts w:ascii="Arial" w:hAnsi="Arial" w:cs="Arial"/>
          <w:sz w:val="20"/>
          <w:szCs w:val="20"/>
        </w:rPr>
      </w:pPr>
      <w:r w:rsidRPr="00DE475B">
        <w:rPr>
          <w:rFonts w:ascii="Arial" w:hAnsi="Arial" w:cs="Arial"/>
          <w:sz w:val="20"/>
          <w:szCs w:val="20"/>
        </w:rPr>
        <w:t>Property, plant and equipment is depreciated using the straight line method so as to allocate the net cost or revalued amount of each asset, less its estimated residual value, progressively over the estimated useful life to the entity.</w:t>
      </w:r>
    </w:p>
    <w:p w:rsidR="008934B8" w:rsidRPr="00DE475B" w:rsidRDefault="00D77A2B" w:rsidP="008934B8">
      <w:pPr>
        <w:spacing w:after="120"/>
        <w:rPr>
          <w:rFonts w:ascii="Arial" w:hAnsi="Arial" w:cs="Arial"/>
          <w:sz w:val="20"/>
          <w:szCs w:val="20"/>
        </w:rPr>
      </w:pPr>
      <w:r w:rsidRPr="00DE475B">
        <w:rPr>
          <w:rFonts w:ascii="Arial" w:hAnsi="Arial" w:cs="Arial"/>
          <w:sz w:val="20"/>
          <w:szCs w:val="20"/>
        </w:rPr>
        <w:t>Any expenditure that increases the originally assessed capacity or service potential of an asset is capitalised and the new depreciable amount is depreciated over the remaining useful life of the asset to the entity.</w:t>
      </w:r>
    </w:p>
    <w:p w:rsidR="00911D98" w:rsidRPr="00DE475B" w:rsidRDefault="00FA1C3A" w:rsidP="008934B8">
      <w:pPr>
        <w:spacing w:after="120"/>
        <w:rPr>
          <w:rFonts w:ascii="Arial" w:hAnsi="Arial" w:cs="Arial"/>
          <w:sz w:val="20"/>
          <w:szCs w:val="20"/>
        </w:rPr>
      </w:pPr>
      <w:r w:rsidRPr="00DE475B">
        <w:rPr>
          <w:rFonts w:ascii="Arial" w:hAnsi="Arial" w:cs="Arial"/>
          <w:sz w:val="20"/>
          <w:szCs w:val="20"/>
        </w:rPr>
        <w:t>For each class of depreciable assets, the following depreciation rates were used:</w:t>
      </w:r>
    </w:p>
    <w:tbl>
      <w:tblPr>
        <w:tblW w:w="0" w:type="auto"/>
        <w:tblInd w:w="108" w:type="dxa"/>
        <w:tblLayout w:type="fixed"/>
        <w:tblLook w:val="0000" w:firstRow="0" w:lastRow="0" w:firstColumn="0" w:lastColumn="0" w:noHBand="0" w:noVBand="0"/>
      </w:tblPr>
      <w:tblGrid>
        <w:gridCol w:w="2552"/>
        <w:gridCol w:w="1276"/>
      </w:tblGrid>
      <w:tr w:rsidR="00FA1C3A" w:rsidRPr="00DE475B" w:rsidTr="008009CB">
        <w:trPr>
          <w:trHeight w:val="315"/>
        </w:trPr>
        <w:tc>
          <w:tcPr>
            <w:tcW w:w="2552" w:type="dxa"/>
            <w:shd w:val="clear" w:color="auto" w:fill="BFBFBF"/>
            <w:vAlign w:val="center"/>
          </w:tcPr>
          <w:p w:rsidR="00FA1C3A" w:rsidRPr="00DE475B" w:rsidRDefault="00FA1C3A" w:rsidP="00DD3C58">
            <w:pPr>
              <w:rPr>
                <w:rFonts w:ascii="Arial" w:hAnsi="Arial" w:cs="Arial"/>
                <w:b/>
                <w:bCs/>
                <w:iCs/>
                <w:sz w:val="20"/>
                <w:szCs w:val="20"/>
              </w:rPr>
            </w:pPr>
            <w:r w:rsidRPr="00DE475B">
              <w:rPr>
                <w:rFonts w:ascii="Arial" w:hAnsi="Arial" w:cs="Arial"/>
                <w:b/>
                <w:bCs/>
                <w:iCs/>
                <w:sz w:val="20"/>
                <w:szCs w:val="20"/>
              </w:rPr>
              <w:t>Class</w:t>
            </w:r>
          </w:p>
        </w:tc>
        <w:tc>
          <w:tcPr>
            <w:tcW w:w="1276" w:type="dxa"/>
            <w:shd w:val="clear" w:color="auto" w:fill="BFBFBF"/>
            <w:vAlign w:val="center"/>
          </w:tcPr>
          <w:p w:rsidR="00FA1C3A" w:rsidRPr="00DE475B" w:rsidRDefault="00873082" w:rsidP="00DD3C58">
            <w:pPr>
              <w:jc w:val="center"/>
              <w:rPr>
                <w:rFonts w:ascii="Arial" w:hAnsi="Arial" w:cs="Arial"/>
                <w:b/>
                <w:sz w:val="20"/>
                <w:szCs w:val="20"/>
              </w:rPr>
            </w:pPr>
            <w:r>
              <w:rPr>
                <w:rFonts w:ascii="Arial" w:hAnsi="Arial" w:cs="Arial"/>
                <w:b/>
                <w:bCs/>
                <w:iCs/>
                <w:sz w:val="20"/>
                <w:szCs w:val="20"/>
              </w:rPr>
              <w:t xml:space="preserve">Default </w:t>
            </w:r>
            <w:r w:rsidR="00FA1C3A" w:rsidRPr="00DE475B">
              <w:rPr>
                <w:rFonts w:ascii="Arial" w:hAnsi="Arial" w:cs="Arial"/>
                <w:b/>
                <w:bCs/>
                <w:iCs/>
                <w:sz w:val="20"/>
                <w:szCs w:val="20"/>
              </w:rPr>
              <w:t>Rate</w:t>
            </w:r>
          </w:p>
        </w:tc>
      </w:tr>
      <w:tr w:rsidR="00F34242" w:rsidRPr="00DE475B" w:rsidTr="0051632B">
        <w:trPr>
          <w:trHeight w:val="315"/>
        </w:trPr>
        <w:tc>
          <w:tcPr>
            <w:tcW w:w="3828" w:type="dxa"/>
            <w:gridSpan w:val="2"/>
            <w:tcBorders>
              <w:bottom w:val="single" w:sz="8" w:space="0" w:color="000000"/>
            </w:tcBorders>
            <w:shd w:val="clear" w:color="auto" w:fill="auto"/>
            <w:vAlign w:val="center"/>
          </w:tcPr>
          <w:p w:rsidR="00F34242" w:rsidRPr="00F34242" w:rsidRDefault="00F34242" w:rsidP="00F34242">
            <w:pPr>
              <w:snapToGrid w:val="0"/>
              <w:rPr>
                <w:rFonts w:ascii="Arial" w:hAnsi="Arial" w:cs="Arial"/>
                <w:sz w:val="20"/>
                <w:szCs w:val="20"/>
              </w:rPr>
            </w:pPr>
            <w:r w:rsidRPr="00F34242">
              <w:rPr>
                <w:rFonts w:ascii="Arial" w:hAnsi="Arial" w:cs="Arial"/>
                <w:sz w:val="20"/>
                <w:szCs w:val="20"/>
              </w:rPr>
              <w:t>Plant and equipment (&gt;$5,000)</w:t>
            </w:r>
          </w:p>
        </w:tc>
      </w:tr>
      <w:tr w:rsidR="00FA1C3A" w:rsidRPr="00DE475B" w:rsidTr="00DD3C58">
        <w:trPr>
          <w:trHeight w:val="315"/>
        </w:trPr>
        <w:tc>
          <w:tcPr>
            <w:tcW w:w="2552" w:type="dxa"/>
            <w:tcBorders>
              <w:top w:val="single" w:sz="8" w:space="0" w:color="000000"/>
              <w:bottom w:val="single" w:sz="8" w:space="0" w:color="000000"/>
            </w:tcBorders>
            <w:shd w:val="clear" w:color="auto" w:fill="auto"/>
            <w:vAlign w:val="center"/>
          </w:tcPr>
          <w:p w:rsidR="00FA1C3A" w:rsidRPr="00DE475B" w:rsidRDefault="00FA1C3A" w:rsidP="00F34242">
            <w:pPr>
              <w:rPr>
                <w:rFonts w:ascii="Arial" w:hAnsi="Arial" w:cs="Arial"/>
                <w:sz w:val="20"/>
                <w:szCs w:val="20"/>
              </w:rPr>
            </w:pPr>
            <w:r w:rsidRPr="00DE475B">
              <w:rPr>
                <w:rFonts w:ascii="Arial" w:hAnsi="Arial" w:cs="Arial"/>
                <w:sz w:val="20"/>
                <w:szCs w:val="20"/>
              </w:rPr>
              <w:t xml:space="preserve">Computers </w:t>
            </w:r>
          </w:p>
        </w:tc>
        <w:tc>
          <w:tcPr>
            <w:tcW w:w="1276" w:type="dxa"/>
            <w:tcBorders>
              <w:top w:val="single" w:sz="8" w:space="0" w:color="000000"/>
              <w:bottom w:val="single" w:sz="8" w:space="0" w:color="000000"/>
            </w:tcBorders>
            <w:shd w:val="clear" w:color="auto" w:fill="auto"/>
            <w:vAlign w:val="center"/>
          </w:tcPr>
          <w:p w:rsidR="00FA1C3A" w:rsidRPr="00DE475B" w:rsidRDefault="00FA1C3A" w:rsidP="00DD3C58">
            <w:pPr>
              <w:jc w:val="center"/>
              <w:rPr>
                <w:rFonts w:ascii="Arial" w:hAnsi="Arial" w:cs="Arial"/>
                <w:sz w:val="20"/>
                <w:szCs w:val="20"/>
              </w:rPr>
            </w:pPr>
            <w:r w:rsidRPr="00DE475B">
              <w:rPr>
                <w:rFonts w:ascii="Arial" w:hAnsi="Arial" w:cs="Arial"/>
                <w:sz w:val="20"/>
                <w:szCs w:val="20"/>
              </w:rPr>
              <w:t>20%</w:t>
            </w:r>
            <w:r w:rsidR="00DC0CE1">
              <w:rPr>
                <w:rFonts w:ascii="Arial" w:hAnsi="Arial" w:cs="Arial"/>
                <w:sz w:val="20"/>
                <w:szCs w:val="20"/>
              </w:rPr>
              <w:t>–25%</w:t>
            </w:r>
          </w:p>
        </w:tc>
      </w:tr>
      <w:tr w:rsidR="00FA1C3A" w:rsidRPr="00DE475B" w:rsidTr="00DD3C58">
        <w:trPr>
          <w:trHeight w:val="315"/>
        </w:trPr>
        <w:tc>
          <w:tcPr>
            <w:tcW w:w="2552" w:type="dxa"/>
            <w:tcBorders>
              <w:top w:val="single" w:sz="8" w:space="0" w:color="000000"/>
              <w:bottom w:val="single" w:sz="8" w:space="0" w:color="000000"/>
            </w:tcBorders>
            <w:shd w:val="clear" w:color="auto" w:fill="auto"/>
            <w:vAlign w:val="center"/>
          </w:tcPr>
          <w:p w:rsidR="00FA1C3A" w:rsidRPr="00DE475B" w:rsidRDefault="00FA1C3A" w:rsidP="00DD3C58">
            <w:pPr>
              <w:rPr>
                <w:rFonts w:ascii="Arial" w:hAnsi="Arial" w:cs="Arial"/>
                <w:sz w:val="20"/>
                <w:szCs w:val="20"/>
              </w:rPr>
            </w:pPr>
            <w:r w:rsidRPr="00DE475B">
              <w:rPr>
                <w:rFonts w:ascii="Arial" w:hAnsi="Arial" w:cs="Arial"/>
                <w:sz w:val="20"/>
                <w:szCs w:val="20"/>
              </w:rPr>
              <w:t>Servers and switches</w:t>
            </w:r>
          </w:p>
        </w:tc>
        <w:tc>
          <w:tcPr>
            <w:tcW w:w="1276" w:type="dxa"/>
            <w:tcBorders>
              <w:top w:val="single" w:sz="8" w:space="0" w:color="000000"/>
              <w:bottom w:val="single" w:sz="8" w:space="0" w:color="000000"/>
            </w:tcBorders>
            <w:shd w:val="clear" w:color="auto" w:fill="auto"/>
            <w:vAlign w:val="center"/>
          </w:tcPr>
          <w:p w:rsidR="00FA1C3A" w:rsidRPr="00DE475B" w:rsidRDefault="00FA1C3A" w:rsidP="00DD3C58">
            <w:pPr>
              <w:jc w:val="center"/>
              <w:rPr>
                <w:rFonts w:ascii="Arial" w:hAnsi="Arial" w:cs="Arial"/>
                <w:sz w:val="20"/>
                <w:szCs w:val="20"/>
              </w:rPr>
            </w:pPr>
            <w:r w:rsidRPr="00DE475B">
              <w:rPr>
                <w:rFonts w:ascii="Arial" w:hAnsi="Arial" w:cs="Arial"/>
                <w:sz w:val="20"/>
                <w:szCs w:val="20"/>
              </w:rPr>
              <w:t>20%</w:t>
            </w:r>
          </w:p>
        </w:tc>
      </w:tr>
      <w:tr w:rsidR="00FA1C3A" w:rsidRPr="00DE475B" w:rsidTr="00DD3C58">
        <w:trPr>
          <w:trHeight w:val="315"/>
        </w:trPr>
        <w:tc>
          <w:tcPr>
            <w:tcW w:w="2552" w:type="dxa"/>
            <w:tcBorders>
              <w:top w:val="single" w:sz="8" w:space="0" w:color="000000"/>
              <w:bottom w:val="single" w:sz="8" w:space="0" w:color="000000"/>
            </w:tcBorders>
            <w:shd w:val="clear" w:color="auto" w:fill="auto"/>
            <w:vAlign w:val="center"/>
          </w:tcPr>
          <w:p w:rsidR="00FA1C3A" w:rsidRPr="00DE475B" w:rsidRDefault="00FA1C3A" w:rsidP="00DD3C58">
            <w:pPr>
              <w:rPr>
                <w:rFonts w:ascii="Arial" w:hAnsi="Arial" w:cs="Arial"/>
                <w:sz w:val="20"/>
                <w:szCs w:val="20"/>
              </w:rPr>
            </w:pPr>
            <w:r w:rsidRPr="00DE475B">
              <w:rPr>
                <w:rFonts w:ascii="Arial" w:hAnsi="Arial" w:cs="Arial"/>
                <w:sz w:val="20"/>
                <w:szCs w:val="20"/>
              </w:rPr>
              <w:t>Audio equipment</w:t>
            </w:r>
          </w:p>
        </w:tc>
        <w:tc>
          <w:tcPr>
            <w:tcW w:w="1276" w:type="dxa"/>
            <w:tcBorders>
              <w:top w:val="single" w:sz="8" w:space="0" w:color="000000"/>
              <w:bottom w:val="single" w:sz="8" w:space="0" w:color="000000"/>
            </w:tcBorders>
            <w:shd w:val="clear" w:color="auto" w:fill="auto"/>
            <w:vAlign w:val="center"/>
          </w:tcPr>
          <w:p w:rsidR="00FA1C3A" w:rsidRPr="00DE475B" w:rsidRDefault="00FA1C3A" w:rsidP="00DD3C58">
            <w:pPr>
              <w:jc w:val="center"/>
              <w:rPr>
                <w:rFonts w:ascii="Arial" w:hAnsi="Arial" w:cs="Arial"/>
                <w:sz w:val="20"/>
                <w:szCs w:val="20"/>
              </w:rPr>
            </w:pPr>
            <w:r w:rsidRPr="00DE475B">
              <w:rPr>
                <w:rFonts w:ascii="Arial" w:hAnsi="Arial" w:cs="Arial"/>
                <w:sz w:val="20"/>
                <w:szCs w:val="20"/>
              </w:rPr>
              <w:t>20%</w:t>
            </w:r>
            <w:r w:rsidR="00DC0CE1">
              <w:rPr>
                <w:rFonts w:ascii="Arial" w:hAnsi="Arial" w:cs="Arial"/>
                <w:sz w:val="20"/>
                <w:szCs w:val="20"/>
              </w:rPr>
              <w:t>–33%</w:t>
            </w:r>
          </w:p>
        </w:tc>
      </w:tr>
      <w:tr w:rsidR="00FA1C3A" w:rsidRPr="00DE475B" w:rsidTr="00DD3C58">
        <w:trPr>
          <w:trHeight w:val="315"/>
        </w:trPr>
        <w:tc>
          <w:tcPr>
            <w:tcW w:w="2552" w:type="dxa"/>
            <w:tcBorders>
              <w:top w:val="single" w:sz="8" w:space="0" w:color="000000"/>
              <w:bottom w:val="single" w:sz="8" w:space="0" w:color="000000"/>
            </w:tcBorders>
            <w:shd w:val="clear" w:color="auto" w:fill="auto"/>
            <w:vAlign w:val="center"/>
          </w:tcPr>
          <w:p w:rsidR="00FA1C3A" w:rsidRPr="00DE475B" w:rsidRDefault="00FA1C3A" w:rsidP="00DD3C58">
            <w:pPr>
              <w:rPr>
                <w:rFonts w:ascii="Arial" w:hAnsi="Arial" w:cs="Arial"/>
                <w:sz w:val="20"/>
                <w:szCs w:val="20"/>
              </w:rPr>
            </w:pPr>
            <w:r w:rsidRPr="00DE475B">
              <w:rPr>
                <w:rFonts w:ascii="Arial" w:hAnsi="Arial" w:cs="Arial"/>
                <w:sz w:val="20"/>
                <w:szCs w:val="20"/>
              </w:rPr>
              <w:t>Air conditioning</w:t>
            </w:r>
          </w:p>
        </w:tc>
        <w:tc>
          <w:tcPr>
            <w:tcW w:w="1276" w:type="dxa"/>
            <w:tcBorders>
              <w:top w:val="single" w:sz="8" w:space="0" w:color="000000"/>
              <w:bottom w:val="single" w:sz="8" w:space="0" w:color="000000"/>
            </w:tcBorders>
            <w:shd w:val="clear" w:color="auto" w:fill="auto"/>
            <w:vAlign w:val="center"/>
          </w:tcPr>
          <w:p w:rsidR="00FA1C3A" w:rsidRPr="00DE475B" w:rsidRDefault="00FA1C3A" w:rsidP="00DD3C58">
            <w:pPr>
              <w:jc w:val="center"/>
              <w:rPr>
                <w:rFonts w:ascii="Arial" w:hAnsi="Arial" w:cs="Arial"/>
                <w:sz w:val="20"/>
                <w:szCs w:val="20"/>
              </w:rPr>
            </w:pPr>
            <w:r w:rsidRPr="00DE475B">
              <w:rPr>
                <w:rFonts w:ascii="Arial" w:hAnsi="Arial" w:cs="Arial"/>
                <w:sz w:val="20"/>
                <w:szCs w:val="20"/>
              </w:rPr>
              <w:t>11%</w:t>
            </w:r>
          </w:p>
        </w:tc>
      </w:tr>
      <w:tr w:rsidR="00FA1C3A" w:rsidRPr="00DE475B" w:rsidTr="00DD3C58">
        <w:trPr>
          <w:trHeight w:val="315"/>
        </w:trPr>
        <w:tc>
          <w:tcPr>
            <w:tcW w:w="2552" w:type="dxa"/>
            <w:tcBorders>
              <w:top w:val="single" w:sz="8" w:space="0" w:color="000000"/>
              <w:bottom w:val="single" w:sz="8" w:space="0" w:color="000000"/>
            </w:tcBorders>
            <w:shd w:val="clear" w:color="auto" w:fill="auto"/>
            <w:vAlign w:val="center"/>
          </w:tcPr>
          <w:p w:rsidR="00FA1C3A" w:rsidRPr="00DE475B" w:rsidRDefault="00FA1C3A" w:rsidP="00DD3C58">
            <w:pPr>
              <w:rPr>
                <w:rFonts w:ascii="Arial" w:hAnsi="Arial" w:cs="Arial"/>
                <w:sz w:val="20"/>
                <w:szCs w:val="20"/>
              </w:rPr>
            </w:pPr>
            <w:r w:rsidRPr="00DE475B">
              <w:rPr>
                <w:rFonts w:ascii="Arial" w:hAnsi="Arial" w:cs="Arial"/>
                <w:sz w:val="20"/>
                <w:szCs w:val="20"/>
              </w:rPr>
              <w:t>Furniture (grand piano)</w:t>
            </w:r>
          </w:p>
        </w:tc>
        <w:tc>
          <w:tcPr>
            <w:tcW w:w="1276" w:type="dxa"/>
            <w:tcBorders>
              <w:top w:val="single" w:sz="8" w:space="0" w:color="000000"/>
              <w:bottom w:val="single" w:sz="8" w:space="0" w:color="000000"/>
            </w:tcBorders>
            <w:shd w:val="clear" w:color="auto" w:fill="auto"/>
            <w:vAlign w:val="center"/>
          </w:tcPr>
          <w:p w:rsidR="00FA1C3A" w:rsidRPr="00DE475B" w:rsidRDefault="00FA1C3A" w:rsidP="00DD3C58">
            <w:pPr>
              <w:jc w:val="center"/>
              <w:rPr>
                <w:rFonts w:ascii="Arial" w:hAnsi="Arial" w:cs="Arial"/>
                <w:sz w:val="20"/>
                <w:szCs w:val="20"/>
              </w:rPr>
            </w:pPr>
            <w:r w:rsidRPr="00DE475B">
              <w:rPr>
                <w:rFonts w:ascii="Arial" w:hAnsi="Arial" w:cs="Arial"/>
                <w:sz w:val="20"/>
                <w:szCs w:val="20"/>
              </w:rPr>
              <w:t>2%</w:t>
            </w:r>
          </w:p>
        </w:tc>
      </w:tr>
      <w:tr w:rsidR="00FA1C3A" w:rsidRPr="00DE475B" w:rsidTr="00DD3C58">
        <w:trPr>
          <w:trHeight w:val="315"/>
        </w:trPr>
        <w:tc>
          <w:tcPr>
            <w:tcW w:w="2552" w:type="dxa"/>
            <w:tcBorders>
              <w:top w:val="single" w:sz="8" w:space="0" w:color="000000"/>
              <w:bottom w:val="single" w:sz="8" w:space="0" w:color="000000"/>
            </w:tcBorders>
            <w:shd w:val="clear" w:color="auto" w:fill="auto"/>
            <w:vAlign w:val="center"/>
          </w:tcPr>
          <w:p w:rsidR="00FA1C3A" w:rsidRPr="00DE475B" w:rsidRDefault="00FA1C3A" w:rsidP="00DD3C58">
            <w:pPr>
              <w:rPr>
                <w:rFonts w:ascii="Arial" w:hAnsi="Arial" w:cs="Arial"/>
                <w:sz w:val="20"/>
                <w:szCs w:val="20"/>
              </w:rPr>
            </w:pPr>
            <w:r w:rsidRPr="00DE475B">
              <w:rPr>
                <w:rFonts w:ascii="Arial" w:hAnsi="Arial" w:cs="Arial"/>
                <w:sz w:val="20"/>
                <w:szCs w:val="20"/>
              </w:rPr>
              <w:t>Leasehold improvements</w:t>
            </w:r>
          </w:p>
        </w:tc>
        <w:tc>
          <w:tcPr>
            <w:tcW w:w="1276" w:type="dxa"/>
            <w:tcBorders>
              <w:top w:val="single" w:sz="8" w:space="0" w:color="000000"/>
              <w:bottom w:val="single" w:sz="8" w:space="0" w:color="000000"/>
            </w:tcBorders>
            <w:shd w:val="clear" w:color="auto" w:fill="auto"/>
            <w:vAlign w:val="center"/>
          </w:tcPr>
          <w:p w:rsidR="00FA1C3A" w:rsidRPr="00DE475B" w:rsidRDefault="00FA1C3A" w:rsidP="00DD3C58">
            <w:pPr>
              <w:jc w:val="center"/>
              <w:rPr>
                <w:rFonts w:ascii="Arial" w:hAnsi="Arial" w:cs="Arial"/>
                <w:sz w:val="20"/>
                <w:szCs w:val="20"/>
              </w:rPr>
            </w:pPr>
            <w:r w:rsidRPr="00DE475B">
              <w:rPr>
                <w:rFonts w:ascii="Arial" w:hAnsi="Arial" w:cs="Arial"/>
                <w:sz w:val="20"/>
                <w:szCs w:val="20"/>
              </w:rPr>
              <w:t>10%</w:t>
            </w:r>
          </w:p>
        </w:tc>
      </w:tr>
      <w:tr w:rsidR="00FA1C3A" w:rsidRPr="00DE475B" w:rsidTr="00DD3C58">
        <w:trPr>
          <w:trHeight w:val="315"/>
        </w:trPr>
        <w:tc>
          <w:tcPr>
            <w:tcW w:w="2552" w:type="dxa"/>
            <w:tcBorders>
              <w:top w:val="single" w:sz="8" w:space="0" w:color="000000"/>
              <w:bottom w:val="single" w:sz="8" w:space="0" w:color="000000"/>
            </w:tcBorders>
            <w:shd w:val="clear" w:color="auto" w:fill="auto"/>
            <w:vAlign w:val="center"/>
          </w:tcPr>
          <w:p w:rsidR="00FA1C3A" w:rsidRPr="00DE475B" w:rsidRDefault="00FA1C3A" w:rsidP="00DD3C58">
            <w:pPr>
              <w:rPr>
                <w:rFonts w:ascii="Arial" w:hAnsi="Arial" w:cs="Arial"/>
                <w:sz w:val="20"/>
                <w:szCs w:val="20"/>
              </w:rPr>
            </w:pPr>
            <w:r w:rsidRPr="00DE475B">
              <w:rPr>
                <w:rFonts w:ascii="Arial" w:hAnsi="Arial" w:cs="Arial"/>
                <w:sz w:val="20"/>
                <w:szCs w:val="20"/>
              </w:rPr>
              <w:t>Office equipment</w:t>
            </w:r>
          </w:p>
        </w:tc>
        <w:tc>
          <w:tcPr>
            <w:tcW w:w="1276" w:type="dxa"/>
            <w:tcBorders>
              <w:top w:val="single" w:sz="8" w:space="0" w:color="000000"/>
              <w:bottom w:val="single" w:sz="8" w:space="0" w:color="000000"/>
            </w:tcBorders>
            <w:shd w:val="clear" w:color="auto" w:fill="auto"/>
            <w:vAlign w:val="center"/>
          </w:tcPr>
          <w:p w:rsidR="00FA1C3A" w:rsidRPr="00DE475B" w:rsidRDefault="00FA1C3A" w:rsidP="00DD3C58">
            <w:pPr>
              <w:jc w:val="center"/>
              <w:rPr>
                <w:rFonts w:ascii="Arial" w:hAnsi="Arial" w:cs="Arial"/>
                <w:b/>
                <w:sz w:val="20"/>
                <w:szCs w:val="20"/>
              </w:rPr>
            </w:pPr>
            <w:r w:rsidRPr="00DE475B">
              <w:rPr>
                <w:rFonts w:ascii="Arial" w:hAnsi="Arial" w:cs="Arial"/>
                <w:sz w:val="20"/>
                <w:szCs w:val="20"/>
              </w:rPr>
              <w:t>20%</w:t>
            </w:r>
            <w:r w:rsidR="00DC0CE1">
              <w:rPr>
                <w:rFonts w:ascii="Arial" w:hAnsi="Arial" w:cs="Arial"/>
                <w:sz w:val="20"/>
                <w:szCs w:val="20"/>
              </w:rPr>
              <w:t>–33%</w:t>
            </w:r>
          </w:p>
        </w:tc>
      </w:tr>
    </w:tbl>
    <w:p w:rsidR="00FA1C3A" w:rsidRPr="00DE475B" w:rsidRDefault="00FA1C3A" w:rsidP="00F440B0">
      <w:pPr>
        <w:spacing w:before="240"/>
        <w:rPr>
          <w:rFonts w:ascii="Arial" w:hAnsi="Arial" w:cs="Arial"/>
          <w:i/>
          <w:iCs/>
          <w:sz w:val="20"/>
          <w:szCs w:val="20"/>
        </w:rPr>
      </w:pPr>
      <w:r w:rsidRPr="00DE475B">
        <w:rPr>
          <w:rFonts w:ascii="Arial" w:hAnsi="Arial" w:cs="Arial"/>
          <w:i/>
          <w:iCs/>
          <w:sz w:val="20"/>
          <w:szCs w:val="20"/>
        </w:rPr>
        <w:t>Depreciation of collections</w:t>
      </w:r>
    </w:p>
    <w:p w:rsidR="00FA1C3A" w:rsidRPr="00DE475B" w:rsidRDefault="00FA1C3A" w:rsidP="00FA1C3A">
      <w:pPr>
        <w:spacing w:after="120"/>
        <w:rPr>
          <w:rFonts w:ascii="Arial" w:hAnsi="Arial" w:cs="Arial"/>
          <w:sz w:val="20"/>
          <w:szCs w:val="20"/>
        </w:rPr>
      </w:pPr>
      <w:r w:rsidRPr="00DE475B">
        <w:rPr>
          <w:rFonts w:ascii="Arial" w:hAnsi="Arial" w:cs="Arial"/>
          <w:sz w:val="20"/>
          <w:szCs w:val="20"/>
        </w:rPr>
        <w:t xml:space="preserve">Depreciation is not applied to the reference collection based on the characteristics of the collection in accordance with </w:t>
      </w:r>
      <w:proofErr w:type="spellStart"/>
      <w:r w:rsidRPr="00DE475B">
        <w:rPr>
          <w:rFonts w:ascii="Arial" w:hAnsi="Arial" w:cs="Arial"/>
          <w:i/>
          <w:sz w:val="20"/>
          <w:szCs w:val="20"/>
        </w:rPr>
        <w:t>NCAP</w:t>
      </w:r>
      <w:proofErr w:type="spellEnd"/>
      <w:r w:rsidRPr="00DE475B">
        <w:rPr>
          <w:rFonts w:ascii="Arial" w:hAnsi="Arial" w:cs="Arial"/>
          <w:i/>
          <w:sz w:val="20"/>
          <w:szCs w:val="20"/>
        </w:rPr>
        <w:t xml:space="preserve"> 7</w:t>
      </w:r>
      <w:r w:rsidRPr="00DE475B">
        <w:rPr>
          <w:rFonts w:ascii="Arial" w:hAnsi="Arial" w:cs="Arial"/>
          <w:sz w:val="20"/>
          <w:szCs w:val="20"/>
        </w:rPr>
        <w:t>. The useful life of the collection is sufficiently long that the resultant depreciation expense would be immaterial in amount.</w:t>
      </w:r>
    </w:p>
    <w:p w:rsidR="00911D98" w:rsidRPr="00DE475B" w:rsidRDefault="00911D98" w:rsidP="00D77A2B">
      <w:pPr>
        <w:tabs>
          <w:tab w:val="left" w:pos="284"/>
        </w:tabs>
        <w:spacing w:after="120"/>
        <w:rPr>
          <w:rFonts w:ascii="Arial" w:hAnsi="Arial" w:cs="Arial"/>
          <w:sz w:val="20"/>
          <w:szCs w:val="20"/>
        </w:rPr>
        <w:sectPr w:rsidR="00911D98" w:rsidRPr="00DE475B" w:rsidSect="00B53922">
          <w:type w:val="continuous"/>
          <w:pgSz w:w="11906" w:h="16838"/>
          <w:pgMar w:top="1440" w:right="1701" w:bottom="1440" w:left="1701" w:header="680" w:footer="680" w:gutter="0"/>
          <w:cols w:num="2" w:space="566"/>
          <w:docGrid w:linePitch="360"/>
        </w:sectPr>
      </w:pPr>
    </w:p>
    <w:p w:rsidR="00DD3C58" w:rsidRDefault="00DD3C58" w:rsidP="000E04B0">
      <w:pPr>
        <w:pStyle w:val="ARbodytext"/>
        <w:rPr>
          <w:spacing w:val="-2"/>
        </w:rPr>
      </w:pPr>
    </w:p>
    <w:p w:rsidR="00652F6C" w:rsidRPr="00DE475B" w:rsidRDefault="00652F6C" w:rsidP="000E04B0">
      <w:pPr>
        <w:pStyle w:val="ARbodytext"/>
        <w:rPr>
          <w:spacing w:val="-2"/>
        </w:rPr>
      </w:pPr>
    </w:p>
    <w:p w:rsidR="000E04B0" w:rsidRPr="00DE475B" w:rsidRDefault="000E04B0" w:rsidP="000E04B0">
      <w:pPr>
        <w:pStyle w:val="ARbodytext"/>
        <w:rPr>
          <w:b/>
          <w:bCs/>
        </w:rPr>
      </w:pPr>
      <w:r w:rsidRPr="00DE475B">
        <w:rPr>
          <w:b/>
          <w:bCs/>
          <w:i/>
          <w:iCs/>
        </w:rPr>
        <w:t>Library Board of Queensland and controlled entities</w:t>
      </w:r>
    </w:p>
    <w:p w:rsidR="000E04B0" w:rsidRPr="00DE475B" w:rsidRDefault="00373FFE" w:rsidP="000E04B0">
      <w:pPr>
        <w:rPr>
          <w:rFonts w:ascii="Arial" w:hAnsi="Arial" w:cs="Arial"/>
          <w:b/>
          <w:bCs/>
          <w:sz w:val="20"/>
          <w:szCs w:val="20"/>
        </w:rPr>
      </w:pPr>
      <w:r w:rsidRPr="00DE475B">
        <w:rPr>
          <w:noProof/>
          <w:lang w:eastAsia="en-AU"/>
        </w:rPr>
        <mc:AlternateContent>
          <mc:Choice Requires="wps">
            <w:drawing>
              <wp:anchor distT="0" distB="0" distL="114300" distR="114300" simplePos="0" relativeHeight="251648000" behindDoc="0" locked="0" layoutInCell="1" allowOverlap="1" wp14:anchorId="063BF8E4" wp14:editId="45C7FF72">
                <wp:simplePos x="0" y="0"/>
                <wp:positionH relativeFrom="column">
                  <wp:posOffset>-66040</wp:posOffset>
                </wp:positionH>
                <wp:positionV relativeFrom="paragraph">
                  <wp:posOffset>-222250</wp:posOffset>
                </wp:positionV>
                <wp:extent cx="5573395" cy="0"/>
                <wp:effectExtent l="13970" t="12700" r="13335" b="6350"/>
                <wp:wrapNone/>
                <wp:docPr id="46"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5nEnAIAAHoFAAAOAAAAZHJzL2Uyb0RvYy54bWysVF1v2yAUfZ+0/4B4d23HzpdVZ2odZy/d&#10;Vqmd9kwAx2gYPKBxqmn/fReSeE33Mk1NJIuPy+Hce87l+sOhk2jPjRValTi9SjDiimom1K7EXx83&#10;0QIj64hiRGrFS/zMLf6wev/ueugLPtGtlowbBCDKFkNf4ta5vohjS1veEXule65gs9GmIw6mZhcz&#10;QwZA72Q8SZJZPGjDeqMptxZW18dNvAr4TcOp+9I0ljskSwzcXPia8N36b7y6JsXOkL4V9ESD/AeL&#10;jggFl45Qa+IIejLiL6hOUKOtbtwV1V2sm0ZQHnKAbNLkVTYPLel5yAWKY/uxTPbtYOnn/b1BgpU4&#10;n2GkSAca3QnF0WQSijP0toCYSt0bnx49qIf+TtPvFildtUTteCD5+NzDwdSXM7444ie2hyu2wyfN&#10;IIY8OR0qdWhM5yGhBugQBHkeBeEHhygsTqfzLFtOMaLnvZgU54O9se4j1x3ygxJLYB2Ayf7OOk+E&#10;FOcQf4/SGyFl0FsqNJR4mc3AEZSA6+yPcNJqKZiP8vHW7LaVNGhPvHXCL6QHOy/DOuHAwFJ0JV6M&#10;QaRoOWG1YuE6R4Q8joGSVB6cB2seecLs4GAY1iHxYJufy2RZL+pFHuWTWR3lyXod3WyqPJpt0vl0&#10;na2rap3+8qzTvGgFY1x54mcLp/m/WeTUTEfzjSYeSxVfooeaAtlLpjebaTLPs0U0n0+zKM/qJLpd&#10;bKropkpns3l9W93Wr5jWIXv7NmTHUnpW+gnUeGjZgJjwpsimy0mKYQItP5kf9UFE7uCtos5gZLT7&#10;JlwbPOzd5zEuhF8k/n8SfkQ/FuKsoZ+NKpxy+1Mq0Pysb2gN3w3+ebLFVrPne3NuGWjwcOj0GPkX&#10;5OUcxi+fzNVvAAAA//8DAFBLAwQUAAYACAAAACEA3tirZ+AAAAALAQAADwAAAGRycy9kb3ducmV2&#10;LnhtbEyPQUvDQBCF74L/YRnBi7SbmlhLzKaIIB4Eaaso3rbZMRvMzobdbRP/vSMIepuZ93jzvWo9&#10;uV4cMcTOk4LFPAOB1HjTUavg5fl+tgIRkyaje0+o4AsjrOvTk0qXxo+0xeMutYJDKJZagU1pKKWM&#10;jUWn49wPSKx9+OB04jW00gQ9crjr5WWWLaXTHfEHqwe8s9h87g5OwVMYu5jyothgen99eHyzmwu3&#10;Ver8bLq9AZFwSn9m+MFndKiZae8PZKLoFcwWWcFWHvIrLsWO1fI6B7H/vci6kv871N8AAAD//wMA&#10;UEsBAi0AFAAGAAgAAAAhALaDOJL+AAAA4QEAABMAAAAAAAAAAAAAAAAAAAAAAFtDb250ZW50X1R5&#10;cGVzXS54bWxQSwECLQAUAAYACAAAACEAOP0h/9YAAACUAQAACwAAAAAAAAAAAAAAAAAvAQAAX3Jl&#10;bHMvLnJlbHNQSwECLQAUAAYACAAAACEAO+uZxJwCAAB6BQAADgAAAAAAAAAAAAAAAAAuAgAAZHJz&#10;L2Uyb0RvYy54bWxQSwECLQAUAAYACAAAACEA3tirZ+AAAAALAQAADwAAAAAAAAAAAAAAAAD2BAAA&#10;ZHJzL2Rvd25yZXYueG1sUEsFBgAAAAAEAAQA8wAAAAMGAAAAAA==&#10;" strokeweight=".26mm">
                <v:stroke joinstyle="miter" endcap="square"/>
              </v:line>
            </w:pict>
          </mc:Fallback>
        </mc:AlternateContent>
      </w:r>
      <w:r w:rsidR="000E04B0" w:rsidRPr="00DE475B">
        <w:rPr>
          <w:rFonts w:ascii="Arial" w:hAnsi="Arial" w:cs="Arial"/>
          <w:b/>
          <w:bCs/>
          <w:sz w:val="20"/>
          <w:szCs w:val="20"/>
        </w:rPr>
        <w:t>NOTES TO THE FINANCIAL STATEMENTS</w:t>
      </w:r>
    </w:p>
    <w:p w:rsidR="000E04B0" w:rsidRPr="00DE475B" w:rsidRDefault="001D42EE" w:rsidP="000E04B0">
      <w:r>
        <w:rPr>
          <w:rFonts w:ascii="Arial" w:hAnsi="Arial" w:cs="Arial"/>
          <w:b/>
          <w:bCs/>
          <w:sz w:val="20"/>
          <w:szCs w:val="20"/>
        </w:rPr>
        <w:t>For the year ended 30 June 2017</w:t>
      </w:r>
    </w:p>
    <w:p w:rsidR="000E04B0" w:rsidRPr="00DE475B" w:rsidRDefault="00373FFE" w:rsidP="000E04B0">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646976" behindDoc="0" locked="0" layoutInCell="1" allowOverlap="1" wp14:anchorId="249F903B" wp14:editId="186CFCC8">
                <wp:simplePos x="0" y="0"/>
                <wp:positionH relativeFrom="column">
                  <wp:posOffset>-66040</wp:posOffset>
                </wp:positionH>
                <wp:positionV relativeFrom="paragraph">
                  <wp:posOffset>70485</wp:posOffset>
                </wp:positionV>
                <wp:extent cx="5573395" cy="0"/>
                <wp:effectExtent l="13970" t="6985" r="13335" b="12065"/>
                <wp:wrapNone/>
                <wp:docPr id="4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VMmwIAAHoFAAAOAAAAZHJzL2Uyb0RvYy54bWysVN9v2yAQfp+0/wHx7tqOnV9Wnal1nL10&#10;W6V22jMBHKNh8IDGqab97ztI4jXdyzQ1kSwO7o7v7vuO6w+HTqI9N1ZoVeL0KsGIK6qZULsSf33c&#10;RAuMrCOKEakVL/Ezt/jD6v2766Ev+ES3WjJuECRRthj6ErfO9UUcW9ryjtgr3XMFh402HXFgml3M&#10;DBkgeyfjSZLM4kEb1htNubWwuz4e4lXI3zScui9NY7lDssSAzYWvCd+t/8ara1LsDOlbQU8wyH+g&#10;6IhQcOmYak0cQU9G/JWqE9Roqxt3RXUX66YRlIcaoJo0eVXNQ0t6HmqB5th+bJN9u7T08/7eIMFK&#10;nE8xUqQDju6E4miSLn1zht4W4FOpe+PLowf10N9p+t0ipauWqB0PIB+fewhMfUR8EeIN28MV2+GT&#10;ZuBDnpwOnTo0pvMpoQfoEAh5HgnhB4cobE6n8yxbAjB6PotJcQ7sjXUfue6QX5RYAuqQmOzvrPNA&#10;SHF28fcovRFSBr6lQkOJl9kMFEEJqM7+CJFWS8G8l/e3ZretpEF74qUTfqE8OHnp1gkHApaiK/Fi&#10;dCJFywmrFQvXOSLkcQ2QpPLJeZDmESdYBwfLsA+FB9n8XCbLelEv8iifzOooT9br6GZT5dFsk86n&#10;62xdVev0l0ed5kUrGOPKAz9LOM3/TSKnYTqKbxTx2Kr4MnvoKYC9RHqzmSbzPFtE8/k0i/KsTqLb&#10;xaaKbqp0NpvXt9Vt/QppHaq3bwN2bKVHpZ+AjYeWDYgJL4psupykGAwY+cn8yA8icgdvFXUGI6Pd&#10;N+HaoGGvPp/jgvhF4v8n4sfsx0acOfTWyMKptj+tAs7P/IbR8NNwnKutZs/35jwyMOAh6PQY+Rfk&#10;pQ3rl0/m6jcAAAD//wMAUEsDBBQABgAIAAAAIQDwQGlx3gAAAAkBAAAPAAAAZHJzL2Rvd25yZXYu&#10;eG1sTI/BSsNAEIbvgu+wjOBF2k1sqCVmU0QQD4K0VRRv2+yYDWZnw+62iW/vSA96nPk//vmmWk+u&#10;F0cMsfOkIJ9nIJAabzpqFby+PMxWIGLSZHTvCRV8Y4R1fX5W6dL4kbZ43KVWcAnFUiuwKQ2llLGx&#10;6HSc+wGJs08fnE48hlaaoEcud728zrKldLojvmD1gPcWm6/dwSl4DmMX06IoNpg+3h6f3u3mym2V&#10;uryY7m5BJJzSHwy/+qwONTvt/YFMFL2CWZ4VjHKQ5yAYWC1vFiD2p4WsK/n/g/oHAAD//wMAUEsB&#10;Ai0AFAAGAAgAAAAhALaDOJL+AAAA4QEAABMAAAAAAAAAAAAAAAAAAAAAAFtDb250ZW50X1R5cGVz&#10;XS54bWxQSwECLQAUAAYACAAAACEAOP0h/9YAAACUAQAACwAAAAAAAAAAAAAAAAAvAQAAX3JlbHMv&#10;LnJlbHNQSwECLQAUAAYACAAAACEALHN1TJsCAAB6BQAADgAAAAAAAAAAAAAAAAAuAgAAZHJzL2Uy&#10;b0RvYy54bWxQSwECLQAUAAYACAAAACEA8EBpcd4AAAAJAQAADwAAAAAAAAAAAAAAAAD1BAAAZHJz&#10;L2Rvd25yZXYueG1sUEsFBgAAAAAEAAQA8wAAAAAGAAAAAA==&#10;" strokeweight=".26mm">
                <v:stroke joinstyle="miter" endcap="square"/>
              </v:line>
            </w:pict>
          </mc:Fallback>
        </mc:AlternateContent>
      </w:r>
    </w:p>
    <w:p w:rsidR="000E04B0" w:rsidRPr="00DE475B" w:rsidRDefault="000E04B0" w:rsidP="000E04B0">
      <w:pPr>
        <w:pStyle w:val="ARheading3"/>
        <w:tabs>
          <w:tab w:val="left" w:pos="851"/>
        </w:tabs>
        <w:spacing w:after="120"/>
        <w:rPr>
          <w:color w:val="808080"/>
        </w:rPr>
      </w:pPr>
      <w:r w:rsidRPr="00DE475B">
        <w:rPr>
          <w:color w:val="808080"/>
        </w:rPr>
        <w:t>C4 Property, plant and equipment (continued)</w:t>
      </w:r>
    </w:p>
    <w:p w:rsidR="00DC0CE1" w:rsidRDefault="00D77A2B" w:rsidP="00652F6C">
      <w:pPr>
        <w:tabs>
          <w:tab w:val="left" w:pos="284"/>
          <w:tab w:val="left" w:pos="5878"/>
          <w:tab w:val="left" w:pos="8548"/>
          <w:tab w:val="left" w:pos="8770"/>
          <w:tab w:val="left" w:pos="10266"/>
          <w:tab w:val="left" w:pos="11702"/>
        </w:tabs>
        <w:rPr>
          <w:rFonts w:ascii="Arial" w:hAnsi="Arial" w:cs="Arial"/>
          <w:i/>
          <w:iCs/>
          <w:spacing w:val="-2"/>
          <w:sz w:val="20"/>
          <w:szCs w:val="20"/>
        </w:rPr>
        <w:sectPr w:rsidR="00DC0CE1" w:rsidSect="00B53922">
          <w:type w:val="continuous"/>
          <w:pgSz w:w="11906" w:h="16838"/>
          <w:pgMar w:top="1440" w:right="1701" w:bottom="1440" w:left="1701" w:header="680" w:footer="680" w:gutter="0"/>
          <w:cols w:space="720"/>
          <w:docGrid w:linePitch="360"/>
        </w:sectPr>
      </w:pPr>
      <w:r w:rsidRPr="00DE475B">
        <w:rPr>
          <w:rFonts w:ascii="Arial" w:hAnsi="Arial" w:cs="Arial"/>
          <w:b/>
          <w:bCs/>
          <w:sz w:val="20"/>
          <w:szCs w:val="20"/>
        </w:rPr>
        <w:t>C4-1 Accounting policies (continued)</w:t>
      </w:r>
    </w:p>
    <w:p w:rsidR="00DC0CE1" w:rsidRPr="00DE475B" w:rsidRDefault="00DC0CE1" w:rsidP="00DC0CE1">
      <w:pPr>
        <w:rPr>
          <w:rFonts w:ascii="Arial" w:hAnsi="Arial" w:cs="Arial"/>
          <w:i/>
          <w:iCs/>
          <w:spacing w:val="-2"/>
          <w:sz w:val="20"/>
          <w:szCs w:val="20"/>
        </w:rPr>
      </w:pPr>
      <w:r w:rsidRPr="00DE475B">
        <w:rPr>
          <w:rFonts w:ascii="Arial" w:hAnsi="Arial" w:cs="Arial"/>
          <w:i/>
          <w:iCs/>
          <w:spacing w:val="-2"/>
          <w:sz w:val="20"/>
          <w:szCs w:val="20"/>
        </w:rPr>
        <w:lastRenderedPageBreak/>
        <w:t>Impairment of Non-Current Assets</w:t>
      </w:r>
    </w:p>
    <w:p w:rsidR="00DC0CE1" w:rsidRPr="00DE475B" w:rsidRDefault="00DC0CE1" w:rsidP="00DC0CE1">
      <w:pPr>
        <w:spacing w:after="120"/>
        <w:rPr>
          <w:rFonts w:ascii="Arial" w:hAnsi="Arial" w:cs="Arial"/>
          <w:spacing w:val="-2"/>
          <w:sz w:val="20"/>
          <w:szCs w:val="20"/>
        </w:rPr>
      </w:pPr>
      <w:r w:rsidRPr="00DE475B">
        <w:rPr>
          <w:rFonts w:ascii="Arial" w:hAnsi="Arial" w:cs="Arial"/>
          <w:spacing w:val="-2"/>
          <w:sz w:val="20"/>
          <w:szCs w:val="20"/>
        </w:rPr>
        <w:t>All non-current physical and intangible assets are assessed for indicators of impairment on an annual basis. If an indicator of possible impairment exists, management determines the asset's recoverable amount. Any amount by which the asset’s carrying amount exceeds the recoverable amount is recorded as an impairment loss.</w:t>
      </w:r>
    </w:p>
    <w:p w:rsidR="00DC0CE1" w:rsidRPr="00DE475B" w:rsidRDefault="00DC0CE1" w:rsidP="00DC0CE1">
      <w:pPr>
        <w:spacing w:after="120"/>
        <w:rPr>
          <w:rFonts w:ascii="Arial" w:hAnsi="Arial" w:cs="Arial"/>
          <w:sz w:val="20"/>
          <w:szCs w:val="20"/>
        </w:rPr>
      </w:pPr>
      <w:r w:rsidRPr="00DE475B">
        <w:rPr>
          <w:rFonts w:ascii="Arial" w:hAnsi="Arial" w:cs="Arial"/>
          <w:sz w:val="20"/>
          <w:szCs w:val="20"/>
        </w:rPr>
        <w:t>The asset’s recoverable amount is determined as the higher of the asset's fair value less costs to sell and depreciated replacement cost.</w:t>
      </w:r>
    </w:p>
    <w:p w:rsidR="00DC0CE1" w:rsidRDefault="00DC0CE1" w:rsidP="00DC0CE1">
      <w:pPr>
        <w:spacing w:after="120"/>
        <w:rPr>
          <w:rFonts w:ascii="Arial" w:hAnsi="Arial" w:cs="Arial"/>
          <w:sz w:val="20"/>
          <w:szCs w:val="20"/>
        </w:rPr>
      </w:pPr>
      <w:r w:rsidRPr="00DE475B">
        <w:rPr>
          <w:rFonts w:ascii="Arial" w:hAnsi="Arial" w:cs="Arial"/>
          <w:sz w:val="20"/>
          <w:szCs w:val="20"/>
        </w:rPr>
        <w:t xml:space="preserve">An impairment loss is recognised immediately in the Statements of Comprehensive Income, unless the asset is carried at a revalued amount. When the asset is measured at a revalued amount, the impairment loss is offset against the </w:t>
      </w:r>
      <w:r w:rsidRPr="00DE475B">
        <w:rPr>
          <w:rFonts w:ascii="Arial" w:hAnsi="Arial" w:cs="Arial"/>
          <w:sz w:val="20"/>
          <w:szCs w:val="20"/>
        </w:rPr>
        <w:lastRenderedPageBreak/>
        <w:t>asset revaluation surplus of the relevant class to the extent available.</w:t>
      </w:r>
    </w:p>
    <w:p w:rsidR="00D77A2B" w:rsidRPr="00DE475B" w:rsidRDefault="00D77A2B" w:rsidP="00DC0CE1">
      <w:pPr>
        <w:spacing w:after="120"/>
        <w:rPr>
          <w:rFonts w:ascii="Arial" w:hAnsi="Arial" w:cs="Arial"/>
          <w:sz w:val="20"/>
          <w:szCs w:val="20"/>
        </w:rPr>
      </w:pPr>
      <w:r w:rsidRPr="00DE475B">
        <w:rPr>
          <w:rFonts w:ascii="Arial" w:hAnsi="Arial" w:cs="Arial"/>
          <w:sz w:val="20"/>
          <w:szCs w:val="20"/>
        </w:rPr>
        <w:t>Where an impairment loss subsequently reverses, the carrying amount of the asset is increased to the revised estimate of its recoverable amount, but so that the increased carrying amount does not exceed the carrying amount that would have been determined had no impairment loss been recognised for the asset in prior years. A reversal of an impairment loss is recognised as income, unless the asset is carried at a revalued amount, in which case the reversal of the impairment loss is treated as a revaluation increase.</w:t>
      </w:r>
    </w:p>
    <w:p w:rsidR="00D77A2B" w:rsidRPr="00DE475B" w:rsidRDefault="00D77A2B" w:rsidP="00DC0CE1">
      <w:pPr>
        <w:pStyle w:val="ARheading3"/>
        <w:tabs>
          <w:tab w:val="left" w:pos="851"/>
        </w:tabs>
        <w:spacing w:after="120"/>
        <w:rPr>
          <w:b w:val="0"/>
          <w:color w:val="808080"/>
        </w:rPr>
        <w:sectPr w:rsidR="00D77A2B" w:rsidRPr="00DE475B" w:rsidSect="00B53922">
          <w:type w:val="continuous"/>
          <w:pgSz w:w="11906" w:h="16838"/>
          <w:pgMar w:top="1440" w:right="1701" w:bottom="1440" w:left="1701" w:header="680" w:footer="680" w:gutter="0"/>
          <w:cols w:num="2" w:space="720"/>
          <w:docGrid w:linePitch="360"/>
        </w:sectPr>
      </w:pPr>
      <w:r w:rsidRPr="00DE475B">
        <w:rPr>
          <w:b w:val="0"/>
          <w:spacing w:val="-2"/>
        </w:rPr>
        <w:t xml:space="preserve">When an asset is revalued using </w:t>
      </w:r>
      <w:proofErr w:type="gramStart"/>
      <w:r w:rsidRPr="00DE475B">
        <w:rPr>
          <w:b w:val="0"/>
          <w:spacing w:val="-2"/>
        </w:rPr>
        <w:t>either a</w:t>
      </w:r>
      <w:proofErr w:type="gramEnd"/>
      <w:r w:rsidRPr="00DE475B">
        <w:rPr>
          <w:b w:val="0"/>
          <w:spacing w:val="-2"/>
        </w:rPr>
        <w:t xml:space="preserve"> market or income valuation approach, any accumulated impairment losses at that date are eliminated against the gross amount of the asset prior to restating for the revaluation.</w:t>
      </w:r>
    </w:p>
    <w:p w:rsidR="000E04B0" w:rsidRPr="00DE475B" w:rsidRDefault="000E04B0" w:rsidP="001D5851">
      <w:pPr>
        <w:tabs>
          <w:tab w:val="left" w:pos="284"/>
          <w:tab w:val="left" w:pos="5878"/>
          <w:tab w:val="left" w:pos="8548"/>
          <w:tab w:val="left" w:pos="8770"/>
          <w:tab w:val="left" w:pos="10266"/>
          <w:tab w:val="left" w:pos="11702"/>
        </w:tabs>
        <w:spacing w:after="40"/>
        <w:rPr>
          <w:rFonts w:ascii="Arial" w:hAnsi="Arial" w:cs="Arial"/>
          <w:b/>
          <w:bCs/>
          <w:sz w:val="20"/>
          <w:szCs w:val="20"/>
        </w:rPr>
        <w:sectPr w:rsidR="000E04B0" w:rsidRPr="00DE475B" w:rsidSect="00B53922">
          <w:type w:val="continuous"/>
          <w:pgSz w:w="11906" w:h="16838"/>
          <w:pgMar w:top="1440" w:right="1701" w:bottom="1440" w:left="1701" w:header="680" w:footer="680" w:gutter="0"/>
          <w:cols w:space="566"/>
          <w:docGrid w:linePitch="360"/>
        </w:sectPr>
      </w:pPr>
      <w:r w:rsidRPr="00DE475B">
        <w:rPr>
          <w:rFonts w:ascii="Arial" w:hAnsi="Arial" w:cs="Arial"/>
          <w:b/>
          <w:bCs/>
          <w:sz w:val="20"/>
          <w:szCs w:val="20"/>
        </w:rPr>
        <w:lastRenderedPageBreak/>
        <w:t>C4-2 Property, plant and equipment — Cost</w:t>
      </w:r>
    </w:p>
    <w:tbl>
      <w:tblPr>
        <w:tblW w:w="8647" w:type="dxa"/>
        <w:tblInd w:w="108" w:type="dxa"/>
        <w:tblLayout w:type="fixed"/>
        <w:tblLook w:val="0000" w:firstRow="0" w:lastRow="0" w:firstColumn="0" w:lastColumn="0" w:noHBand="0" w:noVBand="0"/>
      </w:tblPr>
      <w:tblGrid>
        <w:gridCol w:w="485"/>
        <w:gridCol w:w="345"/>
        <w:gridCol w:w="1583"/>
        <w:gridCol w:w="2350"/>
        <w:gridCol w:w="971"/>
        <w:gridCol w:w="971"/>
        <w:gridCol w:w="971"/>
        <w:gridCol w:w="971"/>
      </w:tblGrid>
      <w:tr w:rsidR="007F7CC3" w:rsidRPr="00DE475B" w:rsidTr="001D5851">
        <w:trPr>
          <w:trHeight w:val="255"/>
        </w:trPr>
        <w:tc>
          <w:tcPr>
            <w:tcW w:w="485" w:type="dxa"/>
            <w:shd w:val="clear" w:color="auto" w:fill="auto"/>
            <w:vAlign w:val="bottom"/>
          </w:tcPr>
          <w:p w:rsidR="007F7CC3" w:rsidRPr="00DE475B" w:rsidRDefault="007F7CC3" w:rsidP="00D25526">
            <w:pPr>
              <w:snapToGrid w:val="0"/>
              <w:rPr>
                <w:rFonts w:ascii="Arial" w:hAnsi="Arial" w:cs="Arial"/>
                <w:b/>
                <w:bCs/>
                <w:sz w:val="20"/>
                <w:szCs w:val="20"/>
              </w:rPr>
            </w:pPr>
          </w:p>
        </w:tc>
        <w:tc>
          <w:tcPr>
            <w:tcW w:w="345" w:type="dxa"/>
            <w:shd w:val="clear" w:color="auto" w:fill="auto"/>
            <w:vAlign w:val="bottom"/>
          </w:tcPr>
          <w:p w:rsidR="007F7CC3" w:rsidRPr="00DE475B" w:rsidRDefault="007F7CC3" w:rsidP="00D25526">
            <w:pPr>
              <w:snapToGrid w:val="0"/>
              <w:rPr>
                <w:rFonts w:ascii="Arial" w:hAnsi="Arial" w:cs="Arial"/>
                <w:b/>
                <w:bCs/>
                <w:sz w:val="20"/>
                <w:szCs w:val="20"/>
              </w:rPr>
            </w:pPr>
          </w:p>
        </w:tc>
        <w:tc>
          <w:tcPr>
            <w:tcW w:w="1583" w:type="dxa"/>
            <w:shd w:val="clear" w:color="auto" w:fill="auto"/>
            <w:vAlign w:val="bottom"/>
          </w:tcPr>
          <w:p w:rsidR="007F7CC3" w:rsidRPr="00DE475B" w:rsidRDefault="007F7CC3" w:rsidP="00D25526">
            <w:pPr>
              <w:snapToGrid w:val="0"/>
              <w:rPr>
                <w:rFonts w:ascii="Arial" w:hAnsi="Arial" w:cs="Arial"/>
                <w:b/>
                <w:bCs/>
                <w:sz w:val="20"/>
                <w:szCs w:val="20"/>
              </w:rPr>
            </w:pPr>
          </w:p>
        </w:tc>
        <w:tc>
          <w:tcPr>
            <w:tcW w:w="2350" w:type="dxa"/>
            <w:shd w:val="clear" w:color="auto" w:fill="auto"/>
            <w:vAlign w:val="bottom"/>
          </w:tcPr>
          <w:p w:rsidR="007F7CC3" w:rsidRPr="00DE475B" w:rsidRDefault="007F7CC3" w:rsidP="00D25526">
            <w:pPr>
              <w:snapToGrid w:val="0"/>
              <w:rPr>
                <w:rFonts w:ascii="Arial" w:hAnsi="Arial" w:cs="Arial"/>
                <w:b/>
                <w:bCs/>
                <w:sz w:val="20"/>
                <w:szCs w:val="20"/>
              </w:rPr>
            </w:pPr>
          </w:p>
        </w:tc>
        <w:tc>
          <w:tcPr>
            <w:tcW w:w="1942" w:type="dxa"/>
            <w:gridSpan w:val="2"/>
            <w:shd w:val="clear" w:color="auto" w:fill="auto"/>
            <w:vAlign w:val="bottom"/>
          </w:tcPr>
          <w:p w:rsidR="007F7CC3" w:rsidRPr="00DE475B" w:rsidRDefault="007F7CC3" w:rsidP="00D25526">
            <w:pPr>
              <w:jc w:val="right"/>
              <w:rPr>
                <w:rFonts w:ascii="Arial" w:hAnsi="Arial" w:cs="Arial"/>
                <w:b/>
                <w:bCs/>
                <w:sz w:val="20"/>
                <w:szCs w:val="20"/>
              </w:rPr>
            </w:pPr>
            <w:r w:rsidRPr="00DE475B">
              <w:rPr>
                <w:rFonts w:ascii="Arial" w:hAnsi="Arial" w:cs="Arial"/>
                <w:b/>
                <w:bCs/>
                <w:sz w:val="20"/>
                <w:szCs w:val="20"/>
              </w:rPr>
              <w:t>Economic Entity</w:t>
            </w:r>
          </w:p>
        </w:tc>
        <w:tc>
          <w:tcPr>
            <w:tcW w:w="1942" w:type="dxa"/>
            <w:gridSpan w:val="2"/>
            <w:shd w:val="clear" w:color="auto" w:fill="auto"/>
            <w:vAlign w:val="bottom"/>
          </w:tcPr>
          <w:p w:rsidR="007F7CC3" w:rsidRPr="00DE475B" w:rsidRDefault="007F7CC3" w:rsidP="00D25526">
            <w:pPr>
              <w:jc w:val="right"/>
              <w:rPr>
                <w:rFonts w:ascii="Arial" w:hAnsi="Arial" w:cs="Arial"/>
                <w:b/>
                <w:bCs/>
                <w:sz w:val="20"/>
                <w:szCs w:val="20"/>
              </w:rPr>
            </w:pPr>
            <w:r w:rsidRPr="00DE475B">
              <w:rPr>
                <w:rFonts w:ascii="Arial" w:hAnsi="Arial" w:cs="Arial"/>
                <w:b/>
                <w:bCs/>
                <w:sz w:val="20"/>
                <w:szCs w:val="20"/>
              </w:rPr>
              <w:t>Parent Entity</w:t>
            </w:r>
          </w:p>
        </w:tc>
      </w:tr>
      <w:tr w:rsidR="007F7CC3" w:rsidRPr="00DE475B" w:rsidTr="001D5851">
        <w:trPr>
          <w:trHeight w:val="255"/>
        </w:trPr>
        <w:tc>
          <w:tcPr>
            <w:tcW w:w="485" w:type="dxa"/>
            <w:shd w:val="clear" w:color="auto" w:fill="auto"/>
            <w:vAlign w:val="bottom"/>
          </w:tcPr>
          <w:p w:rsidR="007F7CC3" w:rsidRPr="00DE475B" w:rsidRDefault="007F7CC3" w:rsidP="00D25526">
            <w:pPr>
              <w:snapToGrid w:val="0"/>
              <w:jc w:val="right"/>
              <w:rPr>
                <w:rFonts w:ascii="Arial" w:hAnsi="Arial" w:cs="Arial"/>
                <w:b/>
                <w:bCs/>
                <w:sz w:val="20"/>
                <w:szCs w:val="20"/>
              </w:rPr>
            </w:pPr>
          </w:p>
        </w:tc>
        <w:tc>
          <w:tcPr>
            <w:tcW w:w="345" w:type="dxa"/>
            <w:shd w:val="clear" w:color="auto" w:fill="auto"/>
            <w:vAlign w:val="bottom"/>
          </w:tcPr>
          <w:p w:rsidR="007F7CC3" w:rsidRPr="00DE475B" w:rsidRDefault="007F7CC3" w:rsidP="00D25526">
            <w:pPr>
              <w:snapToGrid w:val="0"/>
              <w:jc w:val="right"/>
              <w:rPr>
                <w:rFonts w:ascii="Arial" w:hAnsi="Arial" w:cs="Arial"/>
                <w:b/>
                <w:bCs/>
                <w:sz w:val="20"/>
                <w:szCs w:val="20"/>
              </w:rPr>
            </w:pPr>
          </w:p>
        </w:tc>
        <w:tc>
          <w:tcPr>
            <w:tcW w:w="1583" w:type="dxa"/>
            <w:shd w:val="clear" w:color="auto" w:fill="auto"/>
            <w:vAlign w:val="bottom"/>
          </w:tcPr>
          <w:p w:rsidR="007F7CC3" w:rsidRPr="00DE475B" w:rsidRDefault="007F7CC3" w:rsidP="00D25526">
            <w:pPr>
              <w:snapToGrid w:val="0"/>
              <w:jc w:val="right"/>
              <w:rPr>
                <w:rFonts w:ascii="Arial" w:hAnsi="Arial" w:cs="Arial"/>
                <w:b/>
                <w:bCs/>
                <w:sz w:val="20"/>
                <w:szCs w:val="20"/>
              </w:rPr>
            </w:pPr>
          </w:p>
        </w:tc>
        <w:tc>
          <w:tcPr>
            <w:tcW w:w="2350" w:type="dxa"/>
            <w:shd w:val="clear" w:color="auto" w:fill="auto"/>
            <w:vAlign w:val="bottom"/>
          </w:tcPr>
          <w:p w:rsidR="007F7CC3" w:rsidRPr="00DE475B" w:rsidRDefault="007F7CC3" w:rsidP="00D25526">
            <w:pPr>
              <w:snapToGrid w:val="0"/>
              <w:jc w:val="right"/>
              <w:rPr>
                <w:rFonts w:ascii="Arial" w:hAnsi="Arial" w:cs="Arial"/>
                <w:b/>
                <w:bCs/>
                <w:sz w:val="20"/>
                <w:szCs w:val="20"/>
              </w:rPr>
            </w:pPr>
          </w:p>
        </w:tc>
        <w:tc>
          <w:tcPr>
            <w:tcW w:w="971" w:type="dxa"/>
            <w:shd w:val="clear" w:color="auto" w:fill="auto"/>
            <w:vAlign w:val="bottom"/>
          </w:tcPr>
          <w:p w:rsidR="007F7CC3" w:rsidRPr="00DE475B" w:rsidRDefault="001D5851" w:rsidP="00D25526">
            <w:pPr>
              <w:jc w:val="right"/>
              <w:rPr>
                <w:rFonts w:ascii="Arial" w:hAnsi="Arial" w:cs="Arial"/>
                <w:b/>
                <w:bCs/>
                <w:sz w:val="20"/>
                <w:szCs w:val="20"/>
              </w:rPr>
            </w:pPr>
            <w:r>
              <w:rPr>
                <w:rFonts w:ascii="Arial" w:hAnsi="Arial" w:cs="Arial"/>
                <w:b/>
                <w:bCs/>
                <w:sz w:val="20"/>
                <w:szCs w:val="20"/>
              </w:rPr>
              <w:t>2017</w:t>
            </w:r>
          </w:p>
        </w:tc>
        <w:tc>
          <w:tcPr>
            <w:tcW w:w="971" w:type="dxa"/>
            <w:shd w:val="clear" w:color="auto" w:fill="auto"/>
            <w:vAlign w:val="bottom"/>
          </w:tcPr>
          <w:p w:rsidR="007F7CC3" w:rsidRPr="00DE475B" w:rsidRDefault="007F7CC3" w:rsidP="001D5851">
            <w:pPr>
              <w:jc w:val="right"/>
              <w:rPr>
                <w:rFonts w:ascii="Arial" w:hAnsi="Arial" w:cs="Arial"/>
                <w:b/>
                <w:bCs/>
                <w:sz w:val="20"/>
                <w:szCs w:val="20"/>
              </w:rPr>
            </w:pPr>
            <w:r w:rsidRPr="00DE475B">
              <w:rPr>
                <w:rFonts w:ascii="Arial" w:hAnsi="Arial" w:cs="Arial"/>
                <w:b/>
                <w:bCs/>
                <w:sz w:val="20"/>
                <w:szCs w:val="20"/>
              </w:rPr>
              <w:t>201</w:t>
            </w:r>
            <w:r w:rsidR="001D5851">
              <w:rPr>
                <w:rFonts w:ascii="Arial" w:hAnsi="Arial" w:cs="Arial"/>
                <w:b/>
                <w:bCs/>
                <w:sz w:val="20"/>
                <w:szCs w:val="20"/>
              </w:rPr>
              <w:t>6</w:t>
            </w:r>
          </w:p>
        </w:tc>
        <w:tc>
          <w:tcPr>
            <w:tcW w:w="971" w:type="dxa"/>
            <w:shd w:val="clear" w:color="auto" w:fill="auto"/>
            <w:vAlign w:val="bottom"/>
          </w:tcPr>
          <w:p w:rsidR="007F7CC3" w:rsidRPr="00DE475B" w:rsidRDefault="007F7CC3" w:rsidP="001D5851">
            <w:pPr>
              <w:jc w:val="right"/>
              <w:rPr>
                <w:rFonts w:ascii="Arial" w:hAnsi="Arial" w:cs="Arial"/>
                <w:b/>
                <w:bCs/>
                <w:sz w:val="20"/>
                <w:szCs w:val="20"/>
              </w:rPr>
            </w:pPr>
            <w:r w:rsidRPr="00DE475B">
              <w:rPr>
                <w:rFonts w:ascii="Arial" w:hAnsi="Arial" w:cs="Arial"/>
                <w:b/>
                <w:bCs/>
                <w:sz w:val="20"/>
                <w:szCs w:val="20"/>
              </w:rPr>
              <w:t>201</w:t>
            </w:r>
            <w:r w:rsidR="001D5851">
              <w:rPr>
                <w:rFonts w:ascii="Arial" w:hAnsi="Arial" w:cs="Arial"/>
                <w:b/>
                <w:bCs/>
                <w:sz w:val="20"/>
                <w:szCs w:val="20"/>
              </w:rPr>
              <w:t>7</w:t>
            </w:r>
          </w:p>
        </w:tc>
        <w:tc>
          <w:tcPr>
            <w:tcW w:w="971" w:type="dxa"/>
            <w:shd w:val="clear" w:color="auto" w:fill="auto"/>
            <w:vAlign w:val="bottom"/>
          </w:tcPr>
          <w:p w:rsidR="007F7CC3" w:rsidRPr="00DE475B" w:rsidRDefault="001D5851" w:rsidP="007F7CC3">
            <w:pPr>
              <w:jc w:val="right"/>
              <w:rPr>
                <w:rFonts w:ascii="Arial" w:hAnsi="Arial" w:cs="Arial"/>
                <w:b/>
                <w:bCs/>
                <w:sz w:val="20"/>
                <w:szCs w:val="20"/>
              </w:rPr>
            </w:pPr>
            <w:r>
              <w:rPr>
                <w:rFonts w:ascii="Arial" w:hAnsi="Arial" w:cs="Arial"/>
                <w:b/>
                <w:bCs/>
                <w:sz w:val="20"/>
                <w:szCs w:val="20"/>
              </w:rPr>
              <w:t>2016</w:t>
            </w:r>
          </w:p>
        </w:tc>
      </w:tr>
      <w:tr w:rsidR="007F7CC3" w:rsidRPr="00DE475B" w:rsidTr="001D5851">
        <w:trPr>
          <w:trHeight w:val="255"/>
        </w:trPr>
        <w:tc>
          <w:tcPr>
            <w:tcW w:w="485" w:type="dxa"/>
            <w:shd w:val="clear" w:color="auto" w:fill="auto"/>
            <w:vAlign w:val="bottom"/>
          </w:tcPr>
          <w:p w:rsidR="007F7CC3" w:rsidRPr="00DE475B" w:rsidRDefault="007F7CC3" w:rsidP="00D25526">
            <w:pPr>
              <w:snapToGrid w:val="0"/>
              <w:jc w:val="right"/>
              <w:rPr>
                <w:rFonts w:ascii="Arial" w:hAnsi="Arial" w:cs="Arial"/>
                <w:b/>
                <w:bCs/>
                <w:sz w:val="20"/>
                <w:szCs w:val="20"/>
              </w:rPr>
            </w:pPr>
          </w:p>
        </w:tc>
        <w:tc>
          <w:tcPr>
            <w:tcW w:w="345" w:type="dxa"/>
            <w:shd w:val="clear" w:color="auto" w:fill="auto"/>
            <w:vAlign w:val="bottom"/>
          </w:tcPr>
          <w:p w:rsidR="007F7CC3" w:rsidRPr="00DE475B" w:rsidRDefault="007F7CC3" w:rsidP="00D25526">
            <w:pPr>
              <w:snapToGrid w:val="0"/>
              <w:jc w:val="right"/>
              <w:rPr>
                <w:rFonts w:ascii="Arial" w:hAnsi="Arial" w:cs="Arial"/>
                <w:b/>
                <w:bCs/>
                <w:sz w:val="20"/>
                <w:szCs w:val="20"/>
              </w:rPr>
            </w:pPr>
          </w:p>
        </w:tc>
        <w:tc>
          <w:tcPr>
            <w:tcW w:w="1583" w:type="dxa"/>
            <w:shd w:val="clear" w:color="auto" w:fill="auto"/>
            <w:vAlign w:val="bottom"/>
          </w:tcPr>
          <w:p w:rsidR="007F7CC3" w:rsidRPr="00DE475B" w:rsidRDefault="007F7CC3" w:rsidP="00D25526">
            <w:pPr>
              <w:snapToGrid w:val="0"/>
              <w:jc w:val="right"/>
              <w:rPr>
                <w:rFonts w:ascii="Arial" w:hAnsi="Arial" w:cs="Arial"/>
                <w:b/>
                <w:bCs/>
                <w:sz w:val="20"/>
                <w:szCs w:val="20"/>
              </w:rPr>
            </w:pPr>
          </w:p>
        </w:tc>
        <w:tc>
          <w:tcPr>
            <w:tcW w:w="2350" w:type="dxa"/>
            <w:shd w:val="clear" w:color="auto" w:fill="auto"/>
            <w:vAlign w:val="bottom"/>
          </w:tcPr>
          <w:p w:rsidR="007F7CC3" w:rsidRPr="00DE475B" w:rsidRDefault="007F7CC3" w:rsidP="00D25526">
            <w:pPr>
              <w:snapToGrid w:val="0"/>
              <w:jc w:val="right"/>
              <w:rPr>
                <w:rFonts w:ascii="Arial" w:hAnsi="Arial" w:cs="Arial"/>
                <w:b/>
                <w:bCs/>
                <w:sz w:val="20"/>
                <w:szCs w:val="20"/>
              </w:rPr>
            </w:pPr>
          </w:p>
        </w:tc>
        <w:tc>
          <w:tcPr>
            <w:tcW w:w="971" w:type="dxa"/>
            <w:shd w:val="clear" w:color="auto" w:fill="auto"/>
            <w:vAlign w:val="bottom"/>
          </w:tcPr>
          <w:p w:rsidR="007F7CC3" w:rsidRPr="00DE475B" w:rsidRDefault="007F7CC3" w:rsidP="00D25526">
            <w:pPr>
              <w:jc w:val="right"/>
              <w:rPr>
                <w:rFonts w:ascii="Arial" w:hAnsi="Arial" w:cs="Arial"/>
                <w:b/>
                <w:bCs/>
                <w:sz w:val="20"/>
                <w:szCs w:val="20"/>
              </w:rPr>
            </w:pPr>
            <w:r w:rsidRPr="00DE475B">
              <w:rPr>
                <w:rFonts w:ascii="Arial" w:hAnsi="Arial" w:cs="Arial"/>
                <w:b/>
                <w:bCs/>
                <w:sz w:val="20"/>
                <w:szCs w:val="20"/>
              </w:rPr>
              <w:t>$'000</w:t>
            </w:r>
          </w:p>
        </w:tc>
        <w:tc>
          <w:tcPr>
            <w:tcW w:w="971" w:type="dxa"/>
            <w:shd w:val="clear" w:color="auto" w:fill="auto"/>
            <w:vAlign w:val="bottom"/>
          </w:tcPr>
          <w:p w:rsidR="007F7CC3" w:rsidRPr="00DE475B" w:rsidRDefault="007F7CC3" w:rsidP="00D25526">
            <w:pPr>
              <w:jc w:val="right"/>
              <w:rPr>
                <w:rFonts w:ascii="Arial" w:hAnsi="Arial" w:cs="Arial"/>
                <w:b/>
                <w:bCs/>
                <w:sz w:val="20"/>
                <w:szCs w:val="20"/>
              </w:rPr>
            </w:pPr>
            <w:r w:rsidRPr="00DE475B">
              <w:rPr>
                <w:rFonts w:ascii="Arial" w:hAnsi="Arial" w:cs="Arial"/>
                <w:b/>
                <w:bCs/>
                <w:sz w:val="20"/>
                <w:szCs w:val="20"/>
              </w:rPr>
              <w:t>$'000</w:t>
            </w:r>
          </w:p>
        </w:tc>
        <w:tc>
          <w:tcPr>
            <w:tcW w:w="971" w:type="dxa"/>
            <w:shd w:val="clear" w:color="auto" w:fill="auto"/>
            <w:vAlign w:val="bottom"/>
          </w:tcPr>
          <w:p w:rsidR="007F7CC3" w:rsidRPr="00DE475B" w:rsidRDefault="007F7CC3" w:rsidP="00D25526">
            <w:pPr>
              <w:jc w:val="right"/>
              <w:rPr>
                <w:rFonts w:ascii="Arial" w:hAnsi="Arial" w:cs="Arial"/>
                <w:b/>
                <w:bCs/>
                <w:sz w:val="20"/>
                <w:szCs w:val="20"/>
              </w:rPr>
            </w:pPr>
            <w:r w:rsidRPr="00DE475B">
              <w:rPr>
                <w:rFonts w:ascii="Arial" w:hAnsi="Arial" w:cs="Arial"/>
                <w:b/>
                <w:bCs/>
                <w:sz w:val="20"/>
                <w:szCs w:val="20"/>
              </w:rPr>
              <w:t>$'000</w:t>
            </w:r>
          </w:p>
        </w:tc>
        <w:tc>
          <w:tcPr>
            <w:tcW w:w="971" w:type="dxa"/>
            <w:shd w:val="clear" w:color="auto" w:fill="auto"/>
            <w:vAlign w:val="bottom"/>
          </w:tcPr>
          <w:p w:rsidR="007F7CC3" w:rsidRPr="00DE475B" w:rsidRDefault="007F7CC3" w:rsidP="00D25526">
            <w:pPr>
              <w:jc w:val="right"/>
              <w:rPr>
                <w:rFonts w:ascii="Arial" w:hAnsi="Arial" w:cs="Arial"/>
                <w:b/>
                <w:bCs/>
                <w:sz w:val="20"/>
                <w:szCs w:val="20"/>
              </w:rPr>
            </w:pPr>
            <w:r w:rsidRPr="00DE475B">
              <w:rPr>
                <w:rFonts w:ascii="Arial" w:hAnsi="Arial" w:cs="Arial"/>
                <w:b/>
                <w:bCs/>
                <w:sz w:val="20"/>
                <w:szCs w:val="20"/>
              </w:rPr>
              <w:t>$'000</w:t>
            </w:r>
          </w:p>
        </w:tc>
      </w:tr>
      <w:tr w:rsidR="007F7CC3" w:rsidRPr="00DE475B" w:rsidTr="001D5851">
        <w:trPr>
          <w:trHeight w:val="255"/>
        </w:trPr>
        <w:tc>
          <w:tcPr>
            <w:tcW w:w="4763" w:type="dxa"/>
            <w:gridSpan w:val="4"/>
            <w:shd w:val="clear" w:color="auto" w:fill="auto"/>
            <w:vAlign w:val="bottom"/>
          </w:tcPr>
          <w:p w:rsidR="007F7CC3" w:rsidRPr="00DE475B" w:rsidRDefault="007F7CC3" w:rsidP="00D25526">
            <w:pPr>
              <w:rPr>
                <w:rFonts w:ascii="Arial" w:hAnsi="Arial" w:cs="Arial"/>
                <w:sz w:val="20"/>
                <w:szCs w:val="20"/>
              </w:rPr>
            </w:pPr>
            <w:r w:rsidRPr="00DE475B">
              <w:rPr>
                <w:rFonts w:ascii="Arial" w:hAnsi="Arial" w:cs="Arial"/>
                <w:sz w:val="20"/>
                <w:szCs w:val="20"/>
              </w:rPr>
              <w:t>Heritage and Cultural Assets (Valuables):</w:t>
            </w:r>
          </w:p>
        </w:tc>
        <w:tc>
          <w:tcPr>
            <w:tcW w:w="971" w:type="dxa"/>
            <w:shd w:val="clear" w:color="auto" w:fill="auto"/>
            <w:vAlign w:val="bottom"/>
          </w:tcPr>
          <w:p w:rsidR="007F7CC3" w:rsidRPr="00DE475B" w:rsidRDefault="007F7CC3" w:rsidP="00D25526">
            <w:pPr>
              <w:snapToGrid w:val="0"/>
              <w:rPr>
                <w:rFonts w:ascii="Arial" w:hAnsi="Arial" w:cs="Arial"/>
                <w:sz w:val="20"/>
                <w:szCs w:val="20"/>
              </w:rPr>
            </w:pPr>
          </w:p>
        </w:tc>
        <w:tc>
          <w:tcPr>
            <w:tcW w:w="971" w:type="dxa"/>
            <w:shd w:val="clear" w:color="auto" w:fill="auto"/>
            <w:vAlign w:val="bottom"/>
          </w:tcPr>
          <w:p w:rsidR="007F7CC3" w:rsidRPr="00DE475B" w:rsidRDefault="007F7CC3" w:rsidP="00D25526">
            <w:pPr>
              <w:snapToGrid w:val="0"/>
              <w:rPr>
                <w:rFonts w:ascii="Arial" w:hAnsi="Arial" w:cs="Arial"/>
                <w:sz w:val="20"/>
                <w:szCs w:val="20"/>
              </w:rPr>
            </w:pPr>
          </w:p>
        </w:tc>
        <w:tc>
          <w:tcPr>
            <w:tcW w:w="971" w:type="dxa"/>
            <w:shd w:val="clear" w:color="auto" w:fill="auto"/>
            <w:vAlign w:val="bottom"/>
          </w:tcPr>
          <w:p w:rsidR="007F7CC3" w:rsidRPr="00DE475B" w:rsidRDefault="007F7CC3" w:rsidP="00D25526">
            <w:pPr>
              <w:snapToGrid w:val="0"/>
              <w:rPr>
                <w:rFonts w:ascii="Arial" w:hAnsi="Arial" w:cs="Arial"/>
                <w:sz w:val="20"/>
                <w:szCs w:val="20"/>
              </w:rPr>
            </w:pPr>
          </w:p>
        </w:tc>
        <w:tc>
          <w:tcPr>
            <w:tcW w:w="971" w:type="dxa"/>
            <w:shd w:val="clear" w:color="auto" w:fill="auto"/>
            <w:vAlign w:val="bottom"/>
          </w:tcPr>
          <w:p w:rsidR="007F7CC3" w:rsidRPr="00DE475B" w:rsidRDefault="007F7CC3" w:rsidP="00D25526">
            <w:pPr>
              <w:snapToGrid w:val="0"/>
              <w:rPr>
                <w:rFonts w:ascii="Arial" w:hAnsi="Arial" w:cs="Arial"/>
                <w:sz w:val="20"/>
                <w:szCs w:val="20"/>
              </w:rPr>
            </w:pPr>
          </w:p>
        </w:tc>
      </w:tr>
      <w:tr w:rsidR="001D5851" w:rsidRPr="00DE475B" w:rsidTr="00A2292F">
        <w:trPr>
          <w:trHeight w:val="255"/>
        </w:trPr>
        <w:tc>
          <w:tcPr>
            <w:tcW w:w="5734" w:type="dxa"/>
            <w:gridSpan w:val="5"/>
            <w:shd w:val="clear" w:color="auto" w:fill="auto"/>
            <w:vAlign w:val="bottom"/>
          </w:tcPr>
          <w:p w:rsidR="001D5851" w:rsidRPr="00DE475B" w:rsidRDefault="001D5851" w:rsidP="00D25526">
            <w:pPr>
              <w:snapToGrid w:val="0"/>
              <w:rPr>
                <w:rFonts w:ascii="Arial" w:hAnsi="Arial" w:cs="Arial"/>
                <w:sz w:val="20"/>
                <w:szCs w:val="20"/>
              </w:rPr>
            </w:pPr>
            <w:r>
              <w:rPr>
                <w:rFonts w:ascii="Arial" w:hAnsi="Arial" w:cs="Arial"/>
                <w:sz w:val="20"/>
                <w:szCs w:val="20"/>
              </w:rPr>
              <w:t>John Oxley and Australian Library of Art Collections</w:t>
            </w:r>
          </w:p>
        </w:tc>
        <w:tc>
          <w:tcPr>
            <w:tcW w:w="971" w:type="dxa"/>
            <w:shd w:val="clear" w:color="auto" w:fill="auto"/>
            <w:vAlign w:val="bottom"/>
          </w:tcPr>
          <w:p w:rsidR="001D5851" w:rsidRPr="00DE475B" w:rsidRDefault="001D5851" w:rsidP="00D25526">
            <w:pPr>
              <w:snapToGrid w:val="0"/>
              <w:rPr>
                <w:rFonts w:ascii="Arial" w:hAnsi="Arial" w:cs="Arial"/>
                <w:sz w:val="20"/>
                <w:szCs w:val="20"/>
              </w:rPr>
            </w:pPr>
          </w:p>
        </w:tc>
        <w:tc>
          <w:tcPr>
            <w:tcW w:w="971" w:type="dxa"/>
            <w:shd w:val="clear" w:color="auto" w:fill="auto"/>
            <w:vAlign w:val="bottom"/>
          </w:tcPr>
          <w:p w:rsidR="001D5851" w:rsidRPr="00DE475B" w:rsidRDefault="001D5851" w:rsidP="00D25526">
            <w:pPr>
              <w:snapToGrid w:val="0"/>
              <w:rPr>
                <w:rFonts w:ascii="Arial" w:hAnsi="Arial" w:cs="Arial"/>
                <w:sz w:val="20"/>
                <w:szCs w:val="20"/>
              </w:rPr>
            </w:pPr>
          </w:p>
        </w:tc>
        <w:tc>
          <w:tcPr>
            <w:tcW w:w="971" w:type="dxa"/>
            <w:shd w:val="clear" w:color="auto" w:fill="auto"/>
            <w:vAlign w:val="bottom"/>
          </w:tcPr>
          <w:p w:rsidR="001D5851" w:rsidRPr="00DE475B" w:rsidRDefault="001D5851" w:rsidP="00D25526">
            <w:pPr>
              <w:snapToGrid w:val="0"/>
              <w:rPr>
                <w:rFonts w:ascii="Arial" w:hAnsi="Arial" w:cs="Arial"/>
                <w:sz w:val="20"/>
                <w:szCs w:val="20"/>
              </w:rPr>
            </w:pPr>
          </w:p>
        </w:tc>
      </w:tr>
      <w:tr w:rsidR="001D5851" w:rsidRPr="00DE475B" w:rsidTr="001D5851">
        <w:trPr>
          <w:trHeight w:val="315"/>
        </w:trPr>
        <w:tc>
          <w:tcPr>
            <w:tcW w:w="485" w:type="dxa"/>
            <w:shd w:val="clear" w:color="auto" w:fill="auto"/>
            <w:vAlign w:val="bottom"/>
          </w:tcPr>
          <w:p w:rsidR="001D5851" w:rsidRPr="00DE475B" w:rsidRDefault="001D5851" w:rsidP="00D25526">
            <w:pPr>
              <w:snapToGrid w:val="0"/>
              <w:rPr>
                <w:rFonts w:ascii="Arial" w:hAnsi="Arial" w:cs="Arial"/>
                <w:sz w:val="20"/>
                <w:szCs w:val="20"/>
              </w:rPr>
            </w:pPr>
          </w:p>
        </w:tc>
        <w:tc>
          <w:tcPr>
            <w:tcW w:w="4278" w:type="dxa"/>
            <w:gridSpan w:val="3"/>
            <w:shd w:val="clear" w:color="auto" w:fill="auto"/>
            <w:vAlign w:val="bottom"/>
          </w:tcPr>
          <w:p w:rsidR="001D5851" w:rsidRPr="00DE475B" w:rsidRDefault="001D5851" w:rsidP="00D25526">
            <w:pPr>
              <w:rPr>
                <w:rFonts w:ascii="Arial" w:hAnsi="Arial" w:cs="Arial"/>
                <w:sz w:val="20"/>
                <w:szCs w:val="20"/>
              </w:rPr>
            </w:pPr>
            <w:r w:rsidRPr="00DE475B">
              <w:rPr>
                <w:rFonts w:ascii="Arial" w:hAnsi="Arial" w:cs="Arial"/>
                <w:sz w:val="20"/>
                <w:szCs w:val="20"/>
              </w:rPr>
              <w:t>At cost</w:t>
            </w:r>
          </w:p>
        </w:tc>
        <w:tc>
          <w:tcPr>
            <w:tcW w:w="971" w:type="dxa"/>
            <w:shd w:val="clear" w:color="auto" w:fill="auto"/>
            <w:vAlign w:val="center"/>
          </w:tcPr>
          <w:p w:rsidR="001D5851" w:rsidRPr="00DE475B" w:rsidRDefault="00DD15CE" w:rsidP="00226C22">
            <w:pPr>
              <w:jc w:val="right"/>
              <w:rPr>
                <w:rFonts w:ascii="Arial" w:hAnsi="Arial" w:cs="Arial"/>
                <w:sz w:val="20"/>
                <w:szCs w:val="20"/>
              </w:rPr>
            </w:pPr>
            <w:r>
              <w:rPr>
                <w:rFonts w:ascii="Arial" w:hAnsi="Arial" w:cs="Arial"/>
                <w:sz w:val="20"/>
                <w:szCs w:val="20"/>
              </w:rPr>
              <w:t>-</w:t>
            </w:r>
          </w:p>
        </w:tc>
        <w:tc>
          <w:tcPr>
            <w:tcW w:w="971" w:type="dxa"/>
            <w:shd w:val="clear" w:color="auto" w:fill="auto"/>
            <w:vAlign w:val="center"/>
          </w:tcPr>
          <w:p w:rsidR="001D5851" w:rsidRPr="00DE475B" w:rsidRDefault="001D5851" w:rsidP="00A2292F">
            <w:pPr>
              <w:jc w:val="right"/>
              <w:rPr>
                <w:rFonts w:ascii="Arial" w:hAnsi="Arial" w:cs="Arial"/>
                <w:sz w:val="20"/>
                <w:szCs w:val="20"/>
              </w:rPr>
            </w:pPr>
            <w:r w:rsidRPr="00DE475B">
              <w:rPr>
                <w:rFonts w:ascii="Arial" w:hAnsi="Arial" w:cs="Arial"/>
                <w:sz w:val="20"/>
                <w:szCs w:val="20"/>
              </w:rPr>
              <w:t>298</w:t>
            </w:r>
          </w:p>
        </w:tc>
        <w:tc>
          <w:tcPr>
            <w:tcW w:w="971" w:type="dxa"/>
            <w:shd w:val="clear" w:color="auto" w:fill="auto"/>
            <w:vAlign w:val="center"/>
          </w:tcPr>
          <w:p w:rsidR="001D5851" w:rsidRPr="00DE475B" w:rsidRDefault="00DD15CE" w:rsidP="00A2292F">
            <w:pPr>
              <w:jc w:val="right"/>
              <w:rPr>
                <w:rFonts w:ascii="Arial" w:hAnsi="Arial" w:cs="Arial"/>
                <w:sz w:val="20"/>
                <w:szCs w:val="20"/>
              </w:rPr>
            </w:pPr>
            <w:r>
              <w:rPr>
                <w:rFonts w:ascii="Arial" w:hAnsi="Arial" w:cs="Arial"/>
                <w:sz w:val="20"/>
                <w:szCs w:val="20"/>
              </w:rPr>
              <w:t>-</w:t>
            </w:r>
          </w:p>
        </w:tc>
        <w:tc>
          <w:tcPr>
            <w:tcW w:w="971" w:type="dxa"/>
            <w:shd w:val="clear" w:color="auto" w:fill="auto"/>
            <w:vAlign w:val="center"/>
          </w:tcPr>
          <w:p w:rsidR="001D5851" w:rsidRPr="00DE475B" w:rsidRDefault="00DB0F59" w:rsidP="00A2292F">
            <w:pPr>
              <w:jc w:val="right"/>
              <w:rPr>
                <w:rFonts w:ascii="Arial" w:hAnsi="Arial" w:cs="Arial"/>
                <w:sz w:val="20"/>
                <w:szCs w:val="20"/>
              </w:rPr>
            </w:pPr>
            <w:r>
              <w:rPr>
                <w:rFonts w:ascii="Arial" w:hAnsi="Arial" w:cs="Arial"/>
                <w:sz w:val="20"/>
                <w:szCs w:val="20"/>
              </w:rPr>
              <w:t>298</w:t>
            </w:r>
          </w:p>
        </w:tc>
      </w:tr>
      <w:tr w:rsidR="001D5851" w:rsidRPr="00DE475B" w:rsidTr="001D5851">
        <w:trPr>
          <w:trHeight w:val="315"/>
        </w:trPr>
        <w:tc>
          <w:tcPr>
            <w:tcW w:w="485" w:type="dxa"/>
            <w:shd w:val="clear" w:color="auto" w:fill="auto"/>
            <w:vAlign w:val="bottom"/>
          </w:tcPr>
          <w:p w:rsidR="001D5851" w:rsidRPr="00DE475B" w:rsidRDefault="001D5851" w:rsidP="00D25526">
            <w:pPr>
              <w:snapToGrid w:val="0"/>
              <w:rPr>
                <w:rFonts w:ascii="Arial" w:hAnsi="Arial" w:cs="Arial"/>
                <w:sz w:val="20"/>
                <w:szCs w:val="20"/>
              </w:rPr>
            </w:pPr>
          </w:p>
        </w:tc>
        <w:tc>
          <w:tcPr>
            <w:tcW w:w="4278" w:type="dxa"/>
            <w:gridSpan w:val="3"/>
            <w:shd w:val="clear" w:color="auto" w:fill="auto"/>
            <w:vAlign w:val="bottom"/>
          </w:tcPr>
          <w:p w:rsidR="001D5851" w:rsidRPr="00DE475B" w:rsidRDefault="001D5851" w:rsidP="00D25526">
            <w:pPr>
              <w:rPr>
                <w:rFonts w:ascii="Arial" w:hAnsi="Arial" w:cs="Arial"/>
                <w:sz w:val="20"/>
                <w:szCs w:val="20"/>
              </w:rPr>
            </w:pPr>
            <w:r w:rsidRPr="00DE475B">
              <w:rPr>
                <w:rFonts w:ascii="Arial" w:hAnsi="Arial" w:cs="Arial"/>
                <w:sz w:val="20"/>
                <w:szCs w:val="20"/>
              </w:rPr>
              <w:t>At valuation</w:t>
            </w:r>
          </w:p>
        </w:tc>
        <w:tc>
          <w:tcPr>
            <w:tcW w:w="971" w:type="dxa"/>
            <w:tcBorders>
              <w:bottom w:val="single" w:sz="4" w:space="0" w:color="auto"/>
            </w:tcBorders>
            <w:shd w:val="clear" w:color="auto" w:fill="auto"/>
            <w:vAlign w:val="center"/>
          </w:tcPr>
          <w:p w:rsidR="001D5851" w:rsidRPr="00DE475B" w:rsidRDefault="00DD15CE" w:rsidP="00226C22">
            <w:pPr>
              <w:jc w:val="right"/>
              <w:rPr>
                <w:rFonts w:ascii="Arial" w:hAnsi="Arial" w:cs="Arial"/>
                <w:sz w:val="20"/>
                <w:szCs w:val="20"/>
              </w:rPr>
            </w:pPr>
            <w:r>
              <w:rPr>
                <w:rFonts w:ascii="Arial" w:hAnsi="Arial" w:cs="Arial"/>
                <w:sz w:val="20"/>
                <w:szCs w:val="20"/>
              </w:rPr>
              <w:t>79,355</w:t>
            </w:r>
          </w:p>
        </w:tc>
        <w:tc>
          <w:tcPr>
            <w:tcW w:w="971" w:type="dxa"/>
            <w:tcBorders>
              <w:bottom w:val="single" w:sz="4" w:space="0" w:color="auto"/>
            </w:tcBorders>
            <w:shd w:val="clear" w:color="auto" w:fill="auto"/>
            <w:vAlign w:val="center"/>
          </w:tcPr>
          <w:p w:rsidR="001D5851" w:rsidRPr="00DE475B" w:rsidRDefault="001D5851" w:rsidP="00A2292F">
            <w:pPr>
              <w:jc w:val="right"/>
              <w:rPr>
                <w:rFonts w:ascii="Arial" w:hAnsi="Arial" w:cs="Arial"/>
                <w:sz w:val="20"/>
                <w:szCs w:val="20"/>
              </w:rPr>
            </w:pPr>
            <w:r w:rsidRPr="00DE475B">
              <w:rPr>
                <w:rFonts w:ascii="Arial" w:hAnsi="Arial" w:cs="Arial"/>
                <w:sz w:val="20"/>
                <w:szCs w:val="20"/>
              </w:rPr>
              <w:t>61,567</w:t>
            </w:r>
          </w:p>
        </w:tc>
        <w:tc>
          <w:tcPr>
            <w:tcW w:w="971" w:type="dxa"/>
            <w:tcBorders>
              <w:bottom w:val="single" w:sz="4" w:space="0" w:color="auto"/>
            </w:tcBorders>
            <w:shd w:val="clear" w:color="auto" w:fill="auto"/>
            <w:vAlign w:val="center"/>
          </w:tcPr>
          <w:p w:rsidR="001D5851" w:rsidRPr="00DE475B" w:rsidRDefault="00DD15CE" w:rsidP="00A2292F">
            <w:pPr>
              <w:jc w:val="right"/>
              <w:rPr>
                <w:rFonts w:ascii="Arial" w:hAnsi="Arial" w:cs="Arial"/>
                <w:sz w:val="20"/>
                <w:szCs w:val="20"/>
              </w:rPr>
            </w:pPr>
            <w:r>
              <w:rPr>
                <w:rFonts w:ascii="Arial" w:hAnsi="Arial" w:cs="Arial"/>
                <w:sz w:val="20"/>
                <w:szCs w:val="20"/>
              </w:rPr>
              <w:t>79,355</w:t>
            </w:r>
          </w:p>
        </w:tc>
        <w:tc>
          <w:tcPr>
            <w:tcW w:w="971" w:type="dxa"/>
            <w:tcBorders>
              <w:bottom w:val="single" w:sz="4" w:space="0" w:color="auto"/>
            </w:tcBorders>
            <w:shd w:val="clear" w:color="auto" w:fill="auto"/>
            <w:vAlign w:val="center"/>
          </w:tcPr>
          <w:p w:rsidR="001D5851" w:rsidRPr="00DE475B" w:rsidRDefault="00DB0F59" w:rsidP="00A2292F">
            <w:pPr>
              <w:jc w:val="right"/>
              <w:rPr>
                <w:rFonts w:ascii="Arial" w:hAnsi="Arial" w:cs="Arial"/>
                <w:sz w:val="20"/>
                <w:szCs w:val="20"/>
              </w:rPr>
            </w:pPr>
            <w:r>
              <w:rPr>
                <w:rFonts w:ascii="Arial" w:hAnsi="Arial" w:cs="Arial"/>
                <w:sz w:val="20"/>
                <w:szCs w:val="20"/>
              </w:rPr>
              <w:t>61,567</w:t>
            </w:r>
          </w:p>
        </w:tc>
      </w:tr>
      <w:tr w:rsidR="001D5851" w:rsidRPr="00DE475B" w:rsidTr="001D5851">
        <w:trPr>
          <w:trHeight w:val="253"/>
        </w:trPr>
        <w:tc>
          <w:tcPr>
            <w:tcW w:w="485" w:type="dxa"/>
            <w:shd w:val="clear" w:color="auto" w:fill="auto"/>
            <w:vAlign w:val="bottom"/>
          </w:tcPr>
          <w:p w:rsidR="001D5851" w:rsidRPr="00DE475B" w:rsidRDefault="001D5851" w:rsidP="00D25526">
            <w:pPr>
              <w:snapToGrid w:val="0"/>
              <w:rPr>
                <w:rFonts w:ascii="Arial" w:hAnsi="Arial" w:cs="Arial"/>
                <w:sz w:val="20"/>
                <w:szCs w:val="20"/>
              </w:rPr>
            </w:pPr>
          </w:p>
        </w:tc>
        <w:tc>
          <w:tcPr>
            <w:tcW w:w="345" w:type="dxa"/>
            <w:shd w:val="clear" w:color="auto" w:fill="auto"/>
            <w:vAlign w:val="bottom"/>
          </w:tcPr>
          <w:p w:rsidR="001D5851" w:rsidRPr="00DE475B" w:rsidRDefault="001D5851" w:rsidP="00D25526">
            <w:pPr>
              <w:snapToGrid w:val="0"/>
              <w:rPr>
                <w:rFonts w:ascii="Arial" w:hAnsi="Arial" w:cs="Arial"/>
                <w:sz w:val="20"/>
                <w:szCs w:val="20"/>
              </w:rPr>
            </w:pPr>
          </w:p>
        </w:tc>
        <w:tc>
          <w:tcPr>
            <w:tcW w:w="1583" w:type="dxa"/>
            <w:shd w:val="clear" w:color="auto" w:fill="auto"/>
            <w:vAlign w:val="bottom"/>
          </w:tcPr>
          <w:p w:rsidR="001D5851" w:rsidRPr="00DE475B" w:rsidRDefault="001D5851" w:rsidP="00D25526">
            <w:pPr>
              <w:snapToGrid w:val="0"/>
              <w:rPr>
                <w:rFonts w:ascii="Arial" w:hAnsi="Arial" w:cs="Arial"/>
                <w:sz w:val="20"/>
                <w:szCs w:val="20"/>
              </w:rPr>
            </w:pPr>
          </w:p>
        </w:tc>
        <w:tc>
          <w:tcPr>
            <w:tcW w:w="2350" w:type="dxa"/>
            <w:shd w:val="clear" w:color="auto" w:fill="auto"/>
            <w:vAlign w:val="bottom"/>
          </w:tcPr>
          <w:p w:rsidR="001D5851" w:rsidRPr="00DE475B" w:rsidRDefault="001D5851" w:rsidP="00D25526">
            <w:pPr>
              <w:snapToGrid w:val="0"/>
              <w:rPr>
                <w:rFonts w:ascii="Arial" w:hAnsi="Arial" w:cs="Arial"/>
                <w:sz w:val="20"/>
                <w:szCs w:val="20"/>
              </w:rPr>
            </w:pPr>
          </w:p>
        </w:tc>
        <w:tc>
          <w:tcPr>
            <w:tcW w:w="971" w:type="dxa"/>
            <w:tcBorders>
              <w:top w:val="single" w:sz="4" w:space="0" w:color="auto"/>
            </w:tcBorders>
            <w:shd w:val="clear" w:color="auto" w:fill="auto"/>
            <w:vAlign w:val="center"/>
          </w:tcPr>
          <w:p w:rsidR="001D5851" w:rsidRPr="00DE475B" w:rsidRDefault="00DD15CE" w:rsidP="00CF5257">
            <w:pPr>
              <w:jc w:val="right"/>
              <w:rPr>
                <w:rFonts w:ascii="Arial" w:hAnsi="Arial" w:cs="Arial"/>
                <w:sz w:val="20"/>
                <w:szCs w:val="20"/>
              </w:rPr>
            </w:pPr>
            <w:r>
              <w:rPr>
                <w:rFonts w:ascii="Arial" w:hAnsi="Arial" w:cs="Arial"/>
                <w:sz w:val="20"/>
                <w:szCs w:val="20"/>
              </w:rPr>
              <w:t>79,355</w:t>
            </w:r>
          </w:p>
        </w:tc>
        <w:tc>
          <w:tcPr>
            <w:tcW w:w="971" w:type="dxa"/>
            <w:tcBorders>
              <w:top w:val="single" w:sz="4" w:space="0" w:color="auto"/>
            </w:tcBorders>
            <w:shd w:val="clear" w:color="auto" w:fill="auto"/>
            <w:vAlign w:val="center"/>
          </w:tcPr>
          <w:p w:rsidR="001D5851" w:rsidRPr="00DE475B" w:rsidRDefault="001D5851" w:rsidP="00A2292F">
            <w:pPr>
              <w:jc w:val="right"/>
              <w:rPr>
                <w:rFonts w:ascii="Arial" w:hAnsi="Arial" w:cs="Arial"/>
                <w:sz w:val="20"/>
                <w:szCs w:val="20"/>
              </w:rPr>
            </w:pPr>
            <w:r w:rsidRPr="00DE475B">
              <w:rPr>
                <w:rFonts w:ascii="Arial" w:hAnsi="Arial" w:cs="Arial"/>
                <w:sz w:val="20"/>
                <w:szCs w:val="20"/>
              </w:rPr>
              <w:t>61,865</w:t>
            </w:r>
          </w:p>
        </w:tc>
        <w:tc>
          <w:tcPr>
            <w:tcW w:w="971" w:type="dxa"/>
            <w:tcBorders>
              <w:top w:val="single" w:sz="4" w:space="0" w:color="auto"/>
            </w:tcBorders>
            <w:shd w:val="clear" w:color="auto" w:fill="auto"/>
            <w:vAlign w:val="center"/>
          </w:tcPr>
          <w:p w:rsidR="001D5851" w:rsidRPr="00DE475B" w:rsidRDefault="00DD15CE" w:rsidP="00A2292F">
            <w:pPr>
              <w:jc w:val="right"/>
              <w:rPr>
                <w:rFonts w:ascii="Arial" w:hAnsi="Arial" w:cs="Arial"/>
                <w:sz w:val="20"/>
                <w:szCs w:val="20"/>
              </w:rPr>
            </w:pPr>
            <w:r>
              <w:rPr>
                <w:rFonts w:ascii="Arial" w:hAnsi="Arial" w:cs="Arial"/>
                <w:sz w:val="20"/>
                <w:szCs w:val="20"/>
              </w:rPr>
              <w:t>79,355</w:t>
            </w:r>
          </w:p>
        </w:tc>
        <w:tc>
          <w:tcPr>
            <w:tcW w:w="971" w:type="dxa"/>
            <w:tcBorders>
              <w:top w:val="single" w:sz="4" w:space="0" w:color="auto"/>
            </w:tcBorders>
            <w:shd w:val="clear" w:color="auto" w:fill="auto"/>
            <w:vAlign w:val="center"/>
          </w:tcPr>
          <w:p w:rsidR="001D5851" w:rsidRPr="00DE475B" w:rsidRDefault="001D5851" w:rsidP="00A2292F">
            <w:pPr>
              <w:jc w:val="right"/>
              <w:rPr>
                <w:rFonts w:ascii="Arial" w:hAnsi="Arial" w:cs="Arial"/>
                <w:sz w:val="20"/>
                <w:szCs w:val="20"/>
              </w:rPr>
            </w:pPr>
            <w:r w:rsidRPr="00DE475B">
              <w:rPr>
                <w:rFonts w:ascii="Arial" w:hAnsi="Arial" w:cs="Arial"/>
                <w:sz w:val="20"/>
                <w:szCs w:val="20"/>
              </w:rPr>
              <w:t>61,865</w:t>
            </w:r>
          </w:p>
        </w:tc>
      </w:tr>
      <w:tr w:rsidR="001D5851" w:rsidRPr="00DE475B" w:rsidTr="001D5851">
        <w:trPr>
          <w:trHeight w:val="209"/>
        </w:trPr>
        <w:tc>
          <w:tcPr>
            <w:tcW w:w="2413" w:type="dxa"/>
            <w:gridSpan w:val="3"/>
            <w:shd w:val="clear" w:color="auto" w:fill="auto"/>
            <w:vAlign w:val="bottom"/>
          </w:tcPr>
          <w:p w:rsidR="001D5851" w:rsidRDefault="001D5851" w:rsidP="00D25526">
            <w:pPr>
              <w:snapToGrid w:val="0"/>
              <w:rPr>
                <w:rFonts w:ascii="Arial" w:hAnsi="Arial" w:cs="Arial"/>
                <w:sz w:val="20"/>
                <w:szCs w:val="20"/>
              </w:rPr>
            </w:pPr>
          </w:p>
        </w:tc>
        <w:tc>
          <w:tcPr>
            <w:tcW w:w="2350" w:type="dxa"/>
            <w:shd w:val="clear" w:color="auto" w:fill="auto"/>
            <w:vAlign w:val="bottom"/>
          </w:tcPr>
          <w:p w:rsidR="001D5851" w:rsidRPr="00DE475B" w:rsidRDefault="001D5851" w:rsidP="00D25526">
            <w:pPr>
              <w:snapToGrid w:val="0"/>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r>
      <w:tr w:rsidR="001D5851" w:rsidRPr="00DE475B" w:rsidTr="001D5851">
        <w:trPr>
          <w:trHeight w:val="209"/>
        </w:trPr>
        <w:tc>
          <w:tcPr>
            <w:tcW w:w="2413" w:type="dxa"/>
            <w:gridSpan w:val="3"/>
            <w:shd w:val="clear" w:color="auto" w:fill="auto"/>
            <w:vAlign w:val="bottom"/>
          </w:tcPr>
          <w:p w:rsidR="001D5851" w:rsidRPr="00DE475B" w:rsidRDefault="001D5851" w:rsidP="00D25526">
            <w:pPr>
              <w:snapToGrid w:val="0"/>
              <w:rPr>
                <w:rFonts w:ascii="Arial" w:hAnsi="Arial" w:cs="Arial"/>
                <w:sz w:val="20"/>
                <w:szCs w:val="20"/>
              </w:rPr>
            </w:pPr>
            <w:r>
              <w:rPr>
                <w:rFonts w:ascii="Arial" w:hAnsi="Arial" w:cs="Arial"/>
                <w:sz w:val="20"/>
                <w:szCs w:val="20"/>
              </w:rPr>
              <w:t>Artworks</w:t>
            </w:r>
          </w:p>
        </w:tc>
        <w:tc>
          <w:tcPr>
            <w:tcW w:w="2350" w:type="dxa"/>
            <w:shd w:val="clear" w:color="auto" w:fill="auto"/>
            <w:vAlign w:val="bottom"/>
          </w:tcPr>
          <w:p w:rsidR="001D5851" w:rsidRPr="00DE475B" w:rsidRDefault="001D5851" w:rsidP="00D25526">
            <w:pPr>
              <w:snapToGrid w:val="0"/>
              <w:rPr>
                <w:rFonts w:ascii="Arial" w:hAnsi="Arial" w:cs="Arial"/>
                <w:sz w:val="20"/>
                <w:szCs w:val="20"/>
              </w:rPr>
            </w:pPr>
          </w:p>
        </w:tc>
        <w:tc>
          <w:tcPr>
            <w:tcW w:w="971" w:type="dxa"/>
            <w:tcBorders>
              <w:bottom w:val="single" w:sz="4" w:space="0" w:color="auto"/>
            </w:tcBorders>
            <w:shd w:val="clear" w:color="auto" w:fill="auto"/>
            <w:vAlign w:val="center"/>
          </w:tcPr>
          <w:p w:rsidR="001D5851" w:rsidRPr="00DE475B" w:rsidRDefault="00DD15CE" w:rsidP="00CF5257">
            <w:pPr>
              <w:snapToGrid w:val="0"/>
              <w:jc w:val="right"/>
              <w:rPr>
                <w:rFonts w:ascii="Arial" w:hAnsi="Arial" w:cs="Arial"/>
                <w:sz w:val="20"/>
                <w:szCs w:val="20"/>
              </w:rPr>
            </w:pPr>
            <w:r>
              <w:rPr>
                <w:rFonts w:ascii="Arial" w:hAnsi="Arial" w:cs="Arial"/>
                <w:sz w:val="20"/>
                <w:szCs w:val="20"/>
              </w:rPr>
              <w:t>35</w:t>
            </w:r>
          </w:p>
        </w:tc>
        <w:tc>
          <w:tcPr>
            <w:tcW w:w="971" w:type="dxa"/>
            <w:tcBorders>
              <w:bottom w:val="single" w:sz="4" w:space="0" w:color="auto"/>
            </w:tcBorders>
            <w:shd w:val="clear" w:color="auto" w:fill="auto"/>
            <w:vAlign w:val="center"/>
          </w:tcPr>
          <w:p w:rsidR="001D5851" w:rsidRPr="00DE475B" w:rsidRDefault="00DD15CE" w:rsidP="00CF5257">
            <w:pPr>
              <w:snapToGrid w:val="0"/>
              <w:jc w:val="right"/>
              <w:rPr>
                <w:rFonts w:ascii="Arial" w:hAnsi="Arial" w:cs="Arial"/>
                <w:sz w:val="20"/>
                <w:szCs w:val="20"/>
              </w:rPr>
            </w:pPr>
            <w:r>
              <w:rPr>
                <w:rFonts w:ascii="Arial" w:hAnsi="Arial" w:cs="Arial"/>
                <w:sz w:val="20"/>
                <w:szCs w:val="20"/>
              </w:rPr>
              <w:t>-</w:t>
            </w:r>
          </w:p>
        </w:tc>
        <w:tc>
          <w:tcPr>
            <w:tcW w:w="971" w:type="dxa"/>
            <w:tcBorders>
              <w:bottom w:val="single" w:sz="4" w:space="0" w:color="auto"/>
            </w:tcBorders>
            <w:shd w:val="clear" w:color="auto" w:fill="auto"/>
            <w:vAlign w:val="center"/>
          </w:tcPr>
          <w:p w:rsidR="001D5851" w:rsidRPr="00DE475B" w:rsidRDefault="00DD15CE" w:rsidP="00CF5257">
            <w:pPr>
              <w:snapToGrid w:val="0"/>
              <w:jc w:val="right"/>
              <w:rPr>
                <w:rFonts w:ascii="Arial" w:hAnsi="Arial" w:cs="Arial"/>
                <w:sz w:val="20"/>
                <w:szCs w:val="20"/>
              </w:rPr>
            </w:pPr>
            <w:r>
              <w:rPr>
                <w:rFonts w:ascii="Arial" w:hAnsi="Arial" w:cs="Arial"/>
                <w:sz w:val="20"/>
                <w:szCs w:val="20"/>
              </w:rPr>
              <w:t>35</w:t>
            </w:r>
          </w:p>
        </w:tc>
        <w:tc>
          <w:tcPr>
            <w:tcW w:w="971" w:type="dxa"/>
            <w:tcBorders>
              <w:bottom w:val="single" w:sz="4" w:space="0" w:color="auto"/>
            </w:tcBorders>
            <w:shd w:val="clear" w:color="auto" w:fill="auto"/>
            <w:vAlign w:val="center"/>
          </w:tcPr>
          <w:p w:rsidR="001D5851" w:rsidRPr="00DE475B" w:rsidRDefault="00DD15CE" w:rsidP="00CF5257">
            <w:pPr>
              <w:snapToGrid w:val="0"/>
              <w:jc w:val="right"/>
              <w:rPr>
                <w:rFonts w:ascii="Arial" w:hAnsi="Arial" w:cs="Arial"/>
                <w:sz w:val="20"/>
                <w:szCs w:val="20"/>
              </w:rPr>
            </w:pPr>
            <w:r>
              <w:rPr>
                <w:rFonts w:ascii="Arial" w:hAnsi="Arial" w:cs="Arial"/>
                <w:sz w:val="20"/>
                <w:szCs w:val="20"/>
              </w:rPr>
              <w:t>-</w:t>
            </w:r>
          </w:p>
        </w:tc>
      </w:tr>
      <w:tr w:rsidR="001D5851" w:rsidRPr="00DE475B" w:rsidTr="001D5851">
        <w:trPr>
          <w:trHeight w:val="209"/>
        </w:trPr>
        <w:tc>
          <w:tcPr>
            <w:tcW w:w="4763" w:type="dxa"/>
            <w:gridSpan w:val="4"/>
            <w:shd w:val="clear" w:color="auto" w:fill="auto"/>
            <w:vAlign w:val="bottom"/>
          </w:tcPr>
          <w:p w:rsidR="001D5851" w:rsidRPr="00DE475B" w:rsidRDefault="001D5851" w:rsidP="00D25526">
            <w:pPr>
              <w:snapToGrid w:val="0"/>
              <w:rPr>
                <w:rFonts w:ascii="Arial" w:hAnsi="Arial" w:cs="Arial"/>
                <w:sz w:val="20"/>
                <w:szCs w:val="20"/>
              </w:rPr>
            </w:pPr>
            <w:r>
              <w:rPr>
                <w:rFonts w:ascii="Arial" w:hAnsi="Arial" w:cs="Arial"/>
                <w:sz w:val="20"/>
                <w:szCs w:val="20"/>
              </w:rPr>
              <w:t xml:space="preserve">Total </w:t>
            </w:r>
            <w:r w:rsidRPr="00DE475B">
              <w:rPr>
                <w:rFonts w:ascii="Arial" w:hAnsi="Arial" w:cs="Arial"/>
                <w:sz w:val="20"/>
                <w:szCs w:val="20"/>
              </w:rPr>
              <w:t>Heritage and Cultural Assets</w:t>
            </w:r>
          </w:p>
        </w:tc>
        <w:tc>
          <w:tcPr>
            <w:tcW w:w="971" w:type="dxa"/>
            <w:tcBorders>
              <w:top w:val="single" w:sz="4" w:space="0" w:color="auto"/>
            </w:tcBorders>
            <w:shd w:val="clear" w:color="auto" w:fill="auto"/>
            <w:vAlign w:val="center"/>
          </w:tcPr>
          <w:p w:rsidR="001D5851" w:rsidRPr="00DE475B" w:rsidRDefault="00DD15CE" w:rsidP="00CF5257">
            <w:pPr>
              <w:snapToGrid w:val="0"/>
              <w:jc w:val="right"/>
              <w:rPr>
                <w:rFonts w:ascii="Arial" w:hAnsi="Arial" w:cs="Arial"/>
                <w:sz w:val="20"/>
                <w:szCs w:val="20"/>
              </w:rPr>
            </w:pPr>
            <w:r>
              <w:rPr>
                <w:rFonts w:ascii="Arial" w:hAnsi="Arial" w:cs="Arial"/>
                <w:sz w:val="20"/>
                <w:szCs w:val="20"/>
              </w:rPr>
              <w:t>79,390</w:t>
            </w:r>
          </w:p>
        </w:tc>
        <w:tc>
          <w:tcPr>
            <w:tcW w:w="971" w:type="dxa"/>
            <w:tcBorders>
              <w:top w:val="single" w:sz="4" w:space="0" w:color="auto"/>
            </w:tcBorders>
            <w:shd w:val="clear" w:color="auto" w:fill="auto"/>
            <w:vAlign w:val="center"/>
          </w:tcPr>
          <w:p w:rsidR="001D5851" w:rsidRPr="00DE475B" w:rsidRDefault="00DD15CE" w:rsidP="00CF5257">
            <w:pPr>
              <w:snapToGrid w:val="0"/>
              <w:jc w:val="right"/>
              <w:rPr>
                <w:rFonts w:ascii="Arial" w:hAnsi="Arial" w:cs="Arial"/>
                <w:sz w:val="20"/>
                <w:szCs w:val="20"/>
              </w:rPr>
            </w:pPr>
            <w:r>
              <w:rPr>
                <w:rFonts w:ascii="Arial" w:hAnsi="Arial" w:cs="Arial"/>
                <w:sz w:val="20"/>
                <w:szCs w:val="20"/>
              </w:rPr>
              <w:t>61,865</w:t>
            </w:r>
          </w:p>
        </w:tc>
        <w:tc>
          <w:tcPr>
            <w:tcW w:w="971" w:type="dxa"/>
            <w:tcBorders>
              <w:top w:val="single" w:sz="4" w:space="0" w:color="auto"/>
            </w:tcBorders>
            <w:shd w:val="clear" w:color="auto" w:fill="auto"/>
            <w:vAlign w:val="center"/>
          </w:tcPr>
          <w:p w:rsidR="001D5851" w:rsidRPr="00DE475B" w:rsidRDefault="00DD15CE" w:rsidP="00CF5257">
            <w:pPr>
              <w:snapToGrid w:val="0"/>
              <w:jc w:val="right"/>
              <w:rPr>
                <w:rFonts w:ascii="Arial" w:hAnsi="Arial" w:cs="Arial"/>
                <w:sz w:val="20"/>
                <w:szCs w:val="20"/>
              </w:rPr>
            </w:pPr>
            <w:r>
              <w:rPr>
                <w:rFonts w:ascii="Arial" w:hAnsi="Arial" w:cs="Arial"/>
                <w:sz w:val="20"/>
                <w:szCs w:val="20"/>
              </w:rPr>
              <w:t>79,390</w:t>
            </w:r>
          </w:p>
        </w:tc>
        <w:tc>
          <w:tcPr>
            <w:tcW w:w="971" w:type="dxa"/>
            <w:tcBorders>
              <w:top w:val="single" w:sz="4" w:space="0" w:color="auto"/>
            </w:tcBorders>
            <w:shd w:val="clear" w:color="auto" w:fill="auto"/>
            <w:vAlign w:val="center"/>
          </w:tcPr>
          <w:p w:rsidR="001D5851" w:rsidRPr="00DE475B" w:rsidRDefault="00DD15CE" w:rsidP="00CF5257">
            <w:pPr>
              <w:snapToGrid w:val="0"/>
              <w:jc w:val="right"/>
              <w:rPr>
                <w:rFonts w:ascii="Arial" w:hAnsi="Arial" w:cs="Arial"/>
                <w:sz w:val="20"/>
                <w:szCs w:val="20"/>
              </w:rPr>
            </w:pPr>
            <w:r>
              <w:rPr>
                <w:rFonts w:ascii="Arial" w:hAnsi="Arial" w:cs="Arial"/>
                <w:sz w:val="20"/>
                <w:szCs w:val="20"/>
              </w:rPr>
              <w:t>61,865</w:t>
            </w:r>
          </w:p>
        </w:tc>
      </w:tr>
      <w:tr w:rsidR="001D5851" w:rsidRPr="00DE475B" w:rsidTr="001D5851">
        <w:trPr>
          <w:trHeight w:val="209"/>
        </w:trPr>
        <w:tc>
          <w:tcPr>
            <w:tcW w:w="485" w:type="dxa"/>
            <w:shd w:val="clear" w:color="auto" w:fill="auto"/>
            <w:vAlign w:val="bottom"/>
          </w:tcPr>
          <w:p w:rsidR="001D5851" w:rsidRPr="00DE475B" w:rsidRDefault="001D5851" w:rsidP="00D25526">
            <w:pPr>
              <w:snapToGrid w:val="0"/>
              <w:rPr>
                <w:rFonts w:ascii="Arial" w:hAnsi="Arial" w:cs="Arial"/>
                <w:sz w:val="20"/>
                <w:szCs w:val="20"/>
              </w:rPr>
            </w:pPr>
          </w:p>
        </w:tc>
        <w:tc>
          <w:tcPr>
            <w:tcW w:w="345" w:type="dxa"/>
            <w:shd w:val="clear" w:color="auto" w:fill="auto"/>
            <w:vAlign w:val="bottom"/>
          </w:tcPr>
          <w:p w:rsidR="001D5851" w:rsidRPr="00DE475B" w:rsidRDefault="001D5851" w:rsidP="00D25526">
            <w:pPr>
              <w:snapToGrid w:val="0"/>
              <w:rPr>
                <w:rFonts w:ascii="Arial" w:hAnsi="Arial" w:cs="Arial"/>
                <w:sz w:val="20"/>
                <w:szCs w:val="20"/>
              </w:rPr>
            </w:pPr>
          </w:p>
        </w:tc>
        <w:tc>
          <w:tcPr>
            <w:tcW w:w="1583" w:type="dxa"/>
            <w:shd w:val="clear" w:color="auto" w:fill="auto"/>
            <w:vAlign w:val="bottom"/>
          </w:tcPr>
          <w:p w:rsidR="001D5851" w:rsidRPr="00DE475B" w:rsidRDefault="001D5851" w:rsidP="00D25526">
            <w:pPr>
              <w:snapToGrid w:val="0"/>
              <w:rPr>
                <w:rFonts w:ascii="Arial" w:hAnsi="Arial" w:cs="Arial"/>
                <w:sz w:val="20"/>
                <w:szCs w:val="20"/>
              </w:rPr>
            </w:pPr>
          </w:p>
        </w:tc>
        <w:tc>
          <w:tcPr>
            <w:tcW w:w="2350" w:type="dxa"/>
            <w:shd w:val="clear" w:color="auto" w:fill="auto"/>
            <w:vAlign w:val="bottom"/>
          </w:tcPr>
          <w:p w:rsidR="001D5851" w:rsidRPr="00DE475B" w:rsidRDefault="001D5851" w:rsidP="00D25526">
            <w:pPr>
              <w:snapToGrid w:val="0"/>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r>
      <w:tr w:rsidR="001D5851" w:rsidRPr="00DE475B" w:rsidTr="001D5851">
        <w:trPr>
          <w:trHeight w:val="315"/>
        </w:trPr>
        <w:tc>
          <w:tcPr>
            <w:tcW w:w="4763" w:type="dxa"/>
            <w:gridSpan w:val="4"/>
            <w:shd w:val="clear" w:color="auto" w:fill="auto"/>
            <w:vAlign w:val="bottom"/>
          </w:tcPr>
          <w:p w:rsidR="001D5851" w:rsidRPr="00DE475B" w:rsidRDefault="001D5851" w:rsidP="00D25526">
            <w:pPr>
              <w:rPr>
                <w:rFonts w:ascii="Arial" w:hAnsi="Arial" w:cs="Arial"/>
                <w:sz w:val="20"/>
                <w:szCs w:val="20"/>
              </w:rPr>
            </w:pPr>
            <w:r w:rsidRPr="00DE475B">
              <w:rPr>
                <w:rFonts w:ascii="Arial" w:hAnsi="Arial" w:cs="Arial"/>
                <w:sz w:val="20"/>
                <w:szCs w:val="20"/>
              </w:rPr>
              <w:t>Library Collections</w:t>
            </w: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r>
      <w:tr w:rsidR="001D5851" w:rsidRPr="00DE475B" w:rsidTr="001D5851">
        <w:trPr>
          <w:trHeight w:val="315"/>
        </w:trPr>
        <w:tc>
          <w:tcPr>
            <w:tcW w:w="485" w:type="dxa"/>
            <w:shd w:val="clear" w:color="auto" w:fill="auto"/>
            <w:vAlign w:val="bottom"/>
          </w:tcPr>
          <w:p w:rsidR="001D5851" w:rsidRPr="00DE475B" w:rsidRDefault="001D5851" w:rsidP="00D25526">
            <w:pPr>
              <w:snapToGrid w:val="0"/>
              <w:rPr>
                <w:rFonts w:ascii="Arial" w:hAnsi="Arial" w:cs="Arial"/>
                <w:sz w:val="20"/>
                <w:szCs w:val="20"/>
              </w:rPr>
            </w:pPr>
          </w:p>
        </w:tc>
        <w:tc>
          <w:tcPr>
            <w:tcW w:w="4278" w:type="dxa"/>
            <w:gridSpan w:val="3"/>
            <w:shd w:val="clear" w:color="auto" w:fill="auto"/>
            <w:vAlign w:val="bottom"/>
          </w:tcPr>
          <w:p w:rsidR="001D5851" w:rsidRPr="00DE475B" w:rsidRDefault="001D5851" w:rsidP="00D25526">
            <w:pPr>
              <w:rPr>
                <w:rFonts w:ascii="Arial" w:hAnsi="Arial" w:cs="Arial"/>
                <w:sz w:val="20"/>
                <w:szCs w:val="20"/>
              </w:rPr>
            </w:pPr>
            <w:r w:rsidRPr="00DE475B">
              <w:rPr>
                <w:rFonts w:ascii="Arial" w:hAnsi="Arial" w:cs="Arial"/>
                <w:sz w:val="20"/>
                <w:szCs w:val="20"/>
              </w:rPr>
              <w:t>At cost</w:t>
            </w:r>
          </w:p>
        </w:tc>
        <w:tc>
          <w:tcPr>
            <w:tcW w:w="971" w:type="dxa"/>
            <w:shd w:val="clear" w:color="auto" w:fill="auto"/>
            <w:vAlign w:val="center"/>
          </w:tcPr>
          <w:p w:rsidR="001D5851" w:rsidRPr="00DE475B" w:rsidRDefault="00DD15CE" w:rsidP="00CF5257">
            <w:pPr>
              <w:jc w:val="right"/>
              <w:rPr>
                <w:rFonts w:ascii="Arial" w:hAnsi="Arial" w:cs="Arial"/>
                <w:sz w:val="20"/>
                <w:szCs w:val="20"/>
              </w:rPr>
            </w:pPr>
            <w:r>
              <w:rPr>
                <w:rFonts w:ascii="Arial" w:hAnsi="Arial" w:cs="Arial"/>
                <w:sz w:val="20"/>
                <w:szCs w:val="20"/>
              </w:rPr>
              <w:t>248</w:t>
            </w:r>
          </w:p>
        </w:tc>
        <w:tc>
          <w:tcPr>
            <w:tcW w:w="971" w:type="dxa"/>
            <w:shd w:val="clear" w:color="auto" w:fill="auto"/>
            <w:vAlign w:val="center"/>
          </w:tcPr>
          <w:p w:rsidR="001D5851" w:rsidRPr="00DE475B" w:rsidRDefault="00DB0F59" w:rsidP="00A2292F">
            <w:pPr>
              <w:jc w:val="right"/>
              <w:rPr>
                <w:rFonts w:ascii="Arial" w:hAnsi="Arial" w:cs="Arial"/>
                <w:sz w:val="20"/>
                <w:szCs w:val="20"/>
              </w:rPr>
            </w:pPr>
            <w:r>
              <w:rPr>
                <w:rFonts w:ascii="Arial" w:hAnsi="Arial" w:cs="Arial"/>
                <w:sz w:val="20"/>
                <w:szCs w:val="20"/>
              </w:rPr>
              <w:t>261</w:t>
            </w:r>
          </w:p>
        </w:tc>
        <w:tc>
          <w:tcPr>
            <w:tcW w:w="971" w:type="dxa"/>
            <w:shd w:val="clear" w:color="auto" w:fill="auto"/>
            <w:vAlign w:val="center"/>
          </w:tcPr>
          <w:p w:rsidR="001D5851" w:rsidRPr="00DE475B" w:rsidRDefault="00DD15CE" w:rsidP="00A2292F">
            <w:pPr>
              <w:jc w:val="right"/>
              <w:rPr>
                <w:rFonts w:ascii="Arial" w:hAnsi="Arial" w:cs="Arial"/>
                <w:sz w:val="20"/>
                <w:szCs w:val="20"/>
              </w:rPr>
            </w:pPr>
            <w:r>
              <w:rPr>
                <w:rFonts w:ascii="Arial" w:hAnsi="Arial" w:cs="Arial"/>
                <w:sz w:val="20"/>
                <w:szCs w:val="20"/>
              </w:rPr>
              <w:t>248</w:t>
            </w:r>
          </w:p>
        </w:tc>
        <w:tc>
          <w:tcPr>
            <w:tcW w:w="971" w:type="dxa"/>
            <w:shd w:val="clear" w:color="auto" w:fill="auto"/>
            <w:vAlign w:val="center"/>
          </w:tcPr>
          <w:p w:rsidR="001D5851" w:rsidRPr="00DE475B" w:rsidRDefault="00DB0F59" w:rsidP="00A2292F">
            <w:pPr>
              <w:jc w:val="right"/>
              <w:rPr>
                <w:rFonts w:ascii="Arial" w:hAnsi="Arial" w:cs="Arial"/>
                <w:sz w:val="20"/>
                <w:szCs w:val="20"/>
              </w:rPr>
            </w:pPr>
            <w:r>
              <w:rPr>
                <w:rFonts w:ascii="Arial" w:hAnsi="Arial" w:cs="Arial"/>
                <w:sz w:val="20"/>
                <w:szCs w:val="20"/>
              </w:rPr>
              <w:t>261</w:t>
            </w:r>
          </w:p>
        </w:tc>
      </w:tr>
      <w:tr w:rsidR="001D5851" w:rsidRPr="00DE475B" w:rsidTr="001D5851">
        <w:trPr>
          <w:trHeight w:val="330"/>
        </w:trPr>
        <w:tc>
          <w:tcPr>
            <w:tcW w:w="485" w:type="dxa"/>
            <w:shd w:val="clear" w:color="auto" w:fill="auto"/>
            <w:vAlign w:val="bottom"/>
          </w:tcPr>
          <w:p w:rsidR="001D5851" w:rsidRPr="00DE475B" w:rsidRDefault="001D5851" w:rsidP="00D25526">
            <w:pPr>
              <w:snapToGrid w:val="0"/>
              <w:rPr>
                <w:rFonts w:ascii="Arial" w:hAnsi="Arial" w:cs="Arial"/>
                <w:sz w:val="20"/>
                <w:szCs w:val="20"/>
              </w:rPr>
            </w:pPr>
          </w:p>
        </w:tc>
        <w:tc>
          <w:tcPr>
            <w:tcW w:w="4278" w:type="dxa"/>
            <w:gridSpan w:val="3"/>
            <w:shd w:val="clear" w:color="auto" w:fill="auto"/>
            <w:vAlign w:val="bottom"/>
          </w:tcPr>
          <w:p w:rsidR="001D5851" w:rsidRPr="00DE475B" w:rsidRDefault="001D5851" w:rsidP="00D25526">
            <w:pPr>
              <w:rPr>
                <w:rFonts w:ascii="Arial" w:hAnsi="Arial" w:cs="Arial"/>
                <w:sz w:val="20"/>
                <w:szCs w:val="20"/>
              </w:rPr>
            </w:pPr>
            <w:r w:rsidRPr="00DE475B">
              <w:rPr>
                <w:rFonts w:ascii="Arial" w:hAnsi="Arial" w:cs="Arial"/>
                <w:sz w:val="20"/>
                <w:szCs w:val="20"/>
              </w:rPr>
              <w:t>At valuation</w:t>
            </w:r>
          </w:p>
        </w:tc>
        <w:tc>
          <w:tcPr>
            <w:tcW w:w="971" w:type="dxa"/>
            <w:tcBorders>
              <w:bottom w:val="single" w:sz="4" w:space="0" w:color="auto"/>
            </w:tcBorders>
            <w:shd w:val="clear" w:color="auto" w:fill="auto"/>
            <w:vAlign w:val="center"/>
          </w:tcPr>
          <w:p w:rsidR="001D5851" w:rsidRPr="00DE475B" w:rsidRDefault="00DD15CE" w:rsidP="00CF5257">
            <w:pPr>
              <w:jc w:val="right"/>
              <w:rPr>
                <w:rFonts w:ascii="Arial" w:hAnsi="Arial" w:cs="Arial"/>
                <w:sz w:val="20"/>
                <w:szCs w:val="20"/>
              </w:rPr>
            </w:pPr>
            <w:r>
              <w:rPr>
                <w:rFonts w:ascii="Arial" w:hAnsi="Arial" w:cs="Arial"/>
                <w:sz w:val="20"/>
                <w:szCs w:val="20"/>
              </w:rPr>
              <w:t>42,215</w:t>
            </w:r>
          </w:p>
        </w:tc>
        <w:tc>
          <w:tcPr>
            <w:tcW w:w="971" w:type="dxa"/>
            <w:tcBorders>
              <w:bottom w:val="single" w:sz="4" w:space="0" w:color="auto"/>
            </w:tcBorders>
            <w:shd w:val="clear" w:color="auto" w:fill="auto"/>
            <w:vAlign w:val="center"/>
          </w:tcPr>
          <w:p w:rsidR="001D5851" w:rsidRPr="00DE475B" w:rsidRDefault="00DB0F59" w:rsidP="00A2292F">
            <w:pPr>
              <w:jc w:val="right"/>
              <w:rPr>
                <w:rFonts w:ascii="Arial" w:hAnsi="Arial" w:cs="Arial"/>
                <w:sz w:val="20"/>
                <w:szCs w:val="20"/>
              </w:rPr>
            </w:pPr>
            <w:r>
              <w:rPr>
                <w:rFonts w:ascii="Arial" w:hAnsi="Arial" w:cs="Arial"/>
                <w:sz w:val="20"/>
                <w:szCs w:val="20"/>
              </w:rPr>
              <w:t>42,292</w:t>
            </w:r>
          </w:p>
        </w:tc>
        <w:tc>
          <w:tcPr>
            <w:tcW w:w="971" w:type="dxa"/>
            <w:tcBorders>
              <w:bottom w:val="single" w:sz="4" w:space="0" w:color="auto"/>
            </w:tcBorders>
            <w:shd w:val="clear" w:color="auto" w:fill="auto"/>
            <w:vAlign w:val="center"/>
          </w:tcPr>
          <w:p w:rsidR="001D5851" w:rsidRPr="00DE475B" w:rsidRDefault="00DD15CE" w:rsidP="00A2292F">
            <w:pPr>
              <w:jc w:val="right"/>
              <w:rPr>
                <w:rFonts w:ascii="Arial" w:hAnsi="Arial" w:cs="Arial"/>
                <w:sz w:val="20"/>
                <w:szCs w:val="20"/>
              </w:rPr>
            </w:pPr>
            <w:r>
              <w:rPr>
                <w:rFonts w:ascii="Arial" w:hAnsi="Arial" w:cs="Arial"/>
                <w:sz w:val="20"/>
                <w:szCs w:val="20"/>
              </w:rPr>
              <w:t>42,215</w:t>
            </w:r>
          </w:p>
        </w:tc>
        <w:tc>
          <w:tcPr>
            <w:tcW w:w="971" w:type="dxa"/>
            <w:tcBorders>
              <w:bottom w:val="single" w:sz="4" w:space="0" w:color="auto"/>
            </w:tcBorders>
            <w:shd w:val="clear" w:color="auto" w:fill="auto"/>
            <w:vAlign w:val="center"/>
          </w:tcPr>
          <w:p w:rsidR="001D5851" w:rsidRPr="00DE475B" w:rsidRDefault="00DB0F59" w:rsidP="00A2292F">
            <w:pPr>
              <w:jc w:val="right"/>
              <w:rPr>
                <w:rFonts w:ascii="Arial" w:hAnsi="Arial" w:cs="Arial"/>
                <w:sz w:val="20"/>
                <w:szCs w:val="20"/>
              </w:rPr>
            </w:pPr>
            <w:r>
              <w:rPr>
                <w:rFonts w:ascii="Arial" w:hAnsi="Arial" w:cs="Arial"/>
                <w:sz w:val="20"/>
                <w:szCs w:val="20"/>
              </w:rPr>
              <w:t>42,292</w:t>
            </w:r>
          </w:p>
        </w:tc>
      </w:tr>
      <w:tr w:rsidR="001D5851" w:rsidRPr="00DE475B" w:rsidTr="001D5851">
        <w:trPr>
          <w:trHeight w:val="233"/>
        </w:trPr>
        <w:tc>
          <w:tcPr>
            <w:tcW w:w="485" w:type="dxa"/>
            <w:shd w:val="clear" w:color="auto" w:fill="auto"/>
            <w:vAlign w:val="bottom"/>
          </w:tcPr>
          <w:p w:rsidR="001D5851" w:rsidRPr="00DE475B" w:rsidRDefault="001D5851" w:rsidP="00D25526">
            <w:pPr>
              <w:snapToGrid w:val="0"/>
              <w:rPr>
                <w:rFonts w:ascii="Arial" w:hAnsi="Arial" w:cs="Arial"/>
                <w:sz w:val="20"/>
                <w:szCs w:val="20"/>
              </w:rPr>
            </w:pPr>
          </w:p>
        </w:tc>
        <w:tc>
          <w:tcPr>
            <w:tcW w:w="345" w:type="dxa"/>
            <w:shd w:val="clear" w:color="auto" w:fill="auto"/>
            <w:vAlign w:val="bottom"/>
          </w:tcPr>
          <w:p w:rsidR="001D5851" w:rsidRPr="00DE475B" w:rsidRDefault="001D5851" w:rsidP="00D25526">
            <w:pPr>
              <w:snapToGrid w:val="0"/>
              <w:rPr>
                <w:rFonts w:ascii="Arial" w:hAnsi="Arial" w:cs="Arial"/>
                <w:sz w:val="20"/>
                <w:szCs w:val="20"/>
              </w:rPr>
            </w:pPr>
          </w:p>
        </w:tc>
        <w:tc>
          <w:tcPr>
            <w:tcW w:w="1583" w:type="dxa"/>
            <w:shd w:val="clear" w:color="auto" w:fill="auto"/>
            <w:vAlign w:val="bottom"/>
          </w:tcPr>
          <w:p w:rsidR="001D5851" w:rsidRPr="00DE475B" w:rsidRDefault="001D5851" w:rsidP="00D25526">
            <w:pPr>
              <w:snapToGrid w:val="0"/>
              <w:rPr>
                <w:rFonts w:ascii="Arial" w:hAnsi="Arial" w:cs="Arial"/>
                <w:sz w:val="20"/>
                <w:szCs w:val="20"/>
              </w:rPr>
            </w:pPr>
          </w:p>
        </w:tc>
        <w:tc>
          <w:tcPr>
            <w:tcW w:w="2350" w:type="dxa"/>
            <w:shd w:val="clear" w:color="auto" w:fill="auto"/>
            <w:vAlign w:val="bottom"/>
          </w:tcPr>
          <w:p w:rsidR="001D5851" w:rsidRPr="00DE475B" w:rsidRDefault="001D5851" w:rsidP="00D25526">
            <w:pPr>
              <w:snapToGrid w:val="0"/>
              <w:rPr>
                <w:rFonts w:ascii="Arial" w:hAnsi="Arial" w:cs="Arial"/>
                <w:sz w:val="20"/>
                <w:szCs w:val="20"/>
              </w:rPr>
            </w:pPr>
          </w:p>
        </w:tc>
        <w:tc>
          <w:tcPr>
            <w:tcW w:w="971" w:type="dxa"/>
            <w:tcBorders>
              <w:top w:val="single" w:sz="4" w:space="0" w:color="auto"/>
            </w:tcBorders>
            <w:shd w:val="clear" w:color="auto" w:fill="auto"/>
            <w:vAlign w:val="center"/>
          </w:tcPr>
          <w:p w:rsidR="001D5851" w:rsidRPr="00DE475B" w:rsidRDefault="00DD15CE" w:rsidP="00CF5257">
            <w:pPr>
              <w:jc w:val="right"/>
              <w:rPr>
                <w:rFonts w:ascii="Arial" w:hAnsi="Arial" w:cs="Arial"/>
                <w:sz w:val="20"/>
                <w:szCs w:val="20"/>
              </w:rPr>
            </w:pPr>
            <w:r>
              <w:rPr>
                <w:rFonts w:ascii="Arial" w:hAnsi="Arial" w:cs="Arial"/>
                <w:sz w:val="20"/>
                <w:szCs w:val="20"/>
              </w:rPr>
              <w:t>42,463</w:t>
            </w:r>
          </w:p>
        </w:tc>
        <w:tc>
          <w:tcPr>
            <w:tcW w:w="971" w:type="dxa"/>
            <w:tcBorders>
              <w:top w:val="single" w:sz="4" w:space="0" w:color="auto"/>
            </w:tcBorders>
            <w:shd w:val="clear" w:color="auto" w:fill="auto"/>
            <w:vAlign w:val="center"/>
          </w:tcPr>
          <w:p w:rsidR="001D5851" w:rsidRPr="00DE475B" w:rsidRDefault="001D5851" w:rsidP="00A2292F">
            <w:pPr>
              <w:jc w:val="right"/>
              <w:rPr>
                <w:rFonts w:ascii="Arial" w:hAnsi="Arial" w:cs="Arial"/>
                <w:sz w:val="20"/>
                <w:szCs w:val="20"/>
              </w:rPr>
            </w:pPr>
            <w:r w:rsidRPr="00DE475B">
              <w:rPr>
                <w:rFonts w:ascii="Arial" w:hAnsi="Arial" w:cs="Arial"/>
                <w:sz w:val="20"/>
                <w:szCs w:val="20"/>
              </w:rPr>
              <w:t>42,553</w:t>
            </w:r>
          </w:p>
        </w:tc>
        <w:tc>
          <w:tcPr>
            <w:tcW w:w="971" w:type="dxa"/>
            <w:tcBorders>
              <w:top w:val="single" w:sz="4" w:space="0" w:color="auto"/>
            </w:tcBorders>
            <w:shd w:val="clear" w:color="auto" w:fill="auto"/>
            <w:vAlign w:val="center"/>
          </w:tcPr>
          <w:p w:rsidR="001D5851" w:rsidRPr="00DE475B" w:rsidRDefault="00DD15CE" w:rsidP="00A2292F">
            <w:pPr>
              <w:jc w:val="right"/>
              <w:rPr>
                <w:rFonts w:ascii="Arial" w:hAnsi="Arial" w:cs="Arial"/>
                <w:sz w:val="20"/>
                <w:szCs w:val="20"/>
              </w:rPr>
            </w:pPr>
            <w:r>
              <w:rPr>
                <w:rFonts w:ascii="Arial" w:hAnsi="Arial" w:cs="Arial"/>
                <w:sz w:val="20"/>
                <w:szCs w:val="20"/>
              </w:rPr>
              <w:t>42,463</w:t>
            </w:r>
          </w:p>
        </w:tc>
        <w:tc>
          <w:tcPr>
            <w:tcW w:w="971" w:type="dxa"/>
            <w:tcBorders>
              <w:top w:val="single" w:sz="4" w:space="0" w:color="auto"/>
            </w:tcBorders>
            <w:shd w:val="clear" w:color="auto" w:fill="auto"/>
            <w:vAlign w:val="center"/>
          </w:tcPr>
          <w:p w:rsidR="001D5851" w:rsidRPr="00DE475B" w:rsidRDefault="001D5851" w:rsidP="00A2292F">
            <w:pPr>
              <w:jc w:val="right"/>
              <w:rPr>
                <w:rFonts w:ascii="Arial" w:hAnsi="Arial" w:cs="Arial"/>
                <w:sz w:val="20"/>
                <w:szCs w:val="20"/>
              </w:rPr>
            </w:pPr>
            <w:r w:rsidRPr="00DE475B">
              <w:rPr>
                <w:rFonts w:ascii="Arial" w:hAnsi="Arial" w:cs="Arial"/>
                <w:sz w:val="20"/>
                <w:szCs w:val="20"/>
              </w:rPr>
              <w:t>42,553</w:t>
            </w:r>
          </w:p>
        </w:tc>
      </w:tr>
      <w:tr w:rsidR="001D5851" w:rsidRPr="00DE475B" w:rsidTr="001D5851">
        <w:trPr>
          <w:trHeight w:val="175"/>
        </w:trPr>
        <w:tc>
          <w:tcPr>
            <w:tcW w:w="485" w:type="dxa"/>
            <w:shd w:val="clear" w:color="auto" w:fill="auto"/>
            <w:vAlign w:val="bottom"/>
          </w:tcPr>
          <w:p w:rsidR="001D5851" w:rsidRPr="00DE475B" w:rsidRDefault="001D5851" w:rsidP="00D25526">
            <w:pPr>
              <w:snapToGrid w:val="0"/>
              <w:rPr>
                <w:rFonts w:ascii="Arial" w:hAnsi="Arial" w:cs="Arial"/>
                <w:sz w:val="20"/>
                <w:szCs w:val="20"/>
              </w:rPr>
            </w:pPr>
          </w:p>
        </w:tc>
        <w:tc>
          <w:tcPr>
            <w:tcW w:w="345" w:type="dxa"/>
            <w:shd w:val="clear" w:color="auto" w:fill="auto"/>
            <w:vAlign w:val="bottom"/>
          </w:tcPr>
          <w:p w:rsidR="001D5851" w:rsidRPr="00DE475B" w:rsidRDefault="001D5851" w:rsidP="00D25526">
            <w:pPr>
              <w:snapToGrid w:val="0"/>
              <w:rPr>
                <w:rFonts w:ascii="Arial" w:hAnsi="Arial" w:cs="Arial"/>
                <w:sz w:val="20"/>
                <w:szCs w:val="20"/>
              </w:rPr>
            </w:pPr>
          </w:p>
        </w:tc>
        <w:tc>
          <w:tcPr>
            <w:tcW w:w="1583" w:type="dxa"/>
            <w:shd w:val="clear" w:color="auto" w:fill="auto"/>
            <w:vAlign w:val="bottom"/>
          </w:tcPr>
          <w:p w:rsidR="001D5851" w:rsidRPr="00DE475B" w:rsidRDefault="001D5851" w:rsidP="00D25526">
            <w:pPr>
              <w:snapToGrid w:val="0"/>
              <w:rPr>
                <w:rFonts w:ascii="Arial" w:hAnsi="Arial" w:cs="Arial"/>
                <w:sz w:val="20"/>
                <w:szCs w:val="20"/>
              </w:rPr>
            </w:pPr>
          </w:p>
        </w:tc>
        <w:tc>
          <w:tcPr>
            <w:tcW w:w="2350" w:type="dxa"/>
            <w:shd w:val="clear" w:color="auto" w:fill="auto"/>
            <w:vAlign w:val="bottom"/>
          </w:tcPr>
          <w:p w:rsidR="001D5851" w:rsidRPr="00DE475B" w:rsidRDefault="001D5851" w:rsidP="00D25526">
            <w:pPr>
              <w:snapToGrid w:val="0"/>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r>
      <w:tr w:rsidR="001D5851" w:rsidRPr="00DE475B" w:rsidTr="001D5851">
        <w:trPr>
          <w:trHeight w:val="255"/>
        </w:trPr>
        <w:tc>
          <w:tcPr>
            <w:tcW w:w="4763" w:type="dxa"/>
            <w:gridSpan w:val="4"/>
            <w:shd w:val="clear" w:color="auto" w:fill="auto"/>
            <w:vAlign w:val="bottom"/>
          </w:tcPr>
          <w:p w:rsidR="001D5851" w:rsidRPr="00DE475B" w:rsidRDefault="001D5851" w:rsidP="00D25526">
            <w:pPr>
              <w:rPr>
                <w:rFonts w:ascii="Arial" w:hAnsi="Arial" w:cs="Arial"/>
                <w:sz w:val="20"/>
                <w:szCs w:val="20"/>
              </w:rPr>
            </w:pPr>
            <w:r w:rsidRPr="00DE475B">
              <w:rPr>
                <w:rFonts w:ascii="Arial" w:hAnsi="Arial" w:cs="Arial"/>
                <w:sz w:val="20"/>
                <w:szCs w:val="20"/>
              </w:rPr>
              <w:t>Plant and equipment:</w:t>
            </w: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c>
          <w:tcPr>
            <w:tcW w:w="971" w:type="dxa"/>
            <w:shd w:val="clear" w:color="auto" w:fill="auto"/>
            <w:vAlign w:val="center"/>
          </w:tcPr>
          <w:p w:rsidR="001D5851" w:rsidRPr="00DE475B" w:rsidRDefault="001D5851" w:rsidP="00CF5257">
            <w:pPr>
              <w:snapToGrid w:val="0"/>
              <w:jc w:val="right"/>
              <w:rPr>
                <w:rFonts w:ascii="Arial" w:hAnsi="Arial" w:cs="Arial"/>
                <w:sz w:val="20"/>
                <w:szCs w:val="20"/>
              </w:rPr>
            </w:pPr>
          </w:p>
        </w:tc>
      </w:tr>
      <w:tr w:rsidR="001D5851" w:rsidRPr="00DE475B" w:rsidTr="001D5851">
        <w:trPr>
          <w:trHeight w:val="255"/>
        </w:trPr>
        <w:tc>
          <w:tcPr>
            <w:tcW w:w="485" w:type="dxa"/>
            <w:shd w:val="clear" w:color="auto" w:fill="auto"/>
            <w:vAlign w:val="bottom"/>
          </w:tcPr>
          <w:p w:rsidR="001D5851" w:rsidRPr="00DE475B" w:rsidRDefault="001D5851" w:rsidP="00D25526">
            <w:pPr>
              <w:snapToGrid w:val="0"/>
              <w:rPr>
                <w:rFonts w:ascii="Arial" w:hAnsi="Arial" w:cs="Arial"/>
                <w:sz w:val="20"/>
                <w:szCs w:val="20"/>
              </w:rPr>
            </w:pPr>
          </w:p>
        </w:tc>
        <w:tc>
          <w:tcPr>
            <w:tcW w:w="4278" w:type="dxa"/>
            <w:gridSpan w:val="3"/>
            <w:shd w:val="clear" w:color="auto" w:fill="auto"/>
            <w:vAlign w:val="bottom"/>
          </w:tcPr>
          <w:p w:rsidR="001D5851" w:rsidRPr="00DE475B" w:rsidRDefault="001D5851" w:rsidP="00D25526">
            <w:pPr>
              <w:rPr>
                <w:rFonts w:ascii="Arial" w:hAnsi="Arial" w:cs="Arial"/>
                <w:sz w:val="20"/>
                <w:szCs w:val="20"/>
              </w:rPr>
            </w:pPr>
            <w:r w:rsidRPr="00DE475B">
              <w:rPr>
                <w:rFonts w:ascii="Arial" w:hAnsi="Arial" w:cs="Arial"/>
                <w:sz w:val="20"/>
                <w:szCs w:val="20"/>
              </w:rPr>
              <w:t>At cost</w:t>
            </w:r>
          </w:p>
        </w:tc>
        <w:tc>
          <w:tcPr>
            <w:tcW w:w="971" w:type="dxa"/>
            <w:shd w:val="clear" w:color="auto" w:fill="auto"/>
            <w:vAlign w:val="center"/>
          </w:tcPr>
          <w:p w:rsidR="001D5851" w:rsidRPr="00DE475B" w:rsidRDefault="00DD15CE" w:rsidP="00CF5257">
            <w:pPr>
              <w:jc w:val="right"/>
              <w:rPr>
                <w:rFonts w:ascii="Arial" w:hAnsi="Arial" w:cs="Arial"/>
                <w:sz w:val="20"/>
                <w:szCs w:val="20"/>
              </w:rPr>
            </w:pPr>
            <w:r>
              <w:rPr>
                <w:rFonts w:ascii="Arial" w:hAnsi="Arial" w:cs="Arial"/>
                <w:sz w:val="20"/>
                <w:szCs w:val="20"/>
              </w:rPr>
              <w:t>4,286</w:t>
            </w:r>
          </w:p>
        </w:tc>
        <w:tc>
          <w:tcPr>
            <w:tcW w:w="971" w:type="dxa"/>
            <w:shd w:val="clear" w:color="auto" w:fill="auto"/>
            <w:vAlign w:val="center"/>
          </w:tcPr>
          <w:p w:rsidR="001D5851" w:rsidRPr="00DE475B" w:rsidRDefault="001D5851" w:rsidP="00A2292F">
            <w:pPr>
              <w:jc w:val="right"/>
              <w:rPr>
                <w:rFonts w:ascii="Arial" w:hAnsi="Arial" w:cs="Arial"/>
                <w:sz w:val="20"/>
                <w:szCs w:val="20"/>
              </w:rPr>
            </w:pPr>
            <w:r w:rsidRPr="00DE475B">
              <w:rPr>
                <w:rFonts w:ascii="Arial" w:hAnsi="Arial" w:cs="Arial"/>
                <w:sz w:val="20"/>
                <w:szCs w:val="20"/>
              </w:rPr>
              <w:t>4,192</w:t>
            </w:r>
          </w:p>
        </w:tc>
        <w:tc>
          <w:tcPr>
            <w:tcW w:w="971" w:type="dxa"/>
            <w:shd w:val="clear" w:color="auto" w:fill="auto"/>
            <w:vAlign w:val="center"/>
          </w:tcPr>
          <w:p w:rsidR="001D5851" w:rsidRPr="00DE475B" w:rsidRDefault="00DD15CE" w:rsidP="00A2292F">
            <w:pPr>
              <w:jc w:val="right"/>
              <w:rPr>
                <w:rFonts w:ascii="Arial" w:hAnsi="Arial" w:cs="Arial"/>
                <w:sz w:val="20"/>
                <w:szCs w:val="20"/>
              </w:rPr>
            </w:pPr>
            <w:r>
              <w:rPr>
                <w:rFonts w:ascii="Arial" w:hAnsi="Arial" w:cs="Arial"/>
                <w:sz w:val="20"/>
                <w:szCs w:val="20"/>
              </w:rPr>
              <w:t>4,286</w:t>
            </w:r>
          </w:p>
        </w:tc>
        <w:tc>
          <w:tcPr>
            <w:tcW w:w="971" w:type="dxa"/>
            <w:shd w:val="clear" w:color="auto" w:fill="auto"/>
            <w:vAlign w:val="center"/>
          </w:tcPr>
          <w:p w:rsidR="001D5851" w:rsidRPr="00DE475B" w:rsidRDefault="001D5851" w:rsidP="00A2292F">
            <w:pPr>
              <w:jc w:val="right"/>
              <w:rPr>
                <w:rFonts w:ascii="Arial" w:hAnsi="Arial" w:cs="Arial"/>
                <w:sz w:val="20"/>
                <w:szCs w:val="20"/>
              </w:rPr>
            </w:pPr>
            <w:r w:rsidRPr="00DE475B">
              <w:rPr>
                <w:rFonts w:ascii="Arial" w:hAnsi="Arial" w:cs="Arial"/>
                <w:sz w:val="20"/>
                <w:szCs w:val="20"/>
              </w:rPr>
              <w:t>4,192</w:t>
            </w:r>
          </w:p>
        </w:tc>
      </w:tr>
      <w:tr w:rsidR="001D5851" w:rsidRPr="00DE475B" w:rsidTr="00DB0F59">
        <w:trPr>
          <w:trHeight w:val="331"/>
        </w:trPr>
        <w:tc>
          <w:tcPr>
            <w:tcW w:w="485" w:type="dxa"/>
            <w:shd w:val="clear" w:color="auto" w:fill="auto"/>
            <w:vAlign w:val="bottom"/>
          </w:tcPr>
          <w:p w:rsidR="001D5851" w:rsidRPr="00DE475B" w:rsidRDefault="001D5851" w:rsidP="00D25526">
            <w:pPr>
              <w:snapToGrid w:val="0"/>
              <w:rPr>
                <w:rFonts w:ascii="Arial" w:hAnsi="Arial" w:cs="Arial"/>
                <w:sz w:val="20"/>
                <w:szCs w:val="20"/>
              </w:rPr>
            </w:pPr>
          </w:p>
        </w:tc>
        <w:tc>
          <w:tcPr>
            <w:tcW w:w="4278" w:type="dxa"/>
            <w:gridSpan w:val="3"/>
            <w:shd w:val="clear" w:color="auto" w:fill="auto"/>
            <w:vAlign w:val="bottom"/>
          </w:tcPr>
          <w:p w:rsidR="001D5851" w:rsidRPr="00DE475B" w:rsidRDefault="001D5851" w:rsidP="00D25526">
            <w:pPr>
              <w:rPr>
                <w:rFonts w:ascii="Arial" w:hAnsi="Arial" w:cs="Arial"/>
                <w:sz w:val="20"/>
                <w:szCs w:val="20"/>
              </w:rPr>
            </w:pPr>
            <w:r w:rsidRPr="00DE475B">
              <w:rPr>
                <w:rFonts w:ascii="Arial" w:hAnsi="Arial" w:cs="Arial"/>
                <w:sz w:val="20"/>
                <w:szCs w:val="20"/>
              </w:rPr>
              <w:t>Less: Accumulated depreciation</w:t>
            </w:r>
          </w:p>
        </w:tc>
        <w:tc>
          <w:tcPr>
            <w:tcW w:w="971" w:type="dxa"/>
            <w:tcBorders>
              <w:bottom w:val="single" w:sz="4" w:space="0" w:color="auto"/>
            </w:tcBorders>
            <w:shd w:val="clear" w:color="auto" w:fill="auto"/>
            <w:vAlign w:val="center"/>
          </w:tcPr>
          <w:p w:rsidR="001D5851" w:rsidRPr="00DE475B" w:rsidRDefault="00DD15CE" w:rsidP="00CF5257">
            <w:pPr>
              <w:jc w:val="right"/>
              <w:rPr>
                <w:rFonts w:ascii="Arial" w:hAnsi="Arial" w:cs="Arial"/>
                <w:sz w:val="20"/>
                <w:szCs w:val="20"/>
              </w:rPr>
            </w:pPr>
            <w:r>
              <w:rPr>
                <w:rFonts w:ascii="Arial" w:hAnsi="Arial" w:cs="Arial"/>
                <w:sz w:val="20"/>
                <w:szCs w:val="20"/>
              </w:rPr>
              <w:t>(2,885)</w:t>
            </w:r>
          </w:p>
        </w:tc>
        <w:tc>
          <w:tcPr>
            <w:tcW w:w="971" w:type="dxa"/>
            <w:tcBorders>
              <w:bottom w:val="single" w:sz="4" w:space="0" w:color="auto"/>
            </w:tcBorders>
            <w:shd w:val="clear" w:color="auto" w:fill="auto"/>
            <w:vAlign w:val="center"/>
          </w:tcPr>
          <w:p w:rsidR="001D5851" w:rsidRPr="00DE475B" w:rsidRDefault="001D5851" w:rsidP="00A2292F">
            <w:pPr>
              <w:jc w:val="right"/>
              <w:rPr>
                <w:rFonts w:ascii="Arial" w:hAnsi="Arial" w:cs="Arial"/>
                <w:sz w:val="20"/>
                <w:szCs w:val="20"/>
              </w:rPr>
            </w:pPr>
            <w:r w:rsidRPr="00DE475B">
              <w:rPr>
                <w:rFonts w:ascii="Arial" w:hAnsi="Arial" w:cs="Arial"/>
                <w:sz w:val="20"/>
                <w:szCs w:val="20"/>
              </w:rPr>
              <w:t>(2,434)</w:t>
            </w:r>
          </w:p>
        </w:tc>
        <w:tc>
          <w:tcPr>
            <w:tcW w:w="971" w:type="dxa"/>
            <w:tcBorders>
              <w:bottom w:val="single" w:sz="4" w:space="0" w:color="auto"/>
            </w:tcBorders>
            <w:shd w:val="clear" w:color="auto" w:fill="auto"/>
            <w:vAlign w:val="center"/>
          </w:tcPr>
          <w:p w:rsidR="001D5851" w:rsidRPr="00DE475B" w:rsidRDefault="00DD15CE" w:rsidP="00A2292F">
            <w:pPr>
              <w:jc w:val="right"/>
              <w:rPr>
                <w:rFonts w:ascii="Arial" w:hAnsi="Arial" w:cs="Arial"/>
                <w:sz w:val="20"/>
                <w:szCs w:val="20"/>
              </w:rPr>
            </w:pPr>
            <w:r>
              <w:rPr>
                <w:rFonts w:ascii="Arial" w:hAnsi="Arial" w:cs="Arial"/>
                <w:sz w:val="20"/>
                <w:szCs w:val="20"/>
              </w:rPr>
              <w:t>(2,885)</w:t>
            </w:r>
          </w:p>
        </w:tc>
        <w:tc>
          <w:tcPr>
            <w:tcW w:w="971" w:type="dxa"/>
            <w:tcBorders>
              <w:bottom w:val="single" w:sz="4" w:space="0" w:color="auto"/>
            </w:tcBorders>
            <w:shd w:val="clear" w:color="auto" w:fill="auto"/>
            <w:vAlign w:val="center"/>
          </w:tcPr>
          <w:p w:rsidR="001D5851" w:rsidRPr="00DE475B" w:rsidRDefault="001D5851" w:rsidP="00A2292F">
            <w:pPr>
              <w:jc w:val="right"/>
              <w:rPr>
                <w:rFonts w:ascii="Arial" w:hAnsi="Arial" w:cs="Arial"/>
                <w:sz w:val="20"/>
                <w:szCs w:val="20"/>
              </w:rPr>
            </w:pPr>
            <w:r w:rsidRPr="00DE475B">
              <w:rPr>
                <w:rFonts w:ascii="Arial" w:hAnsi="Arial" w:cs="Arial"/>
                <w:sz w:val="20"/>
                <w:szCs w:val="20"/>
              </w:rPr>
              <w:t>(2,434)</w:t>
            </w:r>
          </w:p>
        </w:tc>
      </w:tr>
      <w:tr w:rsidR="001D5851" w:rsidRPr="00DE475B" w:rsidTr="00DB0F59">
        <w:trPr>
          <w:trHeight w:val="367"/>
        </w:trPr>
        <w:tc>
          <w:tcPr>
            <w:tcW w:w="485" w:type="dxa"/>
            <w:shd w:val="clear" w:color="auto" w:fill="auto"/>
            <w:vAlign w:val="bottom"/>
          </w:tcPr>
          <w:p w:rsidR="001D5851" w:rsidRPr="00DE475B" w:rsidRDefault="001D5851" w:rsidP="00D25526">
            <w:pPr>
              <w:snapToGrid w:val="0"/>
              <w:rPr>
                <w:rFonts w:ascii="Arial" w:hAnsi="Arial" w:cs="Arial"/>
                <w:sz w:val="20"/>
                <w:szCs w:val="20"/>
              </w:rPr>
            </w:pPr>
          </w:p>
        </w:tc>
        <w:tc>
          <w:tcPr>
            <w:tcW w:w="345" w:type="dxa"/>
            <w:shd w:val="clear" w:color="auto" w:fill="auto"/>
            <w:vAlign w:val="bottom"/>
          </w:tcPr>
          <w:p w:rsidR="001D5851" w:rsidRPr="00DE475B" w:rsidRDefault="001D5851" w:rsidP="00D25526">
            <w:pPr>
              <w:snapToGrid w:val="0"/>
              <w:rPr>
                <w:rFonts w:ascii="Arial" w:hAnsi="Arial" w:cs="Arial"/>
                <w:sz w:val="20"/>
                <w:szCs w:val="20"/>
              </w:rPr>
            </w:pPr>
          </w:p>
        </w:tc>
        <w:tc>
          <w:tcPr>
            <w:tcW w:w="1583" w:type="dxa"/>
            <w:shd w:val="clear" w:color="auto" w:fill="auto"/>
            <w:vAlign w:val="bottom"/>
          </w:tcPr>
          <w:p w:rsidR="001D5851" w:rsidRPr="00DE475B" w:rsidRDefault="001D5851" w:rsidP="00D25526">
            <w:pPr>
              <w:snapToGrid w:val="0"/>
              <w:rPr>
                <w:rFonts w:ascii="Arial" w:hAnsi="Arial" w:cs="Arial"/>
                <w:sz w:val="20"/>
                <w:szCs w:val="20"/>
              </w:rPr>
            </w:pPr>
          </w:p>
        </w:tc>
        <w:tc>
          <w:tcPr>
            <w:tcW w:w="2350" w:type="dxa"/>
            <w:shd w:val="clear" w:color="auto" w:fill="auto"/>
            <w:vAlign w:val="bottom"/>
          </w:tcPr>
          <w:p w:rsidR="001D5851" w:rsidRPr="00DE475B" w:rsidRDefault="001D5851" w:rsidP="00D25526">
            <w:pPr>
              <w:snapToGrid w:val="0"/>
              <w:rPr>
                <w:rFonts w:ascii="Arial" w:hAnsi="Arial" w:cs="Arial"/>
                <w:sz w:val="20"/>
                <w:szCs w:val="20"/>
              </w:rPr>
            </w:pPr>
          </w:p>
        </w:tc>
        <w:tc>
          <w:tcPr>
            <w:tcW w:w="971" w:type="dxa"/>
            <w:tcBorders>
              <w:top w:val="single" w:sz="4" w:space="0" w:color="auto"/>
            </w:tcBorders>
            <w:shd w:val="clear" w:color="auto" w:fill="auto"/>
            <w:vAlign w:val="center"/>
          </w:tcPr>
          <w:p w:rsidR="001D5851" w:rsidRPr="00DE475B" w:rsidRDefault="00DD15CE" w:rsidP="00CF5257">
            <w:pPr>
              <w:jc w:val="right"/>
              <w:rPr>
                <w:rFonts w:ascii="Arial" w:hAnsi="Arial" w:cs="Arial"/>
                <w:sz w:val="20"/>
                <w:szCs w:val="20"/>
              </w:rPr>
            </w:pPr>
            <w:r>
              <w:rPr>
                <w:rFonts w:ascii="Arial" w:hAnsi="Arial" w:cs="Arial"/>
                <w:sz w:val="20"/>
                <w:szCs w:val="20"/>
              </w:rPr>
              <w:t>1,401</w:t>
            </w:r>
          </w:p>
        </w:tc>
        <w:tc>
          <w:tcPr>
            <w:tcW w:w="971" w:type="dxa"/>
            <w:tcBorders>
              <w:top w:val="single" w:sz="4" w:space="0" w:color="auto"/>
            </w:tcBorders>
            <w:shd w:val="clear" w:color="auto" w:fill="auto"/>
            <w:vAlign w:val="center"/>
          </w:tcPr>
          <w:p w:rsidR="001D5851" w:rsidRPr="00DE475B" w:rsidRDefault="001D5851" w:rsidP="00A2292F">
            <w:pPr>
              <w:jc w:val="right"/>
              <w:rPr>
                <w:rFonts w:ascii="Arial" w:hAnsi="Arial" w:cs="Arial"/>
                <w:sz w:val="20"/>
                <w:szCs w:val="20"/>
              </w:rPr>
            </w:pPr>
            <w:r w:rsidRPr="00DE475B">
              <w:rPr>
                <w:rFonts w:ascii="Arial" w:hAnsi="Arial" w:cs="Arial"/>
                <w:sz w:val="20"/>
                <w:szCs w:val="20"/>
              </w:rPr>
              <w:t>1,758</w:t>
            </w:r>
          </w:p>
        </w:tc>
        <w:tc>
          <w:tcPr>
            <w:tcW w:w="971" w:type="dxa"/>
            <w:tcBorders>
              <w:top w:val="single" w:sz="4" w:space="0" w:color="auto"/>
            </w:tcBorders>
            <w:shd w:val="clear" w:color="auto" w:fill="auto"/>
            <w:vAlign w:val="center"/>
          </w:tcPr>
          <w:p w:rsidR="001D5851" w:rsidRPr="00DE475B" w:rsidRDefault="00DD15CE" w:rsidP="00A2292F">
            <w:pPr>
              <w:jc w:val="right"/>
              <w:rPr>
                <w:rFonts w:ascii="Arial" w:hAnsi="Arial" w:cs="Arial"/>
                <w:sz w:val="20"/>
                <w:szCs w:val="20"/>
              </w:rPr>
            </w:pPr>
            <w:r>
              <w:rPr>
                <w:rFonts w:ascii="Arial" w:hAnsi="Arial" w:cs="Arial"/>
                <w:sz w:val="20"/>
                <w:szCs w:val="20"/>
              </w:rPr>
              <w:t>1,401</w:t>
            </w:r>
          </w:p>
        </w:tc>
        <w:tc>
          <w:tcPr>
            <w:tcW w:w="971" w:type="dxa"/>
            <w:tcBorders>
              <w:top w:val="single" w:sz="4" w:space="0" w:color="auto"/>
            </w:tcBorders>
            <w:shd w:val="clear" w:color="auto" w:fill="auto"/>
            <w:vAlign w:val="center"/>
          </w:tcPr>
          <w:p w:rsidR="001D5851" w:rsidRPr="00DE475B" w:rsidRDefault="001D5851" w:rsidP="00A2292F">
            <w:pPr>
              <w:jc w:val="right"/>
              <w:rPr>
                <w:rFonts w:ascii="Arial" w:hAnsi="Arial" w:cs="Arial"/>
                <w:sz w:val="20"/>
                <w:szCs w:val="20"/>
              </w:rPr>
            </w:pPr>
            <w:r w:rsidRPr="00DE475B">
              <w:rPr>
                <w:rFonts w:ascii="Arial" w:hAnsi="Arial" w:cs="Arial"/>
                <w:sz w:val="20"/>
                <w:szCs w:val="20"/>
              </w:rPr>
              <w:t>1,758</w:t>
            </w:r>
          </w:p>
        </w:tc>
      </w:tr>
      <w:tr w:rsidR="001D5851" w:rsidRPr="00DE475B" w:rsidTr="00DB0F59">
        <w:trPr>
          <w:trHeight w:val="351"/>
        </w:trPr>
        <w:tc>
          <w:tcPr>
            <w:tcW w:w="830" w:type="dxa"/>
            <w:gridSpan w:val="2"/>
            <w:shd w:val="clear" w:color="auto" w:fill="auto"/>
            <w:vAlign w:val="bottom"/>
          </w:tcPr>
          <w:p w:rsidR="001D5851" w:rsidRPr="00DE475B" w:rsidRDefault="001D5851" w:rsidP="00D25526">
            <w:pPr>
              <w:rPr>
                <w:rFonts w:ascii="Arial" w:hAnsi="Arial" w:cs="Arial"/>
                <w:sz w:val="20"/>
                <w:szCs w:val="20"/>
              </w:rPr>
            </w:pPr>
            <w:r w:rsidRPr="00DE475B">
              <w:rPr>
                <w:rFonts w:ascii="Arial" w:hAnsi="Arial" w:cs="Arial"/>
                <w:b/>
                <w:bCs/>
                <w:sz w:val="20"/>
                <w:szCs w:val="20"/>
              </w:rPr>
              <w:t>Total</w:t>
            </w:r>
          </w:p>
        </w:tc>
        <w:tc>
          <w:tcPr>
            <w:tcW w:w="1583" w:type="dxa"/>
            <w:shd w:val="clear" w:color="auto" w:fill="auto"/>
            <w:vAlign w:val="bottom"/>
          </w:tcPr>
          <w:p w:rsidR="001D5851" w:rsidRPr="00DE475B" w:rsidRDefault="001D5851" w:rsidP="00D25526">
            <w:pPr>
              <w:snapToGrid w:val="0"/>
              <w:rPr>
                <w:rFonts w:ascii="Arial" w:hAnsi="Arial" w:cs="Arial"/>
                <w:sz w:val="20"/>
                <w:szCs w:val="20"/>
              </w:rPr>
            </w:pPr>
          </w:p>
        </w:tc>
        <w:tc>
          <w:tcPr>
            <w:tcW w:w="2350" w:type="dxa"/>
            <w:shd w:val="clear" w:color="auto" w:fill="auto"/>
            <w:vAlign w:val="bottom"/>
          </w:tcPr>
          <w:p w:rsidR="001D5851" w:rsidRPr="00DE475B" w:rsidRDefault="001D5851" w:rsidP="00D25526">
            <w:pPr>
              <w:snapToGrid w:val="0"/>
              <w:rPr>
                <w:rFonts w:ascii="Arial" w:hAnsi="Arial" w:cs="Arial"/>
                <w:sz w:val="20"/>
                <w:szCs w:val="20"/>
              </w:rPr>
            </w:pPr>
          </w:p>
        </w:tc>
        <w:tc>
          <w:tcPr>
            <w:tcW w:w="971" w:type="dxa"/>
            <w:tcBorders>
              <w:top w:val="single" w:sz="12" w:space="0" w:color="000000"/>
              <w:bottom w:val="single" w:sz="12" w:space="0" w:color="000000"/>
            </w:tcBorders>
            <w:shd w:val="clear" w:color="auto" w:fill="auto"/>
            <w:vAlign w:val="center"/>
          </w:tcPr>
          <w:p w:rsidR="001D5851" w:rsidRPr="00DE475B" w:rsidRDefault="00DD15CE" w:rsidP="00CF5257">
            <w:pPr>
              <w:jc w:val="right"/>
              <w:rPr>
                <w:rFonts w:ascii="Arial" w:hAnsi="Arial" w:cs="Arial"/>
                <w:sz w:val="20"/>
                <w:szCs w:val="20"/>
              </w:rPr>
            </w:pPr>
            <w:r>
              <w:rPr>
                <w:rFonts w:ascii="Arial" w:hAnsi="Arial" w:cs="Arial"/>
                <w:sz w:val="20"/>
                <w:szCs w:val="20"/>
              </w:rPr>
              <w:t>123,254</w:t>
            </w:r>
          </w:p>
        </w:tc>
        <w:tc>
          <w:tcPr>
            <w:tcW w:w="971" w:type="dxa"/>
            <w:tcBorders>
              <w:top w:val="single" w:sz="12" w:space="0" w:color="000000"/>
              <w:bottom w:val="single" w:sz="12" w:space="0" w:color="000000"/>
            </w:tcBorders>
            <w:shd w:val="clear" w:color="auto" w:fill="auto"/>
            <w:vAlign w:val="center"/>
          </w:tcPr>
          <w:p w:rsidR="001D5851" w:rsidRPr="00DE475B" w:rsidRDefault="001D5851" w:rsidP="00A2292F">
            <w:pPr>
              <w:jc w:val="right"/>
              <w:rPr>
                <w:rFonts w:ascii="Arial" w:hAnsi="Arial" w:cs="Arial"/>
                <w:sz w:val="20"/>
                <w:szCs w:val="20"/>
              </w:rPr>
            </w:pPr>
            <w:r w:rsidRPr="00DE475B">
              <w:rPr>
                <w:rFonts w:ascii="Arial" w:hAnsi="Arial" w:cs="Arial"/>
                <w:sz w:val="20"/>
                <w:szCs w:val="20"/>
              </w:rPr>
              <w:t>106,176</w:t>
            </w:r>
          </w:p>
        </w:tc>
        <w:tc>
          <w:tcPr>
            <w:tcW w:w="971" w:type="dxa"/>
            <w:tcBorders>
              <w:top w:val="single" w:sz="12" w:space="0" w:color="000000"/>
              <w:bottom w:val="single" w:sz="12" w:space="0" w:color="000000"/>
            </w:tcBorders>
            <w:shd w:val="clear" w:color="auto" w:fill="auto"/>
            <w:vAlign w:val="center"/>
          </w:tcPr>
          <w:p w:rsidR="001D5851" w:rsidRPr="00DE475B" w:rsidRDefault="00DD15CE" w:rsidP="00A2292F">
            <w:pPr>
              <w:jc w:val="right"/>
              <w:rPr>
                <w:rFonts w:ascii="Arial" w:hAnsi="Arial" w:cs="Arial"/>
                <w:sz w:val="20"/>
                <w:szCs w:val="20"/>
              </w:rPr>
            </w:pPr>
            <w:r>
              <w:rPr>
                <w:rFonts w:ascii="Arial" w:hAnsi="Arial" w:cs="Arial"/>
                <w:sz w:val="20"/>
                <w:szCs w:val="20"/>
              </w:rPr>
              <w:t>123,254</w:t>
            </w:r>
          </w:p>
        </w:tc>
        <w:tc>
          <w:tcPr>
            <w:tcW w:w="971" w:type="dxa"/>
            <w:tcBorders>
              <w:top w:val="single" w:sz="12" w:space="0" w:color="000000"/>
              <w:bottom w:val="single" w:sz="12" w:space="0" w:color="000000"/>
            </w:tcBorders>
            <w:shd w:val="clear" w:color="auto" w:fill="auto"/>
            <w:vAlign w:val="center"/>
          </w:tcPr>
          <w:p w:rsidR="001D5851" w:rsidRPr="00DE475B" w:rsidRDefault="001D5851" w:rsidP="00A2292F">
            <w:pPr>
              <w:jc w:val="right"/>
              <w:rPr>
                <w:rFonts w:ascii="Arial" w:hAnsi="Arial" w:cs="Arial"/>
                <w:sz w:val="20"/>
                <w:szCs w:val="20"/>
              </w:rPr>
            </w:pPr>
            <w:r w:rsidRPr="00DE475B">
              <w:rPr>
                <w:rFonts w:ascii="Arial" w:hAnsi="Arial" w:cs="Arial"/>
                <w:sz w:val="20"/>
                <w:szCs w:val="20"/>
              </w:rPr>
              <w:t>106,176</w:t>
            </w:r>
          </w:p>
        </w:tc>
      </w:tr>
    </w:tbl>
    <w:p w:rsidR="008232F0" w:rsidRPr="00DE475B" w:rsidRDefault="008232F0" w:rsidP="00933C84">
      <w:pPr>
        <w:tabs>
          <w:tab w:val="left" w:pos="504"/>
          <w:tab w:val="left" w:pos="5878"/>
        </w:tabs>
        <w:spacing w:after="120"/>
        <w:rPr>
          <w:rFonts w:ascii="Arial" w:hAnsi="Arial" w:cs="Arial"/>
          <w:spacing w:val="-2"/>
          <w:sz w:val="20"/>
          <w:szCs w:val="20"/>
        </w:rPr>
        <w:sectPr w:rsidR="008232F0" w:rsidRPr="00DE475B" w:rsidSect="00B53922">
          <w:type w:val="continuous"/>
          <w:pgSz w:w="11906" w:h="16838"/>
          <w:pgMar w:top="1440" w:right="1701" w:bottom="1440" w:left="1701" w:header="680" w:footer="680" w:gutter="0"/>
          <w:cols w:space="720"/>
          <w:docGrid w:linePitch="360"/>
        </w:sectPr>
      </w:pPr>
    </w:p>
    <w:p w:rsidR="00384F29" w:rsidRPr="00DE475B" w:rsidRDefault="00373FFE" w:rsidP="00384F29">
      <w:pPr>
        <w:pStyle w:val="ARbodytext"/>
        <w:rPr>
          <w:b/>
          <w:bCs/>
        </w:rPr>
      </w:pPr>
      <w:r w:rsidRPr="00DE475B">
        <w:rPr>
          <w:noProof/>
          <w:lang w:eastAsia="en-AU"/>
        </w:rPr>
        <w:lastRenderedPageBreak/>
        <mc:AlternateContent>
          <mc:Choice Requires="wps">
            <w:drawing>
              <wp:anchor distT="0" distB="0" distL="114300" distR="114300" simplePos="0" relativeHeight="251702272" behindDoc="0" locked="0" layoutInCell="1" allowOverlap="1" wp14:anchorId="78BBC656" wp14:editId="56B4CA7A">
                <wp:simplePos x="0" y="0"/>
                <wp:positionH relativeFrom="column">
                  <wp:posOffset>-532183</wp:posOffset>
                </wp:positionH>
                <wp:positionV relativeFrom="paragraph">
                  <wp:posOffset>-37148</wp:posOffset>
                </wp:positionV>
                <wp:extent cx="303530" cy="340995"/>
                <wp:effectExtent l="0" t="0" r="0" b="1587"/>
                <wp:wrapNone/>
                <wp:docPr id="44"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03530" cy="340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51632B" w:rsidRDefault="0051632B" w:rsidP="00384F29">
                            <w:pPr>
                              <w:rPr>
                                <w:rFonts w:ascii="Arial" w:hAnsi="Arial" w:cs="Arial"/>
                                <w:sz w:val="20"/>
                                <w:szCs w:val="20"/>
                              </w:rPr>
                            </w:pPr>
                            <w:r>
                              <w:rPr>
                                <w:rFonts w:ascii="Arial" w:hAnsi="Arial" w:cs="Arial"/>
                                <w:sz w:val="20"/>
                                <w:szCs w:val="20"/>
                              </w:rPr>
                              <w:t>62</w:t>
                            </w:r>
                          </w:p>
                        </w:txbxContent>
                      </wps:txbx>
                      <wps:bodyPr rot="0" vert="horz"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298" o:spid="_x0000_s1029" type="#_x0000_t202" style="position:absolute;margin-left:-41.9pt;margin-top:-2.95pt;width:23.9pt;height:26.8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GW7QIAAHgGAAAOAAAAZHJzL2Uyb0RvYy54bWysVduOmzAQfa/Uf7D8zgLBJICWVAkJVaXt&#10;RdrtBzhgAirY1HZCtlX/vWMnm7DZPlTd8oBszzA+Z2bOcPvu0LVoz6RqBE+xf+NhxHghyoZvU/z1&#10;IXcijJSmvKSt4CzFj0zhd/O3b26HPmETUYu2ZBJBEK6SoU9xrXWfuK4qatZRdSN6xsFYCdlRDVu5&#10;dUtJB4jete7E86buIGTZS1EwpeB0dTTiuY1fVazQn6tKMY3aFAM2bd/Svjfm7c5vabKVtK+b4gSD&#10;/gOKjjYcLj2HWlFN0U42L0J1TSGFEpW+KUTniqpqCmY5ABvfu2JzX9OeWS6QHNWf06T+X9ji0/6L&#10;RE2ZYkIw4rSDGj2wg0ZLcUCTODIJGnqVgN99D576AAYotCWr+jtRfFOIi6ymfMsWUoqhZrQEgL75&#10;0h19eoyjTJDN8FGUcBHdaWEDHSrZISmgOiHxzGNPITsI7oKyPZ5LZaAVcBh4QRiApQBTQLw4Du19&#10;NDGhTCF6qfR7JjpkFimW0Ak2KN3fKW2gXVyMOxd507a2G1r+7AAcjyfMttPxa5oAEFgaTwPJlvpn&#10;7MXraB0Rh0yma4d4q5WzyDPiTHN/Fq6CVZat/F8GhU+SuilLxs2lT23nk78r60kAx4Y5N54SbVOa&#10;cAaSkttN1kq0p9D2uX1O6Rm5uc9h2JQAlytK/oR4y0ns5NNo5pCchE488yLH8+NlPPVITFb5c0p3&#10;DWevp4SGFMfhJLQ1G4G+4haQabjIX3KjiRQ7Xtp6moZcn9aaNu1xPWJvEP+Z/SIPvRkJImc2CwOH&#10;BGvPWUZ55iwyfzqdrZfZcn1V0LVtEvX6BNgyjDpuhPd0xwUytOhTO1rFGZEd5aYPm4NVd2ByZNS4&#10;EeUjSNCKDfQDoxvUUQv5A6MBxmCK1fcdlQyj9gMHGZNwNjFz025inxDYyLFlM7ZQXkCoFGuMjstM&#10;21lryHCxALlXjRXfBQmwMBsYb5bPaRSb+TneW6/LD2P+GwAA//8DAFBLAwQUAAYACAAAACEAIs5e&#10;yOAAAAAJAQAADwAAAGRycy9kb3ducmV2LnhtbEyPwW7CMBBE75X6D9Yi9RYcIEIQ4qC2Ug8plSqg&#10;H2AnSxIRr6PYQPj7bk/ltqMdzbzJtqPtxBUH3zpSMJvGIJBKV7VUK/g5fkQrED5oqnTnCBXc0cM2&#10;f37KdFq5G+3xegi14BDyqVbQhNCnUvqyQav91PVI/Du5werAcqhlNegbh9tOzuN4Ka1uiRsa3eN7&#10;g+X5cLEKTm/F3nzdk2JXm3A232Nx/Nz1Sr1MxtcNiIBj+DfDHz6jQ85Mxl2o8qJTEK2WjB74mK9B&#10;sCFaLGYgjIIkWYPMM/m4IP8FAAD//wMAUEsBAi0AFAAGAAgAAAAhALaDOJL+AAAA4QEAABMAAAAA&#10;AAAAAAAAAAAAAAAAAFtDb250ZW50X1R5cGVzXS54bWxQSwECLQAUAAYACAAAACEAOP0h/9YAAACU&#10;AQAACwAAAAAAAAAAAAAAAAAvAQAAX3JlbHMvLnJlbHNQSwECLQAUAAYACAAAACEAEwrxlu0CAAB4&#10;BgAADgAAAAAAAAAAAAAAAAAuAgAAZHJzL2Uyb0RvYy54bWxQSwECLQAUAAYACAAAACEAIs5eyOAA&#10;AAAJAQAADwAAAAAAAAAAAAAAAABHBQAAZHJzL2Rvd25yZXYueG1sUEsFBgAAAAAEAAQA8wAAAFQG&#10;AAAAAA==&#10;" filled="f" stroked="f" strokecolor="#3465af">
                <v:stroke joinstyle="round"/>
                <v:textbox inset="3.6pt,7.2pt,3.6pt,7.2pt">
                  <w:txbxContent>
                    <w:p w:rsidR="0051632B" w:rsidRDefault="0051632B" w:rsidP="00384F29">
                      <w:pPr>
                        <w:rPr>
                          <w:rFonts w:ascii="Arial" w:hAnsi="Arial" w:cs="Arial"/>
                          <w:sz w:val="20"/>
                          <w:szCs w:val="20"/>
                        </w:rPr>
                      </w:pPr>
                      <w:r>
                        <w:rPr>
                          <w:rFonts w:ascii="Arial" w:hAnsi="Arial" w:cs="Arial"/>
                          <w:sz w:val="20"/>
                          <w:szCs w:val="20"/>
                        </w:rPr>
                        <w:t>62</w:t>
                      </w:r>
                    </w:p>
                  </w:txbxContent>
                </v:textbox>
              </v:shape>
            </w:pict>
          </mc:Fallback>
        </mc:AlternateContent>
      </w:r>
      <w:r w:rsidRPr="00DE475B">
        <w:rPr>
          <w:noProof/>
          <w:lang w:eastAsia="en-AU"/>
        </w:rPr>
        <mc:AlternateContent>
          <mc:Choice Requires="wps">
            <w:drawing>
              <wp:anchor distT="0" distB="0" distL="114300" distR="114300" simplePos="0" relativeHeight="251699200" behindDoc="0" locked="0" layoutInCell="1" allowOverlap="1" wp14:anchorId="70C88043" wp14:editId="56ED714A">
                <wp:simplePos x="0" y="0"/>
                <wp:positionH relativeFrom="column">
                  <wp:posOffset>-76200</wp:posOffset>
                </wp:positionH>
                <wp:positionV relativeFrom="paragraph">
                  <wp:posOffset>-93345</wp:posOffset>
                </wp:positionV>
                <wp:extent cx="9061450" cy="0"/>
                <wp:effectExtent l="9525" t="5715" r="6350" b="13335"/>
                <wp:wrapNone/>
                <wp:docPr id="43"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35pt" to="70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3/mQIAAHoFAAAOAAAAZHJzL2Uyb0RvYy54bWysVFFvmzAQfp+0/2D5nQIJIQkqqVoge+m2&#10;Su20ZwebYM3YzHZDoqn/fWcnYU33Mk1NJOSz7z5/d9+dr2/2nUA7pg1XMsfxVYQRk7WiXG5z/O1p&#10;HSwwMpZISoSSLMcHZvDN6uOH66HP2ES1SlCmEYBIkw19jltr+ywMTd2yjpgr1TMJh43SHbFg6m1I&#10;NRkAvRPhJIrScFCa9lrVzBjYLY+HeOXxm4bV9mvTGGaRyDFws/6r/XfjvuHqmmRbTfqW1yca5D9Y&#10;dIRLuHSEKokl6Fnzv6A6XmtlVGOvatWFqml4zXwOkE0cvcnmsSU987lAcUw/lsm8H2z9ZfegEac5&#10;TqYYSdKBRvdcMjRZzlxxht5k4FPIB+3Sq/fysb9X9Q+DpCpaIrfMk3w69BAYu4jwIsQZpocrNsNn&#10;RcGHPFvlK7VvdOcgoQZo7wU5jIKwvUU1bC6jNE5moFt9PgtJdg7stbGfmOqQW+RYAGsPTHb3xjoi&#10;JDu7uHukWnMhvN5CogHAp6lDJtB15qePNEpw6rycv9HbTSE02hHXOv7n04OT124dt9DAgnc5XoxO&#10;JGsZoZWk/jpLuDiugZKQDpz51jzyBGtvYen3IXHfNr+W0bJaVIskSCZpFSRRWQa36yIJ0nU8n5XT&#10;sijK+MWxjpOs5ZQy6YifWzhO/q1FTsN0bL6xicdShZfovqZA9pLp7XoWzZPpIpjPZ9MgmVZRcLdY&#10;F8FtEafpvLor7qo3TCufvXkfsmMpHSv1DGo8tnRAlLummM6WkxiDASM/mR/1QURs4a2qrcZIK/ud&#10;29b3sOs+h3Eh/CJy/5PwI/qxEGcNnTWqcMrtT6lA87O+fjTcNBznaqPo4UGfRwYG3AedHiP3gry2&#10;Yf36yVz9BgAA//8DAFBLAwQUAAYACAAAACEA4+ViPeAAAAAMAQAADwAAAGRycy9kb3ducmV2Lnht&#10;bEyPT0vDQBDF74LfYRnBi7Sb1PiHmE0RQTwI0tZS8bbNjkkwOxt2p0389m5AqLeZN483v1csR9uJ&#10;I/rQOlKQzhMQSJUzLdUKtu/Ps3sQgTUZ3TlCBT8YYFmenxU6N26gNR43XIsYQiHXChrmPpcyVA1a&#10;HeauR4q3L+et5rj6WhqvhxhuO7lIkltpdUvxQ6N7fGqw+t4crII3P7SBr7Nshfy5e3n9aFZXdq3U&#10;5cX4+ACCceSTGSb8iA5lZNq7A5kgOgWzdBG78DRkdyAmR5beRGn/J8mykP9LlL8AAAD//wMAUEsB&#10;Ai0AFAAGAAgAAAAhALaDOJL+AAAA4QEAABMAAAAAAAAAAAAAAAAAAAAAAFtDb250ZW50X1R5cGVz&#10;XS54bWxQSwECLQAUAAYACAAAACEAOP0h/9YAAACUAQAACwAAAAAAAAAAAAAAAAAvAQAAX3JlbHMv&#10;LnJlbHNQSwECLQAUAAYACAAAACEAD2KN/5kCAAB6BQAADgAAAAAAAAAAAAAAAAAuAgAAZHJzL2Uy&#10;b0RvYy54bWxQSwECLQAUAAYACAAAACEA4+ViPeAAAAAMAQAADwAAAAAAAAAAAAAAAADzBAAAZHJz&#10;L2Rvd25yZXYueG1sUEsFBgAAAAAEAAQA8wAAAAAGAAAAAA==&#10;" strokeweight=".26mm">
                <v:stroke joinstyle="miter" endcap="square"/>
              </v:line>
            </w:pict>
          </mc:Fallback>
        </mc:AlternateContent>
      </w:r>
      <w:r w:rsidR="00384F29" w:rsidRPr="00DE475B">
        <w:rPr>
          <w:b/>
          <w:bCs/>
          <w:i/>
          <w:iCs/>
        </w:rPr>
        <w:t>Library Board of Queensland and controlled entities</w:t>
      </w:r>
    </w:p>
    <w:p w:rsidR="00384F29" w:rsidRPr="00DE475B" w:rsidRDefault="00384F29" w:rsidP="00384F29">
      <w:pPr>
        <w:rPr>
          <w:rFonts w:ascii="Arial" w:hAnsi="Arial" w:cs="Arial"/>
          <w:b/>
          <w:bCs/>
          <w:sz w:val="20"/>
          <w:szCs w:val="20"/>
        </w:rPr>
      </w:pPr>
      <w:r w:rsidRPr="00DE475B">
        <w:rPr>
          <w:rFonts w:ascii="Arial" w:hAnsi="Arial" w:cs="Arial"/>
          <w:b/>
          <w:bCs/>
          <w:sz w:val="20"/>
          <w:szCs w:val="20"/>
        </w:rPr>
        <w:t>STATEMENTS OF CHANGES IN EQUITY</w:t>
      </w:r>
    </w:p>
    <w:p w:rsidR="00384F29" w:rsidRPr="00DE475B" w:rsidRDefault="00373FFE" w:rsidP="00384F29">
      <w:pPr>
        <w:spacing w:after="120"/>
      </w:pPr>
      <w:r w:rsidRPr="00DE475B">
        <w:rPr>
          <w:noProof/>
          <w:lang w:eastAsia="en-AU"/>
        </w:rPr>
        <mc:AlternateContent>
          <mc:Choice Requires="wps">
            <w:drawing>
              <wp:anchor distT="0" distB="0" distL="114300" distR="114300" simplePos="0" relativeHeight="251700224" behindDoc="0" locked="0" layoutInCell="1" allowOverlap="1" wp14:anchorId="6E2013E6" wp14:editId="5FA84D99">
                <wp:simplePos x="0" y="0"/>
                <wp:positionH relativeFrom="column">
                  <wp:posOffset>-76200</wp:posOffset>
                </wp:positionH>
                <wp:positionV relativeFrom="paragraph">
                  <wp:posOffset>165735</wp:posOffset>
                </wp:positionV>
                <wp:extent cx="9061450" cy="0"/>
                <wp:effectExtent l="9525" t="13970" r="6350" b="5080"/>
                <wp:wrapNone/>
                <wp:docPr id="4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05pt" to="70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KNmQIAAHoFAAAOAAAAZHJzL2Uyb0RvYy54bWysVF1vmzAUfZ+0/2DxToGEEIJKqpaQvXRb&#10;pXbas4NNsGZsZrsh0dT/vmsTWNO9TFMTCfnj+vjce8719c2x5ehAlWZS5F50FXqIikoSJva59+1p&#10;66ce0gYLgrkUNPdOVHs3648frvsuozPZSE6oQgAidNZ3udcY02VBoKuGtlhfyY4K2KylarGBqdoH&#10;ROEe0FsezMIwCXqpSKdkRbWG1c2w6a0dfl3Tynyta00N4rkH3Iz7Kvfd2W+wvsbZXuGuYdWZBv4P&#10;Fi1mAi6doDbYYPSs2F9QLauU1LI2V5VsA1nXrKIuB8gmCt9k89jgjrpcoDi6m8qk3w+2+nJ4UIiR&#10;3IsjDwncgkb3TFA0WyW2OH2nM4gpxIOy6VVH8djdy+qHRkIWDRZ76kg+nTo4GNkTwcURO9EdXLHr&#10;P0sCMfjZSFepY61aCwk1QEcnyGkShB4NqmBxFSZRvADdqnEvwNl4sFPafKKyRXaQexxYO2B8uNfG&#10;EsHZGGLvEXLLOHd6c4F6AJ8nFhmD6/RPd1JLzoiNsvFa7XcFV+iArXXcz6UHO6/DWmbAwJy1uZdO&#10;QThrKCalIO46gxkfxkCJCwtOnTUHnjA7Ghi6dUjc2ebXKlyVaZnGfjxLSj8ONxv/dlvEfrKNlovN&#10;fFMUm+jFso7irGGEUGGJjxaO4n+zyLmZBvNNJp5KFVyiu5oC2Uumt9tFuIznqb9cLuZ+PC9D/y7d&#10;Fv5tESXJsrwr7so3TEuXvX4fslMpLSv5DGo8NqRHhFlTzBerGfiaMGj52XLQB2G+h7eqMspDSprv&#10;zDTOw9Z9FuNC+DS0/7PwE/pQiFFDO5tUOOf2p1Sg+aivaw3bDUNf7SQ5PaixZaDB3aHzY2RfkNdz&#10;GL9+Mte/AQAA//8DAFBLAwQUAAYACAAAACEA8llGRN8AAAAKAQAADwAAAGRycy9kb3ducmV2Lnht&#10;bEyPQUvDQBCF74L/YRnBi7SbxFgkZlNEEA+CtFVavG2zYzaYnQ3ZaRP/vVt60OO8ebz3vXI5uU4c&#10;cQitJwXpPAGBVHvTUqPg4/15dg8isCajO0+o4AcDLKvLi1IXxo+0xuOGGxFDKBRagWXuCylDbdHp&#10;MPc9Uvx9+cFpjufQSDPoMYa7TmZJspBOtxQbrO7xyWL9vTk4BW/D2Aa+zfMV8uf25XVnVzdurdT1&#10;1fT4AIJx4j8znPAjOlSRae8PZILoFMzSLG5hBdkiBXEy5OldVPZnRVal/D+h+gUAAP//AwBQSwEC&#10;LQAUAAYACAAAACEAtoM4kv4AAADhAQAAEwAAAAAAAAAAAAAAAAAAAAAAW0NvbnRlbnRfVHlwZXNd&#10;LnhtbFBLAQItABQABgAIAAAAIQA4/SH/1gAAAJQBAAALAAAAAAAAAAAAAAAAAC8BAABfcmVscy8u&#10;cmVsc1BLAQItABQABgAIAAAAIQD3dmKNmQIAAHoFAAAOAAAAAAAAAAAAAAAAAC4CAABkcnMvZTJv&#10;RG9jLnhtbFBLAQItABQABgAIAAAAIQDyWUZE3wAAAAoBAAAPAAAAAAAAAAAAAAAAAPMEAABkcnMv&#10;ZG93bnJldi54bWxQSwUGAAAAAAQABADzAAAA/wUAAAAA&#10;" strokeweight=".26mm">
                <v:stroke joinstyle="miter" endcap="square"/>
              </v:line>
            </w:pict>
          </mc:Fallback>
        </mc:AlternateContent>
      </w:r>
      <w:r w:rsidR="00F41C43">
        <w:rPr>
          <w:rFonts w:ascii="Arial" w:hAnsi="Arial" w:cs="Arial"/>
          <w:b/>
          <w:bCs/>
          <w:sz w:val="20"/>
          <w:szCs w:val="20"/>
        </w:rPr>
        <w:t>For the year ended 30 June 2017</w:t>
      </w:r>
    </w:p>
    <w:p w:rsidR="00384F29" w:rsidRPr="00DE475B" w:rsidRDefault="00384F29" w:rsidP="00384F29">
      <w:pPr>
        <w:pStyle w:val="ARbodytext"/>
      </w:pPr>
    </w:p>
    <w:p w:rsidR="008232F0" w:rsidRPr="00DE475B" w:rsidRDefault="00384F29" w:rsidP="00384F29">
      <w:pPr>
        <w:pStyle w:val="ARheading3"/>
        <w:tabs>
          <w:tab w:val="left" w:pos="851"/>
        </w:tabs>
        <w:spacing w:after="120"/>
        <w:rPr>
          <w:color w:val="808080"/>
        </w:rPr>
      </w:pPr>
      <w:r w:rsidRPr="00DE475B">
        <w:rPr>
          <w:color w:val="808080"/>
        </w:rPr>
        <w:t>C4 Property, plant and equipment (continued)</w:t>
      </w:r>
    </w:p>
    <w:p w:rsidR="001D5851" w:rsidRDefault="001D5851" w:rsidP="00384F29">
      <w:pPr>
        <w:tabs>
          <w:tab w:val="left" w:pos="284"/>
        </w:tabs>
        <w:rPr>
          <w:rFonts w:ascii="Arial" w:hAnsi="Arial" w:cs="Arial"/>
          <w:b/>
          <w:bCs/>
          <w:sz w:val="20"/>
          <w:szCs w:val="20"/>
        </w:rPr>
      </w:pPr>
      <w:r w:rsidRPr="00DE475B">
        <w:rPr>
          <w:rFonts w:ascii="Arial" w:hAnsi="Arial" w:cs="Arial"/>
          <w:b/>
          <w:bCs/>
          <w:sz w:val="20"/>
          <w:szCs w:val="20"/>
        </w:rPr>
        <w:t>C4-2 Property, plant and equipment — Cost</w:t>
      </w:r>
      <w:r>
        <w:rPr>
          <w:rFonts w:ascii="Arial" w:hAnsi="Arial" w:cs="Arial"/>
          <w:b/>
          <w:bCs/>
          <w:sz w:val="20"/>
          <w:szCs w:val="20"/>
        </w:rPr>
        <w:t xml:space="preserve"> (continued)</w:t>
      </w:r>
    </w:p>
    <w:p w:rsidR="001D5851" w:rsidRPr="00DE475B" w:rsidRDefault="00E22BD7" w:rsidP="00652F6C">
      <w:pPr>
        <w:tabs>
          <w:tab w:val="left" w:pos="504"/>
          <w:tab w:val="left" w:pos="5878"/>
        </w:tabs>
        <w:spacing w:after="120"/>
        <w:rPr>
          <w:rFonts w:ascii="Arial" w:hAnsi="Arial" w:cs="Arial"/>
          <w:spacing w:val="-2"/>
          <w:sz w:val="20"/>
          <w:szCs w:val="20"/>
        </w:rPr>
      </w:pPr>
      <w:r w:rsidRPr="00DE475B">
        <w:rPr>
          <w:noProof/>
          <w:lang w:eastAsia="en-AU"/>
        </w:rPr>
        <mc:AlternateContent>
          <mc:Choice Requires="wps">
            <w:drawing>
              <wp:anchor distT="0" distB="0" distL="114300" distR="114300" simplePos="0" relativeHeight="251701248" behindDoc="0" locked="0" layoutInCell="1" allowOverlap="1" wp14:anchorId="56B5C7EA" wp14:editId="16C333FA">
                <wp:simplePos x="0" y="0"/>
                <wp:positionH relativeFrom="margin">
                  <wp:posOffset>7864157</wp:posOffset>
                </wp:positionH>
                <wp:positionV relativeFrom="page">
                  <wp:posOffset>2210489</wp:posOffset>
                </wp:positionV>
                <wp:extent cx="2826385" cy="314960"/>
                <wp:effectExtent l="0" t="1587" r="0" b="0"/>
                <wp:wrapNone/>
                <wp:docPr id="4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26385" cy="314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51632B" w:rsidRDefault="0051632B" w:rsidP="00384F29">
                            <w:pPr>
                              <w:tabs>
                                <w:tab w:val="center" w:pos="4320"/>
                                <w:tab w:val="right" w:pos="8640"/>
                              </w:tabs>
                              <w:rPr>
                                <w:rFonts w:ascii="Arial" w:hAnsi="Arial" w:cs="Arial"/>
                                <w:sz w:val="18"/>
                                <w:szCs w:val="18"/>
                              </w:rPr>
                            </w:pPr>
                            <w:r>
                              <w:rPr>
                                <w:rFonts w:ascii="Arial" w:hAnsi="Arial" w:cs="Arial"/>
                                <w:sz w:val="18"/>
                                <w:szCs w:val="18"/>
                              </w:rPr>
                              <w:t>Library Board of Queensland Annual Report 2016–17</w:t>
                            </w:r>
                          </w:p>
                          <w:p w:rsidR="0051632B" w:rsidRDefault="0051632B" w:rsidP="00384F29"/>
                        </w:txbxContent>
                      </wps:txbx>
                      <wps:bodyPr rot="0" vert="horz"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297" o:spid="_x0000_s1030" type="#_x0000_t202" style="position:absolute;margin-left:619.2pt;margin-top:174.05pt;width:222.55pt;height:24.8pt;rotation:90;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JH7wIAAHkGAAAOAAAAZHJzL2Uyb0RvYy54bWysVdtu2zAMfR+wfxD07voS+Yo6Q+LEw4Du&#10;ArT7AMWWY2O25ElqnW7Yv4+S0zRt9zCs84MhiTR1Dg9JX747DD26Y1J1gufYv/AwYrwSdcf3Of56&#10;UzoJRkpTXtNecJbje6bwu+XbN5fTmLFAtKKvmUQQhKtsGnPcaj1mrquqlg1UXYiRcTA2Qg5Uw1bu&#10;3VrSCaIPvRt4XuROQtajFBVTCk43sxEvbfymYZX+3DSKadTnGLBp+5b2vTNvd3lJs72kY9tVRxj0&#10;H1AMtONw6SnUhmqKbmX3ItTQVVIo0eiLSgyuaJquYpYDsPG9Z2yuWzoyywWSo8ZTmtT/C1t9uvsi&#10;UVfnmAQYcTqARjfsoNFaHFCQxiZB06gy8LsewVMfwABCW7JqvBLVN4W4KFrK92wlpZhaRmsA6Jsv&#10;3bNP5zjKBNlNH0UNF9FbLWygQyMHJAWoExLPPPYUsoPgLpDt/iSVgVbBYZAE0SIJMarAtvBJGlkt&#10;XZqZWEaJUSr9nokBmUWOJZSCjUrvrpQ22B5djDsXZdf3thx6/uQAHOcTZutp/ppmgASWxtNgslr/&#10;TL10m2wT4pAg2jrE22ycVVkQJyr9ONwsNkWx8X8ZFD7J2q6uGTeXPtSdT/5O12MHzBVzqjwl+q42&#10;4QwkJfe7opfojkLdl/axeoDl0c19CsOmBLg8o+QHxFsHqVNGSeyQkoROGnuJ4/npGpJOUrIpn1K6&#10;6jh7PSU05TgNg9Bqdgb6GbcFicJV+ZIbzaS45bXV01Tk9rjWtOvn9Rl7g/jP7Fdl6MVkkThxHC4c&#10;sth6zjopC2dV+FEUb9fFevtM0K0tEvX6BFgZziruDO/xjkfIUKIP5WhbznTZ3G/6sDvM7f3QyTtR&#10;30MP2m6D1oLZDd3RCvkDownmYI7V91sqGUb9Bw59TMI4MIPTblKfENjIc8vu3EJ5BaFyrDGal4W2&#10;w9aQ4WIF/d50tvnMYJiRAAuzgflm+RxnsRmg53vr9fjHWP4GAAD//wMAUEsDBBQABgAIAAAAIQAx&#10;53hx4gAAAA0BAAAPAAAAZHJzL2Rvd25yZXYueG1sTI9NbsIwEIX3lXoHayp1VxwgQTTEQW2lLlIq&#10;VUAPYCdDEhGPo9hAuH2HVdnN03x6P9l6tJ044+BbRwqmkwgEUumqlmoFv/vPlyUIHzRVunOECq7o&#10;YZ0/PmQ6rdyFtnjehVqwCflUK2hC6FMpfdmg1X7ieiT+HdxgdWA51LIa9IXNbSdnUbSQVrfECY3u&#10;8aPB8rg7WQWH92Jrvq9xsalNOJqfsdh/bXqlnp/GtxWIgGP4h+FWn6tDzp2MO1HlRcc6ni9mzPKV&#10;RHMQNyReJjzHKEhekxhknsn7FfkfAAAA//8DAFBLAQItABQABgAIAAAAIQC2gziS/gAAAOEBAAAT&#10;AAAAAAAAAAAAAAAAAAAAAABbQ29udGVudF9UeXBlc10ueG1sUEsBAi0AFAAGAAgAAAAhADj9If/W&#10;AAAAlAEAAAsAAAAAAAAAAAAAAAAALwEAAF9yZWxzLy5yZWxzUEsBAi0AFAAGAAgAAAAhAIGvIkfv&#10;AgAAeQYAAA4AAAAAAAAAAAAAAAAALgIAAGRycy9lMm9Eb2MueG1sUEsBAi0AFAAGAAgAAAAhADHn&#10;eHHiAAAADQEAAA8AAAAAAAAAAAAAAAAASQUAAGRycy9kb3ducmV2LnhtbFBLBQYAAAAABAAEAPMA&#10;AABYBgAAAAA=&#10;" filled="f" stroked="f" strokecolor="#3465af">
                <v:stroke joinstyle="round"/>
                <v:textbox inset="3.6pt,7.2pt,3.6pt,7.2pt">
                  <w:txbxContent>
                    <w:p w:rsidR="0051632B" w:rsidRDefault="0051632B" w:rsidP="00384F29">
                      <w:pPr>
                        <w:tabs>
                          <w:tab w:val="center" w:pos="4320"/>
                          <w:tab w:val="right" w:pos="8640"/>
                        </w:tabs>
                        <w:rPr>
                          <w:rFonts w:ascii="Arial" w:hAnsi="Arial" w:cs="Arial"/>
                          <w:sz w:val="18"/>
                          <w:szCs w:val="18"/>
                        </w:rPr>
                      </w:pPr>
                      <w:r>
                        <w:rPr>
                          <w:rFonts w:ascii="Arial" w:hAnsi="Arial" w:cs="Arial"/>
                          <w:sz w:val="18"/>
                          <w:szCs w:val="18"/>
                        </w:rPr>
                        <w:t>Library Board of Queensland Annual Report 2016–17</w:t>
                      </w:r>
                    </w:p>
                    <w:p w:rsidR="0051632B" w:rsidRDefault="0051632B" w:rsidP="00384F29"/>
                  </w:txbxContent>
                </v:textbox>
                <w10:wrap anchorx="margin" anchory="page"/>
              </v:shape>
            </w:pict>
          </mc:Fallback>
        </mc:AlternateContent>
      </w:r>
      <w:r w:rsidR="001D5851" w:rsidRPr="00DE475B">
        <w:rPr>
          <w:rFonts w:ascii="Arial" w:hAnsi="Arial" w:cs="Arial"/>
          <w:spacing w:val="-2"/>
          <w:sz w:val="20"/>
          <w:szCs w:val="20"/>
        </w:rPr>
        <w:t>The library has property, plant and equipment with an original cost of $</w:t>
      </w:r>
      <w:r w:rsidR="009C6853">
        <w:rPr>
          <w:rFonts w:ascii="Arial" w:hAnsi="Arial" w:cs="Arial"/>
          <w:spacing w:val="-2"/>
          <w:sz w:val="20"/>
          <w:szCs w:val="20"/>
        </w:rPr>
        <w:t>2</w:t>
      </w:r>
      <w:r w:rsidR="001D5851" w:rsidRPr="00DE475B">
        <w:rPr>
          <w:rFonts w:ascii="Arial" w:hAnsi="Arial" w:cs="Arial"/>
          <w:spacing w:val="-2"/>
          <w:sz w:val="20"/>
          <w:szCs w:val="20"/>
        </w:rPr>
        <w:t>.</w:t>
      </w:r>
      <w:r w:rsidR="009C6853">
        <w:rPr>
          <w:rFonts w:ascii="Arial" w:hAnsi="Arial" w:cs="Arial"/>
          <w:spacing w:val="-2"/>
          <w:sz w:val="20"/>
          <w:szCs w:val="20"/>
        </w:rPr>
        <w:t>066</w:t>
      </w:r>
      <w:r w:rsidR="001D5851" w:rsidRPr="00DE475B">
        <w:rPr>
          <w:rFonts w:ascii="Arial" w:hAnsi="Arial" w:cs="Arial"/>
          <w:spacing w:val="-2"/>
          <w:sz w:val="20"/>
          <w:szCs w:val="20"/>
        </w:rPr>
        <w:t>M that has been writte</w:t>
      </w:r>
      <w:r w:rsidR="009C6853">
        <w:rPr>
          <w:rFonts w:ascii="Arial" w:hAnsi="Arial" w:cs="Arial"/>
          <w:spacing w:val="-2"/>
          <w:sz w:val="20"/>
          <w:szCs w:val="20"/>
        </w:rPr>
        <w:t>n down to a residual value of $43,923</w:t>
      </w:r>
      <w:r w:rsidR="001D5851" w:rsidRPr="00DE475B">
        <w:rPr>
          <w:rFonts w:ascii="Arial" w:hAnsi="Arial" w:cs="Arial"/>
          <w:spacing w:val="-2"/>
          <w:sz w:val="20"/>
          <w:szCs w:val="20"/>
        </w:rPr>
        <w:t xml:space="preserve"> still being used in the provision of services. Included in this is collection related software assets with an original cost of $0.716M and a residual value of $</w:t>
      </w:r>
      <w:r w:rsidR="009C6853">
        <w:rPr>
          <w:rFonts w:ascii="Arial" w:hAnsi="Arial" w:cs="Arial"/>
          <w:spacing w:val="-2"/>
          <w:sz w:val="20"/>
          <w:szCs w:val="20"/>
        </w:rPr>
        <w:t>3,000</w:t>
      </w:r>
      <w:r w:rsidR="001D5851" w:rsidRPr="00DE475B">
        <w:rPr>
          <w:rFonts w:ascii="Arial" w:hAnsi="Arial" w:cs="Arial"/>
          <w:spacing w:val="-2"/>
          <w:sz w:val="20"/>
          <w:szCs w:val="20"/>
        </w:rPr>
        <w:t>.</w:t>
      </w:r>
    </w:p>
    <w:p w:rsidR="001D5851" w:rsidRPr="001D5851" w:rsidRDefault="001D5851" w:rsidP="001D5851">
      <w:pPr>
        <w:tabs>
          <w:tab w:val="left" w:pos="504"/>
          <w:tab w:val="left" w:pos="5878"/>
        </w:tabs>
        <w:spacing w:before="120" w:after="120"/>
        <w:rPr>
          <w:rFonts w:ascii="Arial" w:hAnsi="Arial" w:cs="Arial"/>
          <w:spacing w:val="-2"/>
          <w:sz w:val="20"/>
          <w:szCs w:val="20"/>
        </w:rPr>
      </w:pPr>
      <w:r w:rsidRPr="00DE475B">
        <w:rPr>
          <w:rFonts w:ascii="Arial" w:hAnsi="Arial" w:cs="Arial"/>
          <w:spacing w:val="-2"/>
          <w:sz w:val="20"/>
          <w:szCs w:val="20"/>
        </w:rPr>
        <w:t>The insured value of the expensed common use library collecti</w:t>
      </w:r>
      <w:r>
        <w:rPr>
          <w:rFonts w:ascii="Arial" w:hAnsi="Arial" w:cs="Arial"/>
          <w:spacing w:val="-2"/>
          <w:sz w:val="20"/>
          <w:szCs w:val="20"/>
        </w:rPr>
        <w:t>on is $</w:t>
      </w:r>
      <w:r w:rsidR="009C6853">
        <w:rPr>
          <w:rFonts w:ascii="Arial" w:hAnsi="Arial" w:cs="Arial"/>
          <w:spacing w:val="-2"/>
          <w:sz w:val="20"/>
          <w:szCs w:val="20"/>
        </w:rPr>
        <w:t>8</w:t>
      </w:r>
      <w:r>
        <w:rPr>
          <w:rFonts w:ascii="Arial" w:hAnsi="Arial" w:cs="Arial"/>
          <w:spacing w:val="-2"/>
          <w:sz w:val="20"/>
          <w:szCs w:val="20"/>
        </w:rPr>
        <w:t>.</w:t>
      </w:r>
      <w:r w:rsidR="009C6853">
        <w:rPr>
          <w:rFonts w:ascii="Arial" w:hAnsi="Arial" w:cs="Arial"/>
          <w:spacing w:val="-2"/>
          <w:sz w:val="20"/>
          <w:szCs w:val="20"/>
        </w:rPr>
        <w:t>823</w:t>
      </w:r>
      <w:r w:rsidR="002B27EC">
        <w:rPr>
          <w:rFonts w:ascii="Arial" w:hAnsi="Arial" w:cs="Arial"/>
          <w:spacing w:val="-2"/>
          <w:sz w:val="20"/>
          <w:szCs w:val="20"/>
        </w:rPr>
        <w:t>m (2016</w:t>
      </w:r>
      <w:r>
        <w:rPr>
          <w:rFonts w:ascii="Arial" w:hAnsi="Arial" w:cs="Arial"/>
          <w:spacing w:val="-2"/>
          <w:sz w:val="20"/>
          <w:szCs w:val="20"/>
        </w:rPr>
        <w:t>: $</w:t>
      </w:r>
      <w:r w:rsidR="009C6853">
        <w:rPr>
          <w:rFonts w:ascii="Arial" w:hAnsi="Arial" w:cs="Arial"/>
          <w:spacing w:val="-2"/>
          <w:sz w:val="20"/>
          <w:szCs w:val="20"/>
        </w:rPr>
        <w:t>10.771</w:t>
      </w:r>
      <w:r>
        <w:rPr>
          <w:rFonts w:ascii="Arial" w:hAnsi="Arial" w:cs="Arial"/>
          <w:spacing w:val="-2"/>
          <w:sz w:val="20"/>
          <w:szCs w:val="20"/>
        </w:rPr>
        <w:t>m).</w:t>
      </w:r>
    </w:p>
    <w:p w:rsidR="001D5851" w:rsidRDefault="001D5851" w:rsidP="00384F29">
      <w:pPr>
        <w:tabs>
          <w:tab w:val="left" w:pos="284"/>
        </w:tabs>
        <w:rPr>
          <w:rFonts w:ascii="Arial" w:hAnsi="Arial" w:cs="Arial"/>
          <w:b/>
          <w:bCs/>
          <w:sz w:val="20"/>
          <w:szCs w:val="20"/>
        </w:rPr>
      </w:pPr>
    </w:p>
    <w:p w:rsidR="00384F29" w:rsidRPr="00DE475B" w:rsidRDefault="00384F29" w:rsidP="00384F29">
      <w:pPr>
        <w:tabs>
          <w:tab w:val="left" w:pos="284"/>
        </w:tabs>
        <w:rPr>
          <w:rFonts w:ascii="Arial" w:hAnsi="Arial" w:cs="Arial"/>
          <w:b/>
          <w:bCs/>
          <w:sz w:val="20"/>
          <w:szCs w:val="20"/>
        </w:rPr>
      </w:pPr>
      <w:r w:rsidRPr="00DE475B">
        <w:rPr>
          <w:rFonts w:ascii="Arial" w:hAnsi="Arial" w:cs="Arial"/>
          <w:b/>
          <w:bCs/>
          <w:sz w:val="20"/>
          <w:szCs w:val="20"/>
        </w:rPr>
        <w:t xml:space="preserve">C4-3 Property, plant and equipment — </w:t>
      </w:r>
      <w:proofErr w:type="gramStart"/>
      <w:r w:rsidRPr="00DE475B">
        <w:rPr>
          <w:rFonts w:ascii="Arial" w:hAnsi="Arial" w:cs="Arial"/>
          <w:b/>
          <w:bCs/>
          <w:sz w:val="20"/>
          <w:szCs w:val="20"/>
        </w:rPr>
        <w:t>Balances</w:t>
      </w:r>
      <w:proofErr w:type="gramEnd"/>
      <w:r w:rsidRPr="00DE475B">
        <w:rPr>
          <w:rFonts w:ascii="Arial" w:hAnsi="Arial" w:cs="Arial"/>
          <w:b/>
          <w:bCs/>
          <w:sz w:val="20"/>
          <w:szCs w:val="20"/>
        </w:rPr>
        <w:t xml:space="preserve"> and reconciliations of carrying amount</w:t>
      </w:r>
    </w:p>
    <w:p w:rsidR="008232F0" w:rsidRPr="00DE475B" w:rsidRDefault="008232F0" w:rsidP="0012795B">
      <w:pPr>
        <w:pStyle w:val="ARbodytext"/>
      </w:pPr>
    </w:p>
    <w:tbl>
      <w:tblPr>
        <w:tblW w:w="14175" w:type="dxa"/>
        <w:tblInd w:w="108" w:type="dxa"/>
        <w:tblLayout w:type="fixed"/>
        <w:tblLook w:val="0000" w:firstRow="0" w:lastRow="0" w:firstColumn="0" w:lastColumn="0" w:noHBand="0" w:noVBand="0"/>
      </w:tblPr>
      <w:tblGrid>
        <w:gridCol w:w="4041"/>
        <w:gridCol w:w="1266"/>
        <w:gridCol w:w="1266"/>
        <w:gridCol w:w="1267"/>
        <w:gridCol w:w="1267"/>
        <w:gridCol w:w="1267"/>
        <w:gridCol w:w="1267"/>
        <w:gridCol w:w="1267"/>
        <w:gridCol w:w="1267"/>
      </w:tblGrid>
      <w:tr w:rsidR="002C449A" w:rsidRPr="00DE475B" w:rsidTr="00E92394">
        <w:trPr>
          <w:trHeight w:val="285"/>
        </w:trPr>
        <w:tc>
          <w:tcPr>
            <w:tcW w:w="4041" w:type="dxa"/>
            <w:shd w:val="clear" w:color="auto" w:fill="auto"/>
            <w:vAlign w:val="bottom"/>
          </w:tcPr>
          <w:p w:rsidR="002C449A" w:rsidRPr="00DE475B" w:rsidRDefault="002C449A" w:rsidP="002C449A">
            <w:pPr>
              <w:pStyle w:val="ARbodytext"/>
            </w:pPr>
          </w:p>
        </w:tc>
        <w:tc>
          <w:tcPr>
            <w:tcW w:w="2532" w:type="dxa"/>
            <w:gridSpan w:val="2"/>
            <w:shd w:val="clear" w:color="auto" w:fill="auto"/>
          </w:tcPr>
          <w:p w:rsidR="002C449A" w:rsidRPr="00DE475B" w:rsidRDefault="002C449A" w:rsidP="002C449A">
            <w:pPr>
              <w:pStyle w:val="ARbodytext"/>
              <w:jc w:val="center"/>
              <w:rPr>
                <w:b/>
                <w:bCs/>
              </w:rPr>
            </w:pPr>
            <w:r w:rsidRPr="00DE475B">
              <w:rPr>
                <w:b/>
                <w:bCs/>
              </w:rPr>
              <w:t>Heritage and Cultural Assets (Valuables)</w:t>
            </w:r>
          </w:p>
        </w:tc>
        <w:tc>
          <w:tcPr>
            <w:tcW w:w="2534" w:type="dxa"/>
            <w:gridSpan w:val="2"/>
            <w:shd w:val="clear" w:color="auto" w:fill="auto"/>
          </w:tcPr>
          <w:p w:rsidR="002C449A" w:rsidRPr="00DE475B" w:rsidRDefault="002C449A" w:rsidP="002C449A">
            <w:pPr>
              <w:pStyle w:val="ARbodytext"/>
              <w:jc w:val="center"/>
              <w:rPr>
                <w:b/>
                <w:bCs/>
              </w:rPr>
            </w:pPr>
            <w:r w:rsidRPr="00DE475B">
              <w:rPr>
                <w:b/>
                <w:bCs/>
              </w:rPr>
              <w:t>Library Collections</w:t>
            </w:r>
          </w:p>
        </w:tc>
        <w:tc>
          <w:tcPr>
            <w:tcW w:w="2534" w:type="dxa"/>
            <w:gridSpan w:val="2"/>
            <w:shd w:val="clear" w:color="auto" w:fill="auto"/>
          </w:tcPr>
          <w:p w:rsidR="002C449A" w:rsidRPr="00DE475B" w:rsidRDefault="002C449A" w:rsidP="002C449A">
            <w:pPr>
              <w:pStyle w:val="ARbodytext"/>
              <w:jc w:val="center"/>
              <w:rPr>
                <w:b/>
                <w:bCs/>
              </w:rPr>
            </w:pPr>
            <w:r w:rsidRPr="00DE475B">
              <w:rPr>
                <w:b/>
                <w:bCs/>
              </w:rPr>
              <w:t>Plant and Equipment</w:t>
            </w:r>
          </w:p>
        </w:tc>
        <w:tc>
          <w:tcPr>
            <w:tcW w:w="2534" w:type="dxa"/>
            <w:gridSpan w:val="2"/>
          </w:tcPr>
          <w:p w:rsidR="002C449A" w:rsidRPr="00DE475B" w:rsidRDefault="002C449A" w:rsidP="002C449A">
            <w:pPr>
              <w:pStyle w:val="ARbodytext"/>
              <w:jc w:val="center"/>
              <w:rPr>
                <w:b/>
                <w:bCs/>
              </w:rPr>
            </w:pPr>
            <w:r w:rsidRPr="00DE475B">
              <w:rPr>
                <w:b/>
                <w:bCs/>
              </w:rPr>
              <w:t>Total</w:t>
            </w:r>
          </w:p>
        </w:tc>
      </w:tr>
      <w:tr w:rsidR="002C449A" w:rsidRPr="00DE475B" w:rsidTr="00E92394">
        <w:trPr>
          <w:trHeight w:val="255"/>
        </w:trPr>
        <w:tc>
          <w:tcPr>
            <w:tcW w:w="4041" w:type="dxa"/>
            <w:shd w:val="clear" w:color="auto" w:fill="auto"/>
            <w:vAlign w:val="bottom"/>
          </w:tcPr>
          <w:p w:rsidR="002C449A" w:rsidRPr="00DE475B" w:rsidRDefault="002C449A" w:rsidP="002C449A">
            <w:pPr>
              <w:pStyle w:val="ARbodytext"/>
            </w:pPr>
          </w:p>
        </w:tc>
        <w:tc>
          <w:tcPr>
            <w:tcW w:w="2532" w:type="dxa"/>
            <w:gridSpan w:val="2"/>
            <w:shd w:val="clear" w:color="auto" w:fill="auto"/>
          </w:tcPr>
          <w:p w:rsidR="002C449A" w:rsidRPr="00DE475B" w:rsidRDefault="002C449A" w:rsidP="002C449A">
            <w:pPr>
              <w:pStyle w:val="ARbodytext"/>
              <w:jc w:val="center"/>
              <w:rPr>
                <w:b/>
                <w:bCs/>
              </w:rPr>
            </w:pPr>
            <w:r w:rsidRPr="00DE475B">
              <w:rPr>
                <w:b/>
                <w:bCs/>
              </w:rPr>
              <w:t>Economic entity</w:t>
            </w:r>
          </w:p>
        </w:tc>
        <w:tc>
          <w:tcPr>
            <w:tcW w:w="2534" w:type="dxa"/>
            <w:gridSpan w:val="2"/>
            <w:shd w:val="clear" w:color="auto" w:fill="auto"/>
          </w:tcPr>
          <w:p w:rsidR="002C449A" w:rsidRPr="00DE475B" w:rsidRDefault="002C449A" w:rsidP="002C449A">
            <w:pPr>
              <w:pStyle w:val="ARbodytext"/>
              <w:jc w:val="center"/>
              <w:rPr>
                <w:b/>
                <w:bCs/>
              </w:rPr>
            </w:pPr>
            <w:r w:rsidRPr="00DE475B">
              <w:rPr>
                <w:b/>
                <w:bCs/>
              </w:rPr>
              <w:t>Economic entity</w:t>
            </w:r>
          </w:p>
        </w:tc>
        <w:tc>
          <w:tcPr>
            <w:tcW w:w="2534" w:type="dxa"/>
            <w:gridSpan w:val="2"/>
            <w:shd w:val="clear" w:color="auto" w:fill="auto"/>
          </w:tcPr>
          <w:p w:rsidR="002C449A" w:rsidRPr="00DE475B" w:rsidRDefault="002C449A" w:rsidP="002C449A">
            <w:pPr>
              <w:pStyle w:val="ARbodytext"/>
              <w:jc w:val="center"/>
              <w:rPr>
                <w:b/>
                <w:bCs/>
              </w:rPr>
            </w:pPr>
            <w:r w:rsidRPr="00DE475B">
              <w:rPr>
                <w:b/>
                <w:bCs/>
              </w:rPr>
              <w:t>Economic entity</w:t>
            </w:r>
          </w:p>
        </w:tc>
        <w:tc>
          <w:tcPr>
            <w:tcW w:w="2534" w:type="dxa"/>
            <w:gridSpan w:val="2"/>
          </w:tcPr>
          <w:p w:rsidR="002C449A" w:rsidRPr="00DE475B" w:rsidRDefault="002C449A" w:rsidP="002C449A">
            <w:pPr>
              <w:pStyle w:val="ARbodytext"/>
              <w:jc w:val="center"/>
              <w:rPr>
                <w:b/>
                <w:bCs/>
              </w:rPr>
            </w:pPr>
            <w:r w:rsidRPr="00DE475B">
              <w:rPr>
                <w:b/>
                <w:bCs/>
              </w:rPr>
              <w:t>Economic entity</w:t>
            </w:r>
          </w:p>
        </w:tc>
      </w:tr>
      <w:tr w:rsidR="002C449A" w:rsidRPr="00DE475B" w:rsidTr="00E92394">
        <w:trPr>
          <w:trHeight w:val="255"/>
        </w:trPr>
        <w:tc>
          <w:tcPr>
            <w:tcW w:w="4041" w:type="dxa"/>
            <w:shd w:val="clear" w:color="auto" w:fill="auto"/>
            <w:vAlign w:val="bottom"/>
          </w:tcPr>
          <w:p w:rsidR="002C449A" w:rsidRPr="00DE475B" w:rsidRDefault="002C449A" w:rsidP="002C449A">
            <w:pPr>
              <w:pStyle w:val="ARbodytext"/>
            </w:pPr>
          </w:p>
        </w:tc>
        <w:tc>
          <w:tcPr>
            <w:tcW w:w="1266" w:type="dxa"/>
            <w:shd w:val="clear" w:color="auto" w:fill="auto"/>
            <w:vAlign w:val="center"/>
          </w:tcPr>
          <w:p w:rsidR="002C449A" w:rsidRPr="00DE475B" w:rsidRDefault="005C4A0A" w:rsidP="002C449A">
            <w:pPr>
              <w:pStyle w:val="ARbodytext"/>
              <w:jc w:val="right"/>
              <w:rPr>
                <w:b/>
                <w:bCs/>
              </w:rPr>
            </w:pPr>
            <w:r>
              <w:rPr>
                <w:b/>
                <w:bCs/>
              </w:rPr>
              <w:t>2017</w:t>
            </w:r>
          </w:p>
        </w:tc>
        <w:tc>
          <w:tcPr>
            <w:tcW w:w="1266" w:type="dxa"/>
            <w:shd w:val="clear" w:color="auto" w:fill="auto"/>
            <w:vAlign w:val="center"/>
          </w:tcPr>
          <w:p w:rsidR="002C449A" w:rsidRPr="00DE475B" w:rsidRDefault="002C449A" w:rsidP="005C4A0A">
            <w:pPr>
              <w:pStyle w:val="ARbodytext"/>
              <w:jc w:val="right"/>
              <w:rPr>
                <w:b/>
                <w:bCs/>
              </w:rPr>
            </w:pPr>
            <w:r w:rsidRPr="00DE475B">
              <w:rPr>
                <w:b/>
                <w:bCs/>
              </w:rPr>
              <w:t>201</w:t>
            </w:r>
            <w:r w:rsidR="005C4A0A">
              <w:rPr>
                <w:b/>
                <w:bCs/>
              </w:rPr>
              <w:t>6</w:t>
            </w:r>
          </w:p>
        </w:tc>
        <w:tc>
          <w:tcPr>
            <w:tcW w:w="1267" w:type="dxa"/>
            <w:shd w:val="clear" w:color="auto" w:fill="auto"/>
            <w:vAlign w:val="center"/>
          </w:tcPr>
          <w:p w:rsidR="002C449A" w:rsidRPr="00DE475B" w:rsidRDefault="002C449A" w:rsidP="005C4A0A">
            <w:pPr>
              <w:pStyle w:val="ARbodytext"/>
              <w:jc w:val="right"/>
              <w:rPr>
                <w:b/>
                <w:bCs/>
              </w:rPr>
            </w:pPr>
            <w:r w:rsidRPr="00DE475B">
              <w:rPr>
                <w:b/>
                <w:bCs/>
              </w:rPr>
              <w:t>201</w:t>
            </w:r>
            <w:r w:rsidR="005C4A0A">
              <w:rPr>
                <w:b/>
                <w:bCs/>
              </w:rPr>
              <w:t>7</w:t>
            </w:r>
          </w:p>
        </w:tc>
        <w:tc>
          <w:tcPr>
            <w:tcW w:w="1267" w:type="dxa"/>
            <w:shd w:val="clear" w:color="auto" w:fill="auto"/>
            <w:vAlign w:val="center"/>
          </w:tcPr>
          <w:p w:rsidR="002C449A" w:rsidRPr="00DE475B" w:rsidRDefault="002C449A" w:rsidP="005C4A0A">
            <w:pPr>
              <w:pStyle w:val="ARbodytext"/>
              <w:jc w:val="right"/>
              <w:rPr>
                <w:b/>
                <w:bCs/>
              </w:rPr>
            </w:pPr>
            <w:r w:rsidRPr="00DE475B">
              <w:rPr>
                <w:b/>
                <w:bCs/>
              </w:rPr>
              <w:t>201</w:t>
            </w:r>
            <w:r w:rsidR="005C4A0A">
              <w:rPr>
                <w:b/>
                <w:bCs/>
              </w:rPr>
              <w:t>6</w:t>
            </w:r>
          </w:p>
        </w:tc>
        <w:tc>
          <w:tcPr>
            <w:tcW w:w="1267" w:type="dxa"/>
            <w:shd w:val="clear" w:color="auto" w:fill="auto"/>
            <w:vAlign w:val="center"/>
          </w:tcPr>
          <w:p w:rsidR="002C449A" w:rsidRPr="00DE475B" w:rsidRDefault="002C449A" w:rsidP="005C4A0A">
            <w:pPr>
              <w:pStyle w:val="ARbodytext"/>
              <w:jc w:val="right"/>
              <w:rPr>
                <w:b/>
                <w:bCs/>
              </w:rPr>
            </w:pPr>
            <w:r w:rsidRPr="00DE475B">
              <w:rPr>
                <w:b/>
                <w:bCs/>
              </w:rPr>
              <w:t>201</w:t>
            </w:r>
            <w:r w:rsidR="005C4A0A">
              <w:rPr>
                <w:b/>
                <w:bCs/>
              </w:rPr>
              <w:t>7</w:t>
            </w:r>
          </w:p>
        </w:tc>
        <w:tc>
          <w:tcPr>
            <w:tcW w:w="1267" w:type="dxa"/>
            <w:shd w:val="clear" w:color="auto" w:fill="auto"/>
            <w:vAlign w:val="center"/>
          </w:tcPr>
          <w:p w:rsidR="002C449A" w:rsidRPr="00DE475B" w:rsidRDefault="002C449A" w:rsidP="005C4A0A">
            <w:pPr>
              <w:pStyle w:val="ARbodytext"/>
              <w:jc w:val="right"/>
              <w:rPr>
                <w:b/>
                <w:bCs/>
              </w:rPr>
            </w:pPr>
            <w:r w:rsidRPr="00DE475B">
              <w:rPr>
                <w:b/>
                <w:bCs/>
              </w:rPr>
              <w:t>201</w:t>
            </w:r>
            <w:r w:rsidR="005C4A0A">
              <w:rPr>
                <w:b/>
                <w:bCs/>
              </w:rPr>
              <w:t>6</w:t>
            </w:r>
          </w:p>
        </w:tc>
        <w:tc>
          <w:tcPr>
            <w:tcW w:w="1267" w:type="dxa"/>
            <w:vAlign w:val="center"/>
          </w:tcPr>
          <w:p w:rsidR="002C449A" w:rsidRPr="00DE475B" w:rsidRDefault="002C449A" w:rsidP="005C4A0A">
            <w:pPr>
              <w:pStyle w:val="ARbodytext"/>
              <w:jc w:val="right"/>
              <w:rPr>
                <w:b/>
                <w:bCs/>
              </w:rPr>
            </w:pPr>
            <w:r w:rsidRPr="00DE475B">
              <w:rPr>
                <w:b/>
                <w:bCs/>
              </w:rPr>
              <w:t>201</w:t>
            </w:r>
            <w:r w:rsidR="005C4A0A">
              <w:rPr>
                <w:b/>
                <w:bCs/>
              </w:rPr>
              <w:t>7</w:t>
            </w:r>
          </w:p>
        </w:tc>
        <w:tc>
          <w:tcPr>
            <w:tcW w:w="1267" w:type="dxa"/>
            <w:vAlign w:val="center"/>
          </w:tcPr>
          <w:p w:rsidR="002C449A" w:rsidRPr="00DE475B" w:rsidRDefault="002C449A" w:rsidP="005C4A0A">
            <w:pPr>
              <w:pStyle w:val="ARbodytext"/>
              <w:jc w:val="right"/>
              <w:rPr>
                <w:b/>
                <w:bCs/>
              </w:rPr>
            </w:pPr>
            <w:r w:rsidRPr="00DE475B">
              <w:rPr>
                <w:b/>
                <w:bCs/>
              </w:rPr>
              <w:t>201</w:t>
            </w:r>
            <w:r w:rsidR="005C4A0A">
              <w:rPr>
                <w:b/>
                <w:bCs/>
              </w:rPr>
              <w:t>6</w:t>
            </w:r>
          </w:p>
        </w:tc>
      </w:tr>
      <w:tr w:rsidR="002C449A" w:rsidRPr="00DE475B" w:rsidTr="00E92394">
        <w:trPr>
          <w:trHeight w:val="255"/>
        </w:trPr>
        <w:tc>
          <w:tcPr>
            <w:tcW w:w="4041" w:type="dxa"/>
            <w:shd w:val="clear" w:color="auto" w:fill="auto"/>
            <w:vAlign w:val="bottom"/>
          </w:tcPr>
          <w:p w:rsidR="002C449A" w:rsidRPr="00DE475B" w:rsidRDefault="002C449A" w:rsidP="002C449A">
            <w:pPr>
              <w:pStyle w:val="ARbodytext"/>
            </w:pPr>
          </w:p>
        </w:tc>
        <w:tc>
          <w:tcPr>
            <w:tcW w:w="1266" w:type="dxa"/>
            <w:shd w:val="clear" w:color="auto" w:fill="auto"/>
            <w:vAlign w:val="center"/>
          </w:tcPr>
          <w:p w:rsidR="002C449A" w:rsidRPr="00DE475B" w:rsidRDefault="002C449A" w:rsidP="002C449A">
            <w:pPr>
              <w:pStyle w:val="ARbodytext"/>
              <w:jc w:val="right"/>
              <w:rPr>
                <w:b/>
                <w:bCs/>
              </w:rPr>
            </w:pPr>
            <w:r w:rsidRPr="00DE475B">
              <w:rPr>
                <w:b/>
                <w:bCs/>
              </w:rPr>
              <w:t>$'000</w:t>
            </w:r>
          </w:p>
        </w:tc>
        <w:tc>
          <w:tcPr>
            <w:tcW w:w="1266" w:type="dxa"/>
            <w:shd w:val="clear" w:color="auto" w:fill="auto"/>
            <w:vAlign w:val="center"/>
          </w:tcPr>
          <w:p w:rsidR="002C449A" w:rsidRPr="00DE475B" w:rsidRDefault="002C449A" w:rsidP="002C449A">
            <w:pPr>
              <w:pStyle w:val="ARbodytext"/>
              <w:jc w:val="right"/>
              <w:rPr>
                <w:b/>
                <w:bCs/>
              </w:rPr>
            </w:pPr>
            <w:r w:rsidRPr="00DE475B">
              <w:rPr>
                <w:b/>
                <w:bCs/>
              </w:rPr>
              <w:t>$'000</w:t>
            </w:r>
          </w:p>
        </w:tc>
        <w:tc>
          <w:tcPr>
            <w:tcW w:w="1267" w:type="dxa"/>
            <w:shd w:val="clear" w:color="auto" w:fill="auto"/>
            <w:vAlign w:val="center"/>
          </w:tcPr>
          <w:p w:rsidR="002C449A" w:rsidRPr="00DE475B" w:rsidRDefault="002C449A" w:rsidP="002C449A">
            <w:pPr>
              <w:pStyle w:val="ARbodytext"/>
              <w:jc w:val="right"/>
              <w:rPr>
                <w:b/>
                <w:bCs/>
              </w:rPr>
            </w:pPr>
            <w:r w:rsidRPr="00DE475B">
              <w:rPr>
                <w:b/>
                <w:bCs/>
              </w:rPr>
              <w:t>$'000</w:t>
            </w:r>
          </w:p>
        </w:tc>
        <w:tc>
          <w:tcPr>
            <w:tcW w:w="1267" w:type="dxa"/>
            <w:shd w:val="clear" w:color="auto" w:fill="auto"/>
            <w:vAlign w:val="center"/>
          </w:tcPr>
          <w:p w:rsidR="002C449A" w:rsidRPr="00DE475B" w:rsidRDefault="002C449A" w:rsidP="002C449A">
            <w:pPr>
              <w:pStyle w:val="ARbodytext"/>
              <w:jc w:val="right"/>
              <w:rPr>
                <w:b/>
                <w:bCs/>
              </w:rPr>
            </w:pPr>
            <w:r w:rsidRPr="00DE475B">
              <w:rPr>
                <w:b/>
                <w:bCs/>
              </w:rPr>
              <w:t>$'000</w:t>
            </w:r>
          </w:p>
        </w:tc>
        <w:tc>
          <w:tcPr>
            <w:tcW w:w="1267" w:type="dxa"/>
            <w:shd w:val="clear" w:color="auto" w:fill="auto"/>
            <w:vAlign w:val="center"/>
          </w:tcPr>
          <w:p w:rsidR="002C449A" w:rsidRPr="00DE475B" w:rsidRDefault="002C449A" w:rsidP="002C449A">
            <w:pPr>
              <w:pStyle w:val="ARbodytext"/>
              <w:jc w:val="right"/>
              <w:rPr>
                <w:b/>
                <w:bCs/>
              </w:rPr>
            </w:pPr>
            <w:r w:rsidRPr="00DE475B">
              <w:rPr>
                <w:b/>
                <w:bCs/>
              </w:rPr>
              <w:t>$'000</w:t>
            </w:r>
          </w:p>
        </w:tc>
        <w:tc>
          <w:tcPr>
            <w:tcW w:w="1267" w:type="dxa"/>
            <w:shd w:val="clear" w:color="auto" w:fill="auto"/>
            <w:vAlign w:val="center"/>
          </w:tcPr>
          <w:p w:rsidR="002C449A" w:rsidRPr="00DE475B" w:rsidRDefault="002C449A" w:rsidP="002C449A">
            <w:pPr>
              <w:pStyle w:val="ARbodytext"/>
              <w:jc w:val="right"/>
              <w:rPr>
                <w:b/>
                <w:bCs/>
              </w:rPr>
            </w:pPr>
            <w:r w:rsidRPr="00DE475B">
              <w:rPr>
                <w:b/>
                <w:bCs/>
              </w:rPr>
              <w:t>$'000</w:t>
            </w:r>
          </w:p>
        </w:tc>
        <w:tc>
          <w:tcPr>
            <w:tcW w:w="1267" w:type="dxa"/>
            <w:vAlign w:val="center"/>
          </w:tcPr>
          <w:p w:rsidR="002C449A" w:rsidRPr="00DE475B" w:rsidRDefault="002C449A" w:rsidP="002C449A">
            <w:pPr>
              <w:pStyle w:val="ARbodytext"/>
              <w:jc w:val="right"/>
              <w:rPr>
                <w:b/>
                <w:bCs/>
              </w:rPr>
            </w:pPr>
            <w:r w:rsidRPr="00DE475B">
              <w:rPr>
                <w:b/>
                <w:bCs/>
              </w:rPr>
              <w:t>$'000</w:t>
            </w:r>
          </w:p>
        </w:tc>
        <w:tc>
          <w:tcPr>
            <w:tcW w:w="1267" w:type="dxa"/>
            <w:vAlign w:val="center"/>
          </w:tcPr>
          <w:p w:rsidR="002C449A" w:rsidRPr="00DE475B" w:rsidRDefault="002C449A" w:rsidP="002C449A">
            <w:pPr>
              <w:pStyle w:val="ARbodytext"/>
              <w:jc w:val="right"/>
              <w:rPr>
                <w:b/>
                <w:bCs/>
              </w:rPr>
            </w:pPr>
            <w:r w:rsidRPr="00DE475B">
              <w:rPr>
                <w:b/>
                <w:bCs/>
              </w:rPr>
              <w:t>$'000</w:t>
            </w:r>
          </w:p>
        </w:tc>
      </w:tr>
      <w:tr w:rsidR="002C449A" w:rsidRPr="00DE475B" w:rsidTr="00E92394">
        <w:trPr>
          <w:trHeight w:val="139"/>
        </w:trPr>
        <w:tc>
          <w:tcPr>
            <w:tcW w:w="4041" w:type="dxa"/>
            <w:shd w:val="clear" w:color="auto" w:fill="auto"/>
            <w:vAlign w:val="bottom"/>
          </w:tcPr>
          <w:p w:rsidR="002C449A" w:rsidRPr="00DE475B" w:rsidRDefault="002C449A" w:rsidP="002C449A">
            <w:pPr>
              <w:pStyle w:val="ARbodytext"/>
            </w:pPr>
          </w:p>
        </w:tc>
        <w:tc>
          <w:tcPr>
            <w:tcW w:w="1266" w:type="dxa"/>
            <w:shd w:val="clear" w:color="auto" w:fill="auto"/>
            <w:vAlign w:val="center"/>
          </w:tcPr>
          <w:p w:rsidR="002C449A" w:rsidRPr="00DE475B" w:rsidRDefault="002C449A" w:rsidP="002C449A">
            <w:pPr>
              <w:pStyle w:val="ARbodytext"/>
              <w:jc w:val="right"/>
              <w:rPr>
                <w:i/>
                <w:iCs/>
              </w:rPr>
            </w:pPr>
          </w:p>
        </w:tc>
        <w:tc>
          <w:tcPr>
            <w:tcW w:w="1266" w:type="dxa"/>
            <w:shd w:val="clear" w:color="auto" w:fill="auto"/>
            <w:vAlign w:val="center"/>
          </w:tcPr>
          <w:p w:rsidR="002C449A" w:rsidRPr="00DE475B" w:rsidRDefault="002C449A" w:rsidP="002C449A">
            <w:pPr>
              <w:pStyle w:val="ARbodytext"/>
              <w:jc w:val="right"/>
              <w:rPr>
                <w:i/>
                <w:iCs/>
              </w:rPr>
            </w:pPr>
          </w:p>
        </w:tc>
        <w:tc>
          <w:tcPr>
            <w:tcW w:w="1267" w:type="dxa"/>
            <w:shd w:val="clear" w:color="auto" w:fill="auto"/>
            <w:vAlign w:val="center"/>
          </w:tcPr>
          <w:p w:rsidR="002C449A" w:rsidRPr="00DE475B" w:rsidRDefault="002C449A" w:rsidP="002C449A">
            <w:pPr>
              <w:pStyle w:val="ARbodytext"/>
              <w:jc w:val="right"/>
              <w:rPr>
                <w:i/>
                <w:iCs/>
              </w:rPr>
            </w:pPr>
          </w:p>
        </w:tc>
        <w:tc>
          <w:tcPr>
            <w:tcW w:w="1267" w:type="dxa"/>
            <w:shd w:val="clear" w:color="auto" w:fill="auto"/>
            <w:vAlign w:val="center"/>
          </w:tcPr>
          <w:p w:rsidR="002C449A" w:rsidRPr="00DE475B" w:rsidRDefault="002C449A" w:rsidP="002C449A">
            <w:pPr>
              <w:pStyle w:val="ARbodytext"/>
              <w:jc w:val="right"/>
              <w:rPr>
                <w:i/>
                <w:iCs/>
              </w:rPr>
            </w:pPr>
          </w:p>
        </w:tc>
        <w:tc>
          <w:tcPr>
            <w:tcW w:w="1267" w:type="dxa"/>
            <w:shd w:val="clear" w:color="auto" w:fill="auto"/>
            <w:vAlign w:val="center"/>
          </w:tcPr>
          <w:p w:rsidR="002C449A" w:rsidRPr="00DE475B" w:rsidRDefault="002C449A" w:rsidP="002C449A">
            <w:pPr>
              <w:pStyle w:val="ARbodytext"/>
              <w:jc w:val="right"/>
              <w:rPr>
                <w:i/>
                <w:iCs/>
              </w:rPr>
            </w:pPr>
          </w:p>
        </w:tc>
        <w:tc>
          <w:tcPr>
            <w:tcW w:w="1267" w:type="dxa"/>
            <w:shd w:val="clear" w:color="auto" w:fill="auto"/>
            <w:vAlign w:val="center"/>
          </w:tcPr>
          <w:p w:rsidR="002C449A" w:rsidRPr="00DE475B" w:rsidRDefault="002C449A" w:rsidP="002C449A">
            <w:pPr>
              <w:pStyle w:val="ARbodytext"/>
              <w:jc w:val="right"/>
              <w:rPr>
                <w:i/>
                <w:iCs/>
              </w:rPr>
            </w:pPr>
          </w:p>
        </w:tc>
        <w:tc>
          <w:tcPr>
            <w:tcW w:w="1267" w:type="dxa"/>
            <w:vAlign w:val="center"/>
          </w:tcPr>
          <w:p w:rsidR="002C449A" w:rsidRPr="00DE475B" w:rsidRDefault="002C449A" w:rsidP="002C449A">
            <w:pPr>
              <w:pStyle w:val="ARbodytext"/>
              <w:jc w:val="right"/>
              <w:rPr>
                <w:i/>
                <w:iCs/>
              </w:rPr>
            </w:pPr>
          </w:p>
        </w:tc>
        <w:tc>
          <w:tcPr>
            <w:tcW w:w="1267" w:type="dxa"/>
            <w:vAlign w:val="center"/>
          </w:tcPr>
          <w:p w:rsidR="002C449A" w:rsidRPr="00DE475B" w:rsidRDefault="002C449A" w:rsidP="002C449A">
            <w:pPr>
              <w:pStyle w:val="ARbodytext"/>
              <w:jc w:val="right"/>
              <w:rPr>
                <w:i/>
                <w:iCs/>
              </w:rPr>
            </w:pPr>
          </w:p>
        </w:tc>
      </w:tr>
      <w:tr w:rsidR="005C4A0A" w:rsidRPr="00DE475B" w:rsidTr="00E92394">
        <w:trPr>
          <w:trHeight w:val="315"/>
        </w:trPr>
        <w:tc>
          <w:tcPr>
            <w:tcW w:w="4041" w:type="dxa"/>
            <w:shd w:val="clear" w:color="auto" w:fill="auto"/>
            <w:vAlign w:val="center"/>
          </w:tcPr>
          <w:p w:rsidR="005C4A0A" w:rsidRPr="00DE475B" w:rsidRDefault="005C4A0A" w:rsidP="002C449A">
            <w:pPr>
              <w:pStyle w:val="ARbodytext"/>
            </w:pPr>
            <w:r w:rsidRPr="00DE475B">
              <w:t>Carrying amount at 1 July — at cost</w:t>
            </w:r>
          </w:p>
        </w:tc>
        <w:tc>
          <w:tcPr>
            <w:tcW w:w="1266" w:type="dxa"/>
            <w:shd w:val="clear" w:color="auto" w:fill="auto"/>
            <w:vAlign w:val="center"/>
          </w:tcPr>
          <w:p w:rsidR="005C4A0A" w:rsidRPr="00DE475B" w:rsidRDefault="00381AF3" w:rsidP="00E92394">
            <w:pPr>
              <w:pStyle w:val="ARbodytext"/>
              <w:jc w:val="right"/>
            </w:pPr>
            <w:r>
              <w:t>298</w:t>
            </w:r>
          </w:p>
        </w:tc>
        <w:tc>
          <w:tcPr>
            <w:tcW w:w="1266" w:type="dxa"/>
            <w:shd w:val="clear" w:color="auto" w:fill="auto"/>
            <w:vAlign w:val="center"/>
          </w:tcPr>
          <w:p w:rsidR="005C4A0A" w:rsidRPr="00DE475B" w:rsidRDefault="005C4A0A" w:rsidP="00A2292F">
            <w:pPr>
              <w:pStyle w:val="ARbodytext"/>
              <w:jc w:val="right"/>
            </w:pPr>
            <w:r w:rsidRPr="00DE475B">
              <w:t>372</w:t>
            </w:r>
          </w:p>
        </w:tc>
        <w:tc>
          <w:tcPr>
            <w:tcW w:w="1267" w:type="dxa"/>
            <w:shd w:val="clear" w:color="auto" w:fill="auto"/>
            <w:vAlign w:val="center"/>
          </w:tcPr>
          <w:p w:rsidR="005C4A0A" w:rsidRPr="00DE475B" w:rsidRDefault="00381AF3" w:rsidP="00A2292F">
            <w:pPr>
              <w:pStyle w:val="ARbodytext"/>
              <w:jc w:val="right"/>
            </w:pPr>
            <w:r>
              <w:t>261</w:t>
            </w:r>
          </w:p>
        </w:tc>
        <w:tc>
          <w:tcPr>
            <w:tcW w:w="1267" w:type="dxa"/>
            <w:shd w:val="clear" w:color="auto" w:fill="auto"/>
            <w:vAlign w:val="center"/>
          </w:tcPr>
          <w:p w:rsidR="005C4A0A" w:rsidRPr="00DE475B" w:rsidRDefault="005C4A0A" w:rsidP="00A2292F">
            <w:pPr>
              <w:pStyle w:val="ARbodytext"/>
              <w:jc w:val="right"/>
            </w:pPr>
            <w:r w:rsidRPr="00DE475B">
              <w:t xml:space="preserve">351 </w:t>
            </w:r>
          </w:p>
        </w:tc>
        <w:tc>
          <w:tcPr>
            <w:tcW w:w="1267" w:type="dxa"/>
            <w:shd w:val="clear" w:color="auto" w:fill="auto"/>
            <w:vAlign w:val="center"/>
          </w:tcPr>
          <w:p w:rsidR="005C4A0A" w:rsidRPr="00DE475B" w:rsidRDefault="00381AF3" w:rsidP="00A2292F">
            <w:pPr>
              <w:pStyle w:val="ARbodytext"/>
              <w:jc w:val="right"/>
            </w:pPr>
            <w:r>
              <w:t>1,758</w:t>
            </w:r>
          </w:p>
        </w:tc>
        <w:tc>
          <w:tcPr>
            <w:tcW w:w="1267" w:type="dxa"/>
            <w:shd w:val="clear" w:color="auto" w:fill="auto"/>
            <w:vAlign w:val="center"/>
          </w:tcPr>
          <w:p w:rsidR="005C4A0A" w:rsidRPr="00DE475B" w:rsidRDefault="005C4A0A" w:rsidP="00A2292F">
            <w:pPr>
              <w:pStyle w:val="ARbodytext"/>
              <w:jc w:val="right"/>
            </w:pPr>
            <w:r w:rsidRPr="00DE475B">
              <w:t xml:space="preserve">1,655 </w:t>
            </w:r>
          </w:p>
        </w:tc>
        <w:tc>
          <w:tcPr>
            <w:tcW w:w="1267" w:type="dxa"/>
            <w:vAlign w:val="center"/>
          </w:tcPr>
          <w:p w:rsidR="005C4A0A" w:rsidRPr="00DE475B" w:rsidRDefault="00381AF3" w:rsidP="00A2292F">
            <w:pPr>
              <w:pStyle w:val="ARbodytext"/>
              <w:jc w:val="right"/>
            </w:pPr>
            <w:r>
              <w:t>2,317</w:t>
            </w:r>
          </w:p>
        </w:tc>
        <w:tc>
          <w:tcPr>
            <w:tcW w:w="1267" w:type="dxa"/>
            <w:vAlign w:val="center"/>
          </w:tcPr>
          <w:p w:rsidR="005C4A0A" w:rsidRPr="00DE475B" w:rsidRDefault="005C4A0A" w:rsidP="00A2292F">
            <w:pPr>
              <w:pStyle w:val="ARbodytext"/>
              <w:jc w:val="right"/>
            </w:pPr>
            <w:r w:rsidRPr="00DE475B">
              <w:t xml:space="preserve">2,378 </w:t>
            </w:r>
          </w:p>
        </w:tc>
      </w:tr>
      <w:tr w:rsidR="005C4A0A" w:rsidRPr="00DE475B" w:rsidTr="00E92394">
        <w:trPr>
          <w:trHeight w:val="315"/>
        </w:trPr>
        <w:tc>
          <w:tcPr>
            <w:tcW w:w="4041" w:type="dxa"/>
            <w:shd w:val="clear" w:color="auto" w:fill="auto"/>
            <w:vAlign w:val="center"/>
          </w:tcPr>
          <w:p w:rsidR="005C4A0A" w:rsidRPr="00DE475B" w:rsidRDefault="005C4A0A" w:rsidP="002C449A">
            <w:pPr>
              <w:pStyle w:val="ARbodytext"/>
            </w:pPr>
            <w:r w:rsidRPr="00DE475B">
              <w:t>Carrying amount at 1 July — at valuation</w:t>
            </w:r>
          </w:p>
        </w:tc>
        <w:tc>
          <w:tcPr>
            <w:tcW w:w="1266" w:type="dxa"/>
            <w:shd w:val="clear" w:color="auto" w:fill="auto"/>
            <w:vAlign w:val="center"/>
          </w:tcPr>
          <w:p w:rsidR="005C4A0A" w:rsidRPr="00DE475B" w:rsidRDefault="00381AF3" w:rsidP="00E92394">
            <w:pPr>
              <w:pStyle w:val="ARbodytext"/>
              <w:jc w:val="right"/>
            </w:pPr>
            <w:r>
              <w:t>61,567</w:t>
            </w:r>
          </w:p>
        </w:tc>
        <w:tc>
          <w:tcPr>
            <w:tcW w:w="1266" w:type="dxa"/>
            <w:shd w:val="clear" w:color="auto" w:fill="auto"/>
            <w:vAlign w:val="center"/>
          </w:tcPr>
          <w:p w:rsidR="005C4A0A" w:rsidRPr="00DE475B" w:rsidRDefault="005C4A0A" w:rsidP="00A2292F">
            <w:pPr>
              <w:pStyle w:val="ARbodytext"/>
              <w:jc w:val="right"/>
            </w:pPr>
            <w:r w:rsidRPr="00DE475B">
              <w:t>61,250</w:t>
            </w:r>
          </w:p>
        </w:tc>
        <w:tc>
          <w:tcPr>
            <w:tcW w:w="1267" w:type="dxa"/>
            <w:shd w:val="clear" w:color="auto" w:fill="auto"/>
            <w:vAlign w:val="center"/>
          </w:tcPr>
          <w:p w:rsidR="005C4A0A" w:rsidRPr="00DE475B" w:rsidRDefault="00381AF3" w:rsidP="00A2292F">
            <w:pPr>
              <w:pStyle w:val="ARbodytext"/>
              <w:jc w:val="right"/>
            </w:pPr>
            <w:r>
              <w:t>42,292</w:t>
            </w:r>
          </w:p>
        </w:tc>
        <w:tc>
          <w:tcPr>
            <w:tcW w:w="1267" w:type="dxa"/>
            <w:shd w:val="clear" w:color="auto" w:fill="auto"/>
            <w:vAlign w:val="center"/>
          </w:tcPr>
          <w:p w:rsidR="005C4A0A" w:rsidRPr="00DE475B" w:rsidRDefault="005C4A0A" w:rsidP="00A2292F">
            <w:pPr>
              <w:pStyle w:val="ARbodytext"/>
              <w:jc w:val="right"/>
            </w:pPr>
            <w:r w:rsidRPr="00DE475B">
              <w:t xml:space="preserve">42,069 </w:t>
            </w:r>
          </w:p>
        </w:tc>
        <w:tc>
          <w:tcPr>
            <w:tcW w:w="1267" w:type="dxa"/>
            <w:shd w:val="clear" w:color="auto" w:fill="auto"/>
            <w:vAlign w:val="center"/>
          </w:tcPr>
          <w:p w:rsidR="005C4A0A" w:rsidRPr="00DE475B" w:rsidRDefault="00381AF3" w:rsidP="00A2292F">
            <w:pPr>
              <w:pStyle w:val="ARbodytext"/>
              <w:jc w:val="right"/>
            </w:pPr>
            <w:r>
              <w:t>-</w:t>
            </w:r>
          </w:p>
        </w:tc>
        <w:tc>
          <w:tcPr>
            <w:tcW w:w="1267" w:type="dxa"/>
            <w:shd w:val="clear" w:color="auto" w:fill="auto"/>
            <w:vAlign w:val="center"/>
          </w:tcPr>
          <w:p w:rsidR="005C4A0A" w:rsidRPr="00DE475B" w:rsidRDefault="005C4A0A" w:rsidP="00A2292F">
            <w:pPr>
              <w:pStyle w:val="ARbodytext"/>
              <w:jc w:val="right"/>
            </w:pPr>
            <w:r w:rsidRPr="00DE475B">
              <w:t xml:space="preserve">-  </w:t>
            </w:r>
          </w:p>
        </w:tc>
        <w:tc>
          <w:tcPr>
            <w:tcW w:w="1267" w:type="dxa"/>
            <w:vAlign w:val="center"/>
          </w:tcPr>
          <w:p w:rsidR="005C4A0A" w:rsidRPr="00DE475B" w:rsidRDefault="00381AF3" w:rsidP="00A2292F">
            <w:pPr>
              <w:pStyle w:val="ARbodytext"/>
              <w:jc w:val="right"/>
            </w:pPr>
            <w:r>
              <w:t>103,859</w:t>
            </w:r>
          </w:p>
        </w:tc>
        <w:tc>
          <w:tcPr>
            <w:tcW w:w="1267" w:type="dxa"/>
            <w:vAlign w:val="center"/>
          </w:tcPr>
          <w:p w:rsidR="005C4A0A" w:rsidRPr="00DE475B" w:rsidRDefault="005C4A0A" w:rsidP="00A2292F">
            <w:pPr>
              <w:pStyle w:val="ARbodytext"/>
              <w:jc w:val="right"/>
            </w:pPr>
            <w:r w:rsidRPr="00DE475B">
              <w:t xml:space="preserve">103,319 </w:t>
            </w:r>
          </w:p>
        </w:tc>
      </w:tr>
      <w:tr w:rsidR="005C4A0A" w:rsidRPr="00DE475B" w:rsidTr="00E92394">
        <w:trPr>
          <w:trHeight w:val="315"/>
        </w:trPr>
        <w:tc>
          <w:tcPr>
            <w:tcW w:w="4041" w:type="dxa"/>
            <w:shd w:val="clear" w:color="auto" w:fill="auto"/>
            <w:vAlign w:val="center"/>
          </w:tcPr>
          <w:p w:rsidR="005C4A0A" w:rsidRPr="00DE475B" w:rsidRDefault="005C4A0A" w:rsidP="002C449A">
            <w:pPr>
              <w:pStyle w:val="ARbodytext"/>
            </w:pPr>
            <w:r w:rsidRPr="00DE475B">
              <w:t>Acquisitions</w:t>
            </w:r>
          </w:p>
        </w:tc>
        <w:tc>
          <w:tcPr>
            <w:tcW w:w="1266" w:type="dxa"/>
            <w:shd w:val="clear" w:color="auto" w:fill="auto"/>
            <w:vAlign w:val="center"/>
          </w:tcPr>
          <w:p w:rsidR="005C4A0A" w:rsidRPr="00DE475B" w:rsidRDefault="00381AF3" w:rsidP="00E92394">
            <w:pPr>
              <w:pStyle w:val="ARbodytext"/>
              <w:jc w:val="right"/>
            </w:pPr>
            <w:r>
              <w:t>302</w:t>
            </w:r>
          </w:p>
        </w:tc>
        <w:tc>
          <w:tcPr>
            <w:tcW w:w="1266" w:type="dxa"/>
            <w:shd w:val="clear" w:color="auto" w:fill="auto"/>
            <w:vAlign w:val="center"/>
          </w:tcPr>
          <w:p w:rsidR="005C4A0A" w:rsidRPr="00DE475B" w:rsidRDefault="005C4A0A" w:rsidP="00A2292F">
            <w:pPr>
              <w:pStyle w:val="ARbodytext"/>
              <w:jc w:val="right"/>
            </w:pPr>
            <w:r w:rsidRPr="00DE475B">
              <w:t>298</w:t>
            </w:r>
          </w:p>
        </w:tc>
        <w:tc>
          <w:tcPr>
            <w:tcW w:w="1267" w:type="dxa"/>
            <w:shd w:val="clear" w:color="auto" w:fill="auto"/>
            <w:vAlign w:val="center"/>
          </w:tcPr>
          <w:p w:rsidR="005C4A0A" w:rsidRPr="00DE475B" w:rsidRDefault="00381AF3" w:rsidP="00A2292F">
            <w:pPr>
              <w:pStyle w:val="ARbodytext"/>
              <w:jc w:val="right"/>
            </w:pPr>
            <w:r>
              <w:t>248</w:t>
            </w:r>
          </w:p>
        </w:tc>
        <w:tc>
          <w:tcPr>
            <w:tcW w:w="1267" w:type="dxa"/>
            <w:shd w:val="clear" w:color="auto" w:fill="auto"/>
            <w:vAlign w:val="center"/>
          </w:tcPr>
          <w:p w:rsidR="005C4A0A" w:rsidRPr="00DE475B" w:rsidRDefault="005C4A0A" w:rsidP="00A2292F">
            <w:pPr>
              <w:pStyle w:val="ARbodytext"/>
              <w:jc w:val="right"/>
            </w:pPr>
            <w:r w:rsidRPr="00DE475B">
              <w:t xml:space="preserve">261 </w:t>
            </w:r>
          </w:p>
        </w:tc>
        <w:tc>
          <w:tcPr>
            <w:tcW w:w="1267" w:type="dxa"/>
            <w:shd w:val="clear" w:color="auto" w:fill="auto"/>
            <w:vAlign w:val="center"/>
          </w:tcPr>
          <w:p w:rsidR="005C4A0A" w:rsidRPr="00DE475B" w:rsidRDefault="00381AF3" w:rsidP="00A2292F">
            <w:pPr>
              <w:pStyle w:val="ARbodytext"/>
              <w:jc w:val="right"/>
            </w:pPr>
            <w:r>
              <w:t>162</w:t>
            </w:r>
          </w:p>
        </w:tc>
        <w:tc>
          <w:tcPr>
            <w:tcW w:w="1267" w:type="dxa"/>
            <w:shd w:val="clear" w:color="auto" w:fill="auto"/>
            <w:vAlign w:val="center"/>
          </w:tcPr>
          <w:p w:rsidR="005C4A0A" w:rsidRPr="00DE475B" w:rsidRDefault="005C4A0A" w:rsidP="00A2292F">
            <w:pPr>
              <w:pStyle w:val="ARbodytext"/>
              <w:jc w:val="right"/>
            </w:pPr>
            <w:r w:rsidRPr="00DE475B">
              <w:t xml:space="preserve">590 </w:t>
            </w:r>
          </w:p>
        </w:tc>
        <w:tc>
          <w:tcPr>
            <w:tcW w:w="1267" w:type="dxa"/>
            <w:vAlign w:val="center"/>
          </w:tcPr>
          <w:p w:rsidR="005C4A0A" w:rsidRPr="00DE475B" w:rsidRDefault="00381AF3" w:rsidP="00A2292F">
            <w:pPr>
              <w:pStyle w:val="ARbodytext"/>
              <w:jc w:val="right"/>
            </w:pPr>
            <w:r>
              <w:t>712</w:t>
            </w:r>
          </w:p>
        </w:tc>
        <w:tc>
          <w:tcPr>
            <w:tcW w:w="1267" w:type="dxa"/>
            <w:vAlign w:val="center"/>
          </w:tcPr>
          <w:p w:rsidR="005C4A0A" w:rsidRPr="00DE475B" w:rsidRDefault="005C4A0A" w:rsidP="00A2292F">
            <w:pPr>
              <w:pStyle w:val="ARbodytext"/>
              <w:jc w:val="right"/>
            </w:pPr>
            <w:r w:rsidRPr="00DE475B">
              <w:t xml:space="preserve">1,149 </w:t>
            </w:r>
          </w:p>
        </w:tc>
      </w:tr>
      <w:tr w:rsidR="005C4A0A" w:rsidRPr="00DE475B" w:rsidTr="00E92394">
        <w:trPr>
          <w:trHeight w:val="315"/>
        </w:trPr>
        <w:tc>
          <w:tcPr>
            <w:tcW w:w="4041" w:type="dxa"/>
            <w:shd w:val="clear" w:color="auto" w:fill="auto"/>
            <w:vAlign w:val="center"/>
          </w:tcPr>
          <w:p w:rsidR="005C4A0A" w:rsidRPr="00DE475B" w:rsidRDefault="005C4A0A" w:rsidP="002C449A">
            <w:pPr>
              <w:pStyle w:val="ARbodytext"/>
            </w:pPr>
            <w:r w:rsidRPr="00DE475B">
              <w:t>Donations received</w:t>
            </w:r>
          </w:p>
        </w:tc>
        <w:tc>
          <w:tcPr>
            <w:tcW w:w="1266" w:type="dxa"/>
            <w:shd w:val="clear" w:color="auto" w:fill="auto"/>
            <w:vAlign w:val="center"/>
          </w:tcPr>
          <w:p w:rsidR="005C4A0A" w:rsidRPr="00DE475B" w:rsidRDefault="00381AF3" w:rsidP="00E92394">
            <w:pPr>
              <w:pStyle w:val="ARbodytext"/>
              <w:jc w:val="right"/>
            </w:pPr>
            <w:r>
              <w:t>512</w:t>
            </w:r>
          </w:p>
        </w:tc>
        <w:tc>
          <w:tcPr>
            <w:tcW w:w="1266" w:type="dxa"/>
            <w:shd w:val="clear" w:color="auto" w:fill="auto"/>
            <w:vAlign w:val="center"/>
          </w:tcPr>
          <w:p w:rsidR="005C4A0A" w:rsidRPr="00DE475B" w:rsidRDefault="005C4A0A" w:rsidP="00A2292F">
            <w:pPr>
              <w:pStyle w:val="ARbodytext"/>
              <w:jc w:val="right"/>
            </w:pPr>
            <w:r w:rsidRPr="00DE475B">
              <w:t>470</w:t>
            </w:r>
          </w:p>
        </w:tc>
        <w:tc>
          <w:tcPr>
            <w:tcW w:w="1267" w:type="dxa"/>
            <w:shd w:val="clear" w:color="auto" w:fill="auto"/>
            <w:vAlign w:val="center"/>
          </w:tcPr>
          <w:p w:rsidR="005C4A0A" w:rsidRPr="00DE475B" w:rsidRDefault="00381AF3" w:rsidP="00A2292F">
            <w:pPr>
              <w:pStyle w:val="ARbodytext"/>
              <w:jc w:val="right"/>
            </w:pPr>
            <w:r>
              <w:t>-</w:t>
            </w:r>
          </w:p>
        </w:tc>
        <w:tc>
          <w:tcPr>
            <w:tcW w:w="1267" w:type="dxa"/>
            <w:shd w:val="clear" w:color="auto" w:fill="auto"/>
            <w:vAlign w:val="center"/>
          </w:tcPr>
          <w:p w:rsidR="005C4A0A" w:rsidRPr="00DE475B" w:rsidRDefault="005C4A0A" w:rsidP="00A2292F">
            <w:pPr>
              <w:pStyle w:val="ARbodytext"/>
              <w:jc w:val="right"/>
            </w:pPr>
            <w:r w:rsidRPr="00DE475B">
              <w:t xml:space="preserve">-  </w:t>
            </w:r>
          </w:p>
        </w:tc>
        <w:tc>
          <w:tcPr>
            <w:tcW w:w="1267" w:type="dxa"/>
            <w:shd w:val="clear" w:color="auto" w:fill="auto"/>
            <w:vAlign w:val="center"/>
          </w:tcPr>
          <w:p w:rsidR="005C4A0A" w:rsidRPr="00DE475B" w:rsidRDefault="00381AF3" w:rsidP="00A2292F">
            <w:pPr>
              <w:pStyle w:val="ARbodytext"/>
              <w:jc w:val="right"/>
            </w:pPr>
            <w:r>
              <w:t>-</w:t>
            </w:r>
          </w:p>
        </w:tc>
        <w:tc>
          <w:tcPr>
            <w:tcW w:w="1267" w:type="dxa"/>
            <w:shd w:val="clear" w:color="auto" w:fill="auto"/>
            <w:vAlign w:val="center"/>
          </w:tcPr>
          <w:p w:rsidR="005C4A0A" w:rsidRPr="00DE475B" w:rsidRDefault="005C4A0A" w:rsidP="00A2292F">
            <w:pPr>
              <w:pStyle w:val="ARbodytext"/>
              <w:jc w:val="right"/>
            </w:pPr>
            <w:r w:rsidRPr="00DE475B">
              <w:t xml:space="preserve">-  </w:t>
            </w:r>
          </w:p>
        </w:tc>
        <w:tc>
          <w:tcPr>
            <w:tcW w:w="1267" w:type="dxa"/>
            <w:vAlign w:val="center"/>
          </w:tcPr>
          <w:p w:rsidR="005C4A0A" w:rsidRPr="00DE475B" w:rsidRDefault="00381AF3" w:rsidP="00A2292F">
            <w:pPr>
              <w:pStyle w:val="ARbodytext"/>
              <w:jc w:val="right"/>
            </w:pPr>
            <w:r>
              <w:t>512</w:t>
            </w:r>
          </w:p>
        </w:tc>
        <w:tc>
          <w:tcPr>
            <w:tcW w:w="1267" w:type="dxa"/>
            <w:vAlign w:val="center"/>
          </w:tcPr>
          <w:p w:rsidR="005C4A0A" w:rsidRPr="00DE475B" w:rsidRDefault="005C4A0A" w:rsidP="00A2292F">
            <w:pPr>
              <w:pStyle w:val="ARbodytext"/>
              <w:jc w:val="right"/>
            </w:pPr>
            <w:r w:rsidRPr="00DE475B">
              <w:t xml:space="preserve">470 </w:t>
            </w:r>
          </w:p>
        </w:tc>
      </w:tr>
      <w:tr w:rsidR="005C4A0A" w:rsidRPr="00DE475B" w:rsidTr="00E92394">
        <w:trPr>
          <w:trHeight w:val="315"/>
        </w:trPr>
        <w:tc>
          <w:tcPr>
            <w:tcW w:w="4041" w:type="dxa"/>
            <w:shd w:val="clear" w:color="auto" w:fill="auto"/>
            <w:vAlign w:val="center"/>
          </w:tcPr>
          <w:p w:rsidR="005C4A0A" w:rsidRPr="00DE475B" w:rsidRDefault="005C4A0A" w:rsidP="002C449A">
            <w:pPr>
              <w:pStyle w:val="ARbodytext"/>
            </w:pPr>
            <w:r w:rsidRPr="00DE475B">
              <w:t>Disposals</w:t>
            </w:r>
          </w:p>
        </w:tc>
        <w:tc>
          <w:tcPr>
            <w:tcW w:w="1266" w:type="dxa"/>
            <w:shd w:val="clear" w:color="auto" w:fill="auto"/>
            <w:vAlign w:val="center"/>
          </w:tcPr>
          <w:p w:rsidR="005C4A0A" w:rsidRPr="00DE475B" w:rsidRDefault="00381AF3" w:rsidP="00E92394">
            <w:pPr>
              <w:pStyle w:val="ARbodytext"/>
              <w:jc w:val="right"/>
            </w:pPr>
            <w:r>
              <w:t>-</w:t>
            </w:r>
          </w:p>
        </w:tc>
        <w:tc>
          <w:tcPr>
            <w:tcW w:w="1266" w:type="dxa"/>
            <w:shd w:val="clear" w:color="auto" w:fill="auto"/>
            <w:vAlign w:val="center"/>
          </w:tcPr>
          <w:p w:rsidR="005C4A0A" w:rsidRPr="00DE475B" w:rsidRDefault="005C4A0A" w:rsidP="00A2292F">
            <w:pPr>
              <w:pStyle w:val="ARbodytext"/>
              <w:jc w:val="right"/>
            </w:pPr>
            <w:r w:rsidRPr="00DE475B">
              <w:t>-</w:t>
            </w:r>
          </w:p>
        </w:tc>
        <w:tc>
          <w:tcPr>
            <w:tcW w:w="1267" w:type="dxa"/>
            <w:shd w:val="clear" w:color="auto" w:fill="auto"/>
            <w:vAlign w:val="center"/>
          </w:tcPr>
          <w:p w:rsidR="005C4A0A" w:rsidRPr="00DE475B" w:rsidRDefault="00381AF3" w:rsidP="00A2292F">
            <w:pPr>
              <w:pStyle w:val="ARbodytext"/>
              <w:jc w:val="right"/>
            </w:pPr>
            <w:r>
              <w:t>-</w:t>
            </w:r>
          </w:p>
        </w:tc>
        <w:tc>
          <w:tcPr>
            <w:tcW w:w="1267" w:type="dxa"/>
            <w:shd w:val="clear" w:color="auto" w:fill="auto"/>
            <w:vAlign w:val="center"/>
          </w:tcPr>
          <w:p w:rsidR="005C4A0A" w:rsidRPr="00DE475B" w:rsidRDefault="005C4A0A" w:rsidP="00A2292F">
            <w:pPr>
              <w:pStyle w:val="ARbodytext"/>
              <w:jc w:val="right"/>
            </w:pPr>
            <w:r w:rsidRPr="00DE475B">
              <w:t xml:space="preserve">-  </w:t>
            </w:r>
          </w:p>
        </w:tc>
        <w:tc>
          <w:tcPr>
            <w:tcW w:w="1267" w:type="dxa"/>
            <w:shd w:val="clear" w:color="auto" w:fill="auto"/>
            <w:vAlign w:val="center"/>
          </w:tcPr>
          <w:p w:rsidR="005C4A0A" w:rsidRPr="00DE475B" w:rsidRDefault="00381AF3" w:rsidP="00A2292F">
            <w:pPr>
              <w:pStyle w:val="ARbodytext"/>
              <w:jc w:val="right"/>
            </w:pPr>
            <w:r>
              <w:t>(2)</w:t>
            </w:r>
          </w:p>
        </w:tc>
        <w:tc>
          <w:tcPr>
            <w:tcW w:w="1267" w:type="dxa"/>
            <w:shd w:val="clear" w:color="auto" w:fill="auto"/>
            <w:vAlign w:val="center"/>
          </w:tcPr>
          <w:p w:rsidR="005C4A0A" w:rsidRPr="00DE475B" w:rsidRDefault="005C4A0A" w:rsidP="00A2292F">
            <w:pPr>
              <w:pStyle w:val="ARbodytext"/>
              <w:jc w:val="right"/>
            </w:pPr>
            <w:r w:rsidRPr="00DE475B">
              <w:t>(44)</w:t>
            </w:r>
          </w:p>
        </w:tc>
        <w:tc>
          <w:tcPr>
            <w:tcW w:w="1267" w:type="dxa"/>
            <w:vAlign w:val="center"/>
          </w:tcPr>
          <w:p w:rsidR="005C4A0A" w:rsidRPr="00DE475B" w:rsidRDefault="00381AF3" w:rsidP="00A2292F">
            <w:pPr>
              <w:pStyle w:val="ARbodytext"/>
              <w:jc w:val="right"/>
            </w:pPr>
            <w:r>
              <w:t>(2)</w:t>
            </w:r>
          </w:p>
        </w:tc>
        <w:tc>
          <w:tcPr>
            <w:tcW w:w="1267" w:type="dxa"/>
            <w:vAlign w:val="center"/>
          </w:tcPr>
          <w:p w:rsidR="005C4A0A" w:rsidRPr="00DE475B" w:rsidRDefault="005C4A0A" w:rsidP="00A2292F">
            <w:pPr>
              <w:pStyle w:val="ARbodytext"/>
              <w:jc w:val="right"/>
            </w:pPr>
            <w:r w:rsidRPr="00DE475B">
              <w:t>(44)</w:t>
            </w:r>
          </w:p>
        </w:tc>
      </w:tr>
      <w:tr w:rsidR="005C4A0A" w:rsidRPr="00DE475B" w:rsidTr="00E92394">
        <w:trPr>
          <w:trHeight w:val="315"/>
        </w:trPr>
        <w:tc>
          <w:tcPr>
            <w:tcW w:w="4041" w:type="dxa"/>
            <w:shd w:val="clear" w:color="auto" w:fill="auto"/>
            <w:vAlign w:val="center"/>
          </w:tcPr>
          <w:p w:rsidR="005C4A0A" w:rsidRPr="00DE475B" w:rsidRDefault="005C4A0A" w:rsidP="002C449A">
            <w:pPr>
              <w:pStyle w:val="ARbodytext"/>
            </w:pPr>
            <w:r w:rsidRPr="00DE475B">
              <w:t>Transfers between asset classes</w:t>
            </w:r>
          </w:p>
        </w:tc>
        <w:tc>
          <w:tcPr>
            <w:tcW w:w="1266" w:type="dxa"/>
            <w:shd w:val="clear" w:color="auto" w:fill="auto"/>
            <w:vAlign w:val="center"/>
          </w:tcPr>
          <w:p w:rsidR="005C4A0A" w:rsidRPr="00DE475B" w:rsidRDefault="00381AF3" w:rsidP="00E92394">
            <w:pPr>
              <w:pStyle w:val="ARbodytext"/>
              <w:jc w:val="right"/>
            </w:pPr>
            <w:r>
              <w:t>-</w:t>
            </w:r>
          </w:p>
        </w:tc>
        <w:tc>
          <w:tcPr>
            <w:tcW w:w="1266" w:type="dxa"/>
            <w:shd w:val="clear" w:color="auto" w:fill="auto"/>
            <w:vAlign w:val="center"/>
          </w:tcPr>
          <w:p w:rsidR="005C4A0A" w:rsidRPr="00DE475B" w:rsidRDefault="005C4A0A" w:rsidP="00A2292F">
            <w:pPr>
              <w:pStyle w:val="ARbodytext"/>
              <w:jc w:val="right"/>
            </w:pPr>
            <w:r w:rsidRPr="00DE475B">
              <w:t>342</w:t>
            </w:r>
          </w:p>
        </w:tc>
        <w:tc>
          <w:tcPr>
            <w:tcW w:w="1267" w:type="dxa"/>
            <w:shd w:val="clear" w:color="auto" w:fill="auto"/>
            <w:vAlign w:val="center"/>
          </w:tcPr>
          <w:p w:rsidR="005C4A0A" w:rsidRPr="00DE475B" w:rsidRDefault="00381AF3" w:rsidP="00A2292F">
            <w:pPr>
              <w:pStyle w:val="ARbodytext"/>
              <w:jc w:val="right"/>
            </w:pPr>
            <w:r>
              <w:t>-</w:t>
            </w:r>
          </w:p>
        </w:tc>
        <w:tc>
          <w:tcPr>
            <w:tcW w:w="1267" w:type="dxa"/>
            <w:shd w:val="clear" w:color="auto" w:fill="auto"/>
            <w:vAlign w:val="center"/>
          </w:tcPr>
          <w:p w:rsidR="005C4A0A" w:rsidRPr="00DE475B" w:rsidRDefault="005C4A0A" w:rsidP="00A2292F">
            <w:pPr>
              <w:pStyle w:val="ARbodytext"/>
              <w:jc w:val="right"/>
            </w:pPr>
            <w:r w:rsidRPr="00DE475B">
              <w:t>(342)</w:t>
            </w:r>
          </w:p>
        </w:tc>
        <w:tc>
          <w:tcPr>
            <w:tcW w:w="1267" w:type="dxa"/>
            <w:shd w:val="clear" w:color="auto" w:fill="auto"/>
            <w:vAlign w:val="center"/>
          </w:tcPr>
          <w:p w:rsidR="005C4A0A" w:rsidRPr="00DE475B" w:rsidRDefault="00381AF3" w:rsidP="00A2292F">
            <w:pPr>
              <w:pStyle w:val="ARbodytext"/>
              <w:jc w:val="right"/>
            </w:pPr>
            <w:r>
              <w:t>-</w:t>
            </w:r>
          </w:p>
        </w:tc>
        <w:tc>
          <w:tcPr>
            <w:tcW w:w="1267" w:type="dxa"/>
            <w:shd w:val="clear" w:color="auto" w:fill="auto"/>
            <w:vAlign w:val="center"/>
          </w:tcPr>
          <w:p w:rsidR="005C4A0A" w:rsidRPr="00DE475B" w:rsidRDefault="005C4A0A" w:rsidP="00A2292F">
            <w:pPr>
              <w:pStyle w:val="ARbodytext"/>
              <w:jc w:val="right"/>
            </w:pPr>
            <w:r w:rsidRPr="00DE475B">
              <w:t xml:space="preserve">-  </w:t>
            </w:r>
          </w:p>
        </w:tc>
        <w:tc>
          <w:tcPr>
            <w:tcW w:w="1267" w:type="dxa"/>
            <w:vAlign w:val="center"/>
          </w:tcPr>
          <w:p w:rsidR="005C4A0A" w:rsidRPr="00DE475B" w:rsidRDefault="00381AF3" w:rsidP="00A2292F">
            <w:pPr>
              <w:pStyle w:val="ARbodytext"/>
              <w:jc w:val="right"/>
            </w:pPr>
            <w:r>
              <w:t>-</w:t>
            </w:r>
          </w:p>
        </w:tc>
        <w:tc>
          <w:tcPr>
            <w:tcW w:w="1267" w:type="dxa"/>
            <w:vAlign w:val="center"/>
          </w:tcPr>
          <w:p w:rsidR="005C4A0A" w:rsidRPr="00DE475B" w:rsidRDefault="005C4A0A" w:rsidP="00A2292F">
            <w:pPr>
              <w:pStyle w:val="ARbodytext"/>
              <w:jc w:val="right"/>
            </w:pPr>
            <w:r w:rsidRPr="00DE475B">
              <w:t xml:space="preserve">-  </w:t>
            </w:r>
          </w:p>
        </w:tc>
      </w:tr>
      <w:tr w:rsidR="005C4A0A" w:rsidRPr="00DE475B" w:rsidTr="00E92394">
        <w:trPr>
          <w:trHeight w:val="315"/>
        </w:trPr>
        <w:tc>
          <w:tcPr>
            <w:tcW w:w="4041" w:type="dxa"/>
            <w:shd w:val="clear" w:color="auto" w:fill="auto"/>
            <w:vAlign w:val="center"/>
          </w:tcPr>
          <w:p w:rsidR="005C4A0A" w:rsidRPr="00DE475B" w:rsidRDefault="005C4A0A" w:rsidP="002C449A">
            <w:pPr>
              <w:pStyle w:val="ARbodytext"/>
            </w:pPr>
            <w:r w:rsidRPr="00DE475B">
              <w:t>Net revaluation increments/(decrements)</w:t>
            </w:r>
          </w:p>
        </w:tc>
        <w:tc>
          <w:tcPr>
            <w:tcW w:w="1266" w:type="dxa"/>
            <w:shd w:val="clear" w:color="auto" w:fill="auto"/>
            <w:vAlign w:val="center"/>
          </w:tcPr>
          <w:p w:rsidR="005C4A0A" w:rsidRPr="00DE475B" w:rsidRDefault="00381AF3" w:rsidP="00E92394">
            <w:pPr>
              <w:pStyle w:val="ARbodytext"/>
              <w:jc w:val="right"/>
            </w:pPr>
            <w:r>
              <w:t>16,711</w:t>
            </w:r>
          </w:p>
        </w:tc>
        <w:tc>
          <w:tcPr>
            <w:tcW w:w="1266" w:type="dxa"/>
            <w:shd w:val="clear" w:color="auto" w:fill="auto"/>
            <w:vAlign w:val="center"/>
          </w:tcPr>
          <w:p w:rsidR="005C4A0A" w:rsidRPr="00DE475B" w:rsidRDefault="005C4A0A" w:rsidP="00A2292F">
            <w:pPr>
              <w:pStyle w:val="ARbodytext"/>
              <w:jc w:val="right"/>
            </w:pPr>
            <w:r w:rsidRPr="00DE475B">
              <w:t>(867)</w:t>
            </w:r>
          </w:p>
        </w:tc>
        <w:tc>
          <w:tcPr>
            <w:tcW w:w="1267" w:type="dxa"/>
            <w:shd w:val="clear" w:color="auto" w:fill="auto"/>
            <w:vAlign w:val="center"/>
          </w:tcPr>
          <w:p w:rsidR="005C4A0A" w:rsidRPr="00DE475B" w:rsidRDefault="00381AF3" w:rsidP="00A2292F">
            <w:pPr>
              <w:pStyle w:val="ARbodytext"/>
              <w:jc w:val="right"/>
            </w:pPr>
            <w:r>
              <w:t>(338)</w:t>
            </w:r>
          </w:p>
        </w:tc>
        <w:tc>
          <w:tcPr>
            <w:tcW w:w="1267" w:type="dxa"/>
            <w:shd w:val="clear" w:color="auto" w:fill="auto"/>
            <w:vAlign w:val="center"/>
          </w:tcPr>
          <w:p w:rsidR="005C4A0A" w:rsidRPr="00DE475B" w:rsidRDefault="005C4A0A" w:rsidP="00A2292F">
            <w:pPr>
              <w:pStyle w:val="ARbodytext"/>
              <w:jc w:val="right"/>
            </w:pPr>
            <w:r w:rsidRPr="00DE475B">
              <w:t xml:space="preserve">214 </w:t>
            </w:r>
          </w:p>
        </w:tc>
        <w:tc>
          <w:tcPr>
            <w:tcW w:w="1267" w:type="dxa"/>
            <w:shd w:val="clear" w:color="auto" w:fill="auto"/>
            <w:vAlign w:val="center"/>
          </w:tcPr>
          <w:p w:rsidR="005C4A0A" w:rsidRPr="00DE475B" w:rsidRDefault="00381AF3" w:rsidP="00A2292F">
            <w:pPr>
              <w:pStyle w:val="ARbodytext"/>
              <w:jc w:val="right"/>
            </w:pPr>
            <w:r>
              <w:t>-</w:t>
            </w:r>
          </w:p>
        </w:tc>
        <w:tc>
          <w:tcPr>
            <w:tcW w:w="1267" w:type="dxa"/>
            <w:shd w:val="clear" w:color="auto" w:fill="auto"/>
            <w:vAlign w:val="center"/>
          </w:tcPr>
          <w:p w:rsidR="005C4A0A" w:rsidRPr="00DE475B" w:rsidRDefault="005C4A0A" w:rsidP="00A2292F">
            <w:pPr>
              <w:pStyle w:val="ARbodytext"/>
              <w:jc w:val="right"/>
            </w:pPr>
            <w:r w:rsidRPr="00DE475B">
              <w:t xml:space="preserve">-  </w:t>
            </w:r>
          </w:p>
        </w:tc>
        <w:tc>
          <w:tcPr>
            <w:tcW w:w="1267" w:type="dxa"/>
            <w:vAlign w:val="center"/>
          </w:tcPr>
          <w:p w:rsidR="005C4A0A" w:rsidRPr="00DE475B" w:rsidRDefault="00381AF3" w:rsidP="00A2292F">
            <w:pPr>
              <w:pStyle w:val="ARbodytext"/>
              <w:jc w:val="right"/>
            </w:pPr>
            <w:r>
              <w:t>16,373</w:t>
            </w:r>
          </w:p>
        </w:tc>
        <w:tc>
          <w:tcPr>
            <w:tcW w:w="1267" w:type="dxa"/>
            <w:vAlign w:val="center"/>
          </w:tcPr>
          <w:p w:rsidR="005C4A0A" w:rsidRPr="00DE475B" w:rsidRDefault="005C4A0A" w:rsidP="00A2292F">
            <w:pPr>
              <w:pStyle w:val="ARbodytext"/>
              <w:jc w:val="right"/>
            </w:pPr>
            <w:r w:rsidRPr="00DE475B">
              <w:t>(653)</w:t>
            </w:r>
          </w:p>
        </w:tc>
      </w:tr>
      <w:tr w:rsidR="005C4A0A" w:rsidRPr="00DE475B" w:rsidTr="00E92394">
        <w:trPr>
          <w:trHeight w:val="315"/>
        </w:trPr>
        <w:tc>
          <w:tcPr>
            <w:tcW w:w="4041" w:type="dxa"/>
            <w:shd w:val="clear" w:color="auto" w:fill="auto"/>
            <w:vAlign w:val="center"/>
          </w:tcPr>
          <w:p w:rsidR="005C4A0A" w:rsidRPr="00DE475B" w:rsidRDefault="005C4A0A" w:rsidP="002C449A">
            <w:pPr>
              <w:pStyle w:val="ARbodytext"/>
            </w:pPr>
            <w:r w:rsidRPr="00DE475B">
              <w:t>Depreciation expense</w:t>
            </w:r>
          </w:p>
        </w:tc>
        <w:tc>
          <w:tcPr>
            <w:tcW w:w="1266" w:type="dxa"/>
            <w:shd w:val="clear" w:color="auto" w:fill="auto"/>
            <w:vAlign w:val="center"/>
          </w:tcPr>
          <w:p w:rsidR="005C4A0A" w:rsidRPr="00DE475B" w:rsidRDefault="00381AF3" w:rsidP="00E92394">
            <w:pPr>
              <w:pStyle w:val="ARbodytext"/>
              <w:jc w:val="right"/>
            </w:pPr>
            <w:r>
              <w:t>-</w:t>
            </w:r>
          </w:p>
        </w:tc>
        <w:tc>
          <w:tcPr>
            <w:tcW w:w="1266" w:type="dxa"/>
            <w:shd w:val="clear" w:color="auto" w:fill="auto"/>
            <w:vAlign w:val="center"/>
          </w:tcPr>
          <w:p w:rsidR="005C4A0A" w:rsidRPr="00DE475B" w:rsidRDefault="005C4A0A" w:rsidP="00A2292F">
            <w:pPr>
              <w:pStyle w:val="ARbodytext"/>
              <w:jc w:val="right"/>
            </w:pPr>
            <w:r w:rsidRPr="00DE475B">
              <w:t>-</w:t>
            </w:r>
          </w:p>
        </w:tc>
        <w:tc>
          <w:tcPr>
            <w:tcW w:w="1267" w:type="dxa"/>
            <w:shd w:val="clear" w:color="auto" w:fill="auto"/>
            <w:vAlign w:val="center"/>
          </w:tcPr>
          <w:p w:rsidR="005C4A0A" w:rsidRPr="00DE475B" w:rsidRDefault="00381AF3" w:rsidP="00A2292F">
            <w:pPr>
              <w:pStyle w:val="ARbodytext"/>
              <w:jc w:val="right"/>
            </w:pPr>
            <w:r>
              <w:t>-</w:t>
            </w:r>
          </w:p>
        </w:tc>
        <w:tc>
          <w:tcPr>
            <w:tcW w:w="1267" w:type="dxa"/>
            <w:shd w:val="clear" w:color="auto" w:fill="auto"/>
            <w:vAlign w:val="center"/>
          </w:tcPr>
          <w:p w:rsidR="005C4A0A" w:rsidRPr="00DE475B" w:rsidRDefault="005C4A0A" w:rsidP="00A2292F">
            <w:pPr>
              <w:pStyle w:val="ARbodytext"/>
              <w:jc w:val="right"/>
            </w:pPr>
            <w:r w:rsidRPr="00DE475B">
              <w:t xml:space="preserve">-  </w:t>
            </w:r>
          </w:p>
        </w:tc>
        <w:tc>
          <w:tcPr>
            <w:tcW w:w="1267" w:type="dxa"/>
            <w:shd w:val="clear" w:color="auto" w:fill="auto"/>
            <w:vAlign w:val="center"/>
          </w:tcPr>
          <w:p w:rsidR="005C4A0A" w:rsidRPr="00DE475B" w:rsidRDefault="00381AF3" w:rsidP="00A2292F">
            <w:pPr>
              <w:pStyle w:val="ARbodytext"/>
              <w:jc w:val="right"/>
            </w:pPr>
            <w:r>
              <w:t>(517)</w:t>
            </w:r>
          </w:p>
        </w:tc>
        <w:tc>
          <w:tcPr>
            <w:tcW w:w="1267" w:type="dxa"/>
            <w:shd w:val="clear" w:color="auto" w:fill="auto"/>
            <w:vAlign w:val="center"/>
          </w:tcPr>
          <w:p w:rsidR="005C4A0A" w:rsidRPr="00DE475B" w:rsidRDefault="005C4A0A" w:rsidP="00A2292F">
            <w:pPr>
              <w:pStyle w:val="ARbodytext"/>
              <w:jc w:val="right"/>
            </w:pPr>
            <w:r w:rsidRPr="00DE475B">
              <w:t>(443)</w:t>
            </w:r>
          </w:p>
        </w:tc>
        <w:tc>
          <w:tcPr>
            <w:tcW w:w="1267" w:type="dxa"/>
            <w:vAlign w:val="center"/>
          </w:tcPr>
          <w:p w:rsidR="005C4A0A" w:rsidRPr="00DE475B" w:rsidRDefault="00381AF3" w:rsidP="00A2292F">
            <w:pPr>
              <w:pStyle w:val="ARbodytext"/>
              <w:jc w:val="right"/>
            </w:pPr>
            <w:r>
              <w:t>(517)</w:t>
            </w:r>
          </w:p>
        </w:tc>
        <w:tc>
          <w:tcPr>
            <w:tcW w:w="1267" w:type="dxa"/>
            <w:vAlign w:val="center"/>
          </w:tcPr>
          <w:p w:rsidR="005C4A0A" w:rsidRPr="00DE475B" w:rsidRDefault="005C4A0A" w:rsidP="00A2292F">
            <w:pPr>
              <w:pStyle w:val="ARbodytext"/>
              <w:jc w:val="right"/>
            </w:pPr>
            <w:r w:rsidRPr="00DE475B">
              <w:t>(443)</w:t>
            </w:r>
          </w:p>
        </w:tc>
      </w:tr>
      <w:tr w:rsidR="005C4A0A" w:rsidRPr="00DE475B" w:rsidTr="00E92394">
        <w:trPr>
          <w:trHeight w:val="139"/>
        </w:trPr>
        <w:tc>
          <w:tcPr>
            <w:tcW w:w="4041" w:type="dxa"/>
            <w:shd w:val="clear" w:color="auto" w:fill="auto"/>
            <w:vAlign w:val="center"/>
          </w:tcPr>
          <w:p w:rsidR="005C4A0A" w:rsidRPr="00DE475B" w:rsidRDefault="005C4A0A" w:rsidP="002C449A">
            <w:pPr>
              <w:pStyle w:val="ARbodytext"/>
            </w:pPr>
          </w:p>
        </w:tc>
        <w:tc>
          <w:tcPr>
            <w:tcW w:w="1266" w:type="dxa"/>
            <w:tcBorders>
              <w:bottom w:val="single" w:sz="12" w:space="0" w:color="000000"/>
            </w:tcBorders>
            <w:shd w:val="clear" w:color="auto" w:fill="auto"/>
            <w:vAlign w:val="center"/>
          </w:tcPr>
          <w:p w:rsidR="005C4A0A" w:rsidRPr="00DE475B" w:rsidRDefault="005C4A0A" w:rsidP="00E92394">
            <w:pPr>
              <w:pStyle w:val="ARbodytext"/>
              <w:jc w:val="right"/>
            </w:pPr>
          </w:p>
        </w:tc>
        <w:tc>
          <w:tcPr>
            <w:tcW w:w="1266" w:type="dxa"/>
            <w:tcBorders>
              <w:bottom w:val="single" w:sz="12" w:space="0" w:color="000000"/>
            </w:tcBorders>
            <w:shd w:val="clear" w:color="auto" w:fill="auto"/>
            <w:vAlign w:val="center"/>
          </w:tcPr>
          <w:p w:rsidR="005C4A0A" w:rsidRPr="00DE475B" w:rsidRDefault="005C4A0A" w:rsidP="00A2292F">
            <w:pPr>
              <w:pStyle w:val="ARbodytext"/>
              <w:jc w:val="right"/>
            </w:pPr>
          </w:p>
        </w:tc>
        <w:tc>
          <w:tcPr>
            <w:tcW w:w="1267" w:type="dxa"/>
            <w:tcBorders>
              <w:bottom w:val="single" w:sz="12" w:space="0" w:color="000000"/>
            </w:tcBorders>
            <w:shd w:val="clear" w:color="auto" w:fill="auto"/>
            <w:vAlign w:val="center"/>
          </w:tcPr>
          <w:p w:rsidR="005C4A0A" w:rsidRPr="00DE475B" w:rsidRDefault="005C4A0A" w:rsidP="00A2292F">
            <w:pPr>
              <w:pStyle w:val="ARbodytext"/>
              <w:jc w:val="right"/>
            </w:pPr>
          </w:p>
        </w:tc>
        <w:tc>
          <w:tcPr>
            <w:tcW w:w="1267" w:type="dxa"/>
            <w:tcBorders>
              <w:bottom w:val="single" w:sz="12" w:space="0" w:color="000000"/>
            </w:tcBorders>
            <w:shd w:val="clear" w:color="auto" w:fill="auto"/>
            <w:vAlign w:val="center"/>
          </w:tcPr>
          <w:p w:rsidR="005C4A0A" w:rsidRPr="00DE475B" w:rsidRDefault="005C4A0A" w:rsidP="00A2292F">
            <w:pPr>
              <w:pStyle w:val="ARbodytext"/>
              <w:jc w:val="right"/>
            </w:pPr>
          </w:p>
        </w:tc>
        <w:tc>
          <w:tcPr>
            <w:tcW w:w="1267" w:type="dxa"/>
            <w:tcBorders>
              <w:bottom w:val="single" w:sz="12" w:space="0" w:color="000000"/>
            </w:tcBorders>
            <w:shd w:val="clear" w:color="auto" w:fill="auto"/>
            <w:vAlign w:val="center"/>
          </w:tcPr>
          <w:p w:rsidR="005C4A0A" w:rsidRPr="00DE475B" w:rsidRDefault="005C4A0A" w:rsidP="00A2292F">
            <w:pPr>
              <w:pStyle w:val="ARbodytext"/>
              <w:jc w:val="right"/>
            </w:pPr>
          </w:p>
        </w:tc>
        <w:tc>
          <w:tcPr>
            <w:tcW w:w="1267" w:type="dxa"/>
            <w:tcBorders>
              <w:bottom w:val="single" w:sz="12" w:space="0" w:color="000000"/>
            </w:tcBorders>
            <w:shd w:val="clear" w:color="auto" w:fill="auto"/>
            <w:vAlign w:val="center"/>
          </w:tcPr>
          <w:p w:rsidR="005C4A0A" w:rsidRPr="00DE475B" w:rsidRDefault="005C4A0A" w:rsidP="00A2292F">
            <w:pPr>
              <w:pStyle w:val="ARbodytext"/>
              <w:jc w:val="right"/>
            </w:pPr>
          </w:p>
        </w:tc>
        <w:tc>
          <w:tcPr>
            <w:tcW w:w="1267" w:type="dxa"/>
            <w:tcBorders>
              <w:bottom w:val="single" w:sz="12" w:space="0" w:color="000000"/>
            </w:tcBorders>
            <w:vAlign w:val="center"/>
          </w:tcPr>
          <w:p w:rsidR="005C4A0A" w:rsidRPr="00DE475B" w:rsidRDefault="005C4A0A" w:rsidP="00A2292F">
            <w:pPr>
              <w:pStyle w:val="ARbodytext"/>
              <w:jc w:val="right"/>
            </w:pPr>
          </w:p>
        </w:tc>
        <w:tc>
          <w:tcPr>
            <w:tcW w:w="1267" w:type="dxa"/>
            <w:tcBorders>
              <w:bottom w:val="single" w:sz="12" w:space="0" w:color="000000"/>
            </w:tcBorders>
            <w:vAlign w:val="center"/>
          </w:tcPr>
          <w:p w:rsidR="005C4A0A" w:rsidRPr="00DE475B" w:rsidRDefault="005C4A0A" w:rsidP="00A2292F">
            <w:pPr>
              <w:pStyle w:val="ARbodytext"/>
              <w:jc w:val="right"/>
            </w:pPr>
          </w:p>
        </w:tc>
      </w:tr>
      <w:tr w:rsidR="005C4A0A" w:rsidRPr="00DE475B" w:rsidTr="00E92394">
        <w:trPr>
          <w:trHeight w:val="301"/>
        </w:trPr>
        <w:tc>
          <w:tcPr>
            <w:tcW w:w="4041" w:type="dxa"/>
            <w:shd w:val="clear" w:color="auto" w:fill="auto"/>
            <w:vAlign w:val="center"/>
          </w:tcPr>
          <w:p w:rsidR="005C4A0A" w:rsidRPr="00DE475B" w:rsidRDefault="005C4A0A" w:rsidP="002C449A">
            <w:pPr>
              <w:pStyle w:val="ARbodytext"/>
            </w:pPr>
            <w:r w:rsidRPr="00DE475B">
              <w:rPr>
                <w:b/>
                <w:bCs/>
              </w:rPr>
              <w:t>Carrying amount at  30 June 2016</w:t>
            </w:r>
          </w:p>
        </w:tc>
        <w:tc>
          <w:tcPr>
            <w:tcW w:w="1266" w:type="dxa"/>
            <w:tcBorders>
              <w:top w:val="single" w:sz="12" w:space="0" w:color="000000"/>
              <w:bottom w:val="single" w:sz="12" w:space="0" w:color="000000"/>
            </w:tcBorders>
            <w:shd w:val="clear" w:color="auto" w:fill="auto"/>
            <w:vAlign w:val="center"/>
          </w:tcPr>
          <w:p w:rsidR="005C4A0A" w:rsidRPr="00381AF3" w:rsidRDefault="00381AF3" w:rsidP="00E92394">
            <w:pPr>
              <w:pStyle w:val="ARbodytext"/>
              <w:jc w:val="right"/>
              <w:rPr>
                <w:b/>
              </w:rPr>
            </w:pPr>
            <w:r w:rsidRPr="00381AF3">
              <w:rPr>
                <w:b/>
              </w:rPr>
              <w:t>79,390</w:t>
            </w:r>
          </w:p>
        </w:tc>
        <w:tc>
          <w:tcPr>
            <w:tcW w:w="1266" w:type="dxa"/>
            <w:tcBorders>
              <w:top w:val="single" w:sz="12" w:space="0" w:color="000000"/>
              <w:bottom w:val="single" w:sz="12" w:space="0" w:color="000000"/>
            </w:tcBorders>
            <w:shd w:val="clear" w:color="auto" w:fill="auto"/>
            <w:vAlign w:val="center"/>
          </w:tcPr>
          <w:p w:rsidR="005C4A0A" w:rsidRPr="00DE475B" w:rsidRDefault="005C4A0A" w:rsidP="00A2292F">
            <w:pPr>
              <w:pStyle w:val="ARbodytext"/>
              <w:jc w:val="right"/>
            </w:pPr>
            <w:r w:rsidRPr="00DE475B">
              <w:rPr>
                <w:b/>
                <w:bCs/>
              </w:rPr>
              <w:t>61,865</w:t>
            </w:r>
          </w:p>
        </w:tc>
        <w:tc>
          <w:tcPr>
            <w:tcW w:w="1267" w:type="dxa"/>
            <w:tcBorders>
              <w:top w:val="single" w:sz="12" w:space="0" w:color="000000"/>
              <w:bottom w:val="single" w:sz="12" w:space="0" w:color="000000"/>
            </w:tcBorders>
            <w:shd w:val="clear" w:color="auto" w:fill="auto"/>
            <w:vAlign w:val="center"/>
          </w:tcPr>
          <w:p w:rsidR="005C4A0A" w:rsidRPr="00DE475B" w:rsidRDefault="00381AF3" w:rsidP="00A2292F">
            <w:pPr>
              <w:pStyle w:val="ARbodytext"/>
              <w:jc w:val="right"/>
              <w:rPr>
                <w:b/>
                <w:bCs/>
              </w:rPr>
            </w:pPr>
            <w:r>
              <w:rPr>
                <w:b/>
                <w:bCs/>
              </w:rPr>
              <w:t>42,463</w:t>
            </w:r>
          </w:p>
        </w:tc>
        <w:tc>
          <w:tcPr>
            <w:tcW w:w="1267" w:type="dxa"/>
            <w:tcBorders>
              <w:top w:val="single" w:sz="12" w:space="0" w:color="000000"/>
              <w:bottom w:val="single" w:sz="12" w:space="0" w:color="000000"/>
            </w:tcBorders>
            <w:shd w:val="clear" w:color="auto" w:fill="auto"/>
            <w:vAlign w:val="center"/>
          </w:tcPr>
          <w:p w:rsidR="005C4A0A" w:rsidRPr="00DE475B" w:rsidRDefault="005C4A0A" w:rsidP="00A2292F">
            <w:pPr>
              <w:pStyle w:val="ARbodytext"/>
              <w:jc w:val="right"/>
              <w:rPr>
                <w:b/>
                <w:bCs/>
              </w:rPr>
            </w:pPr>
            <w:r w:rsidRPr="00DE475B">
              <w:rPr>
                <w:b/>
                <w:bCs/>
              </w:rPr>
              <w:t xml:space="preserve">42,553 </w:t>
            </w:r>
          </w:p>
        </w:tc>
        <w:tc>
          <w:tcPr>
            <w:tcW w:w="1267" w:type="dxa"/>
            <w:tcBorders>
              <w:top w:val="single" w:sz="12" w:space="0" w:color="000000"/>
              <w:bottom w:val="single" w:sz="12" w:space="0" w:color="000000"/>
            </w:tcBorders>
            <w:shd w:val="clear" w:color="auto" w:fill="auto"/>
            <w:vAlign w:val="center"/>
          </w:tcPr>
          <w:p w:rsidR="005C4A0A" w:rsidRPr="00DE475B" w:rsidRDefault="00381AF3" w:rsidP="00A2292F">
            <w:pPr>
              <w:pStyle w:val="ARbodytext"/>
              <w:jc w:val="right"/>
              <w:rPr>
                <w:b/>
                <w:bCs/>
              </w:rPr>
            </w:pPr>
            <w:r>
              <w:rPr>
                <w:b/>
                <w:bCs/>
              </w:rPr>
              <w:t>1,401</w:t>
            </w:r>
          </w:p>
        </w:tc>
        <w:tc>
          <w:tcPr>
            <w:tcW w:w="1267" w:type="dxa"/>
            <w:tcBorders>
              <w:top w:val="single" w:sz="12" w:space="0" w:color="000000"/>
              <w:bottom w:val="single" w:sz="12" w:space="0" w:color="000000"/>
            </w:tcBorders>
            <w:shd w:val="clear" w:color="auto" w:fill="auto"/>
            <w:vAlign w:val="center"/>
          </w:tcPr>
          <w:p w:rsidR="005C4A0A" w:rsidRPr="00DE475B" w:rsidRDefault="005C4A0A" w:rsidP="00A2292F">
            <w:pPr>
              <w:pStyle w:val="ARbodytext"/>
              <w:jc w:val="right"/>
              <w:rPr>
                <w:b/>
                <w:bCs/>
              </w:rPr>
            </w:pPr>
            <w:r w:rsidRPr="00DE475B">
              <w:rPr>
                <w:b/>
                <w:bCs/>
              </w:rPr>
              <w:t xml:space="preserve">1,758 </w:t>
            </w:r>
          </w:p>
        </w:tc>
        <w:tc>
          <w:tcPr>
            <w:tcW w:w="1267" w:type="dxa"/>
            <w:tcBorders>
              <w:top w:val="single" w:sz="12" w:space="0" w:color="000000"/>
              <w:bottom w:val="single" w:sz="12" w:space="0" w:color="000000"/>
            </w:tcBorders>
            <w:vAlign w:val="center"/>
          </w:tcPr>
          <w:p w:rsidR="005C4A0A" w:rsidRPr="00DE475B" w:rsidRDefault="00381AF3" w:rsidP="00A2292F">
            <w:pPr>
              <w:pStyle w:val="ARbodytext"/>
              <w:jc w:val="right"/>
              <w:rPr>
                <w:b/>
                <w:bCs/>
              </w:rPr>
            </w:pPr>
            <w:r>
              <w:rPr>
                <w:b/>
                <w:bCs/>
              </w:rPr>
              <w:t>123,254</w:t>
            </w:r>
          </w:p>
        </w:tc>
        <w:tc>
          <w:tcPr>
            <w:tcW w:w="1267" w:type="dxa"/>
            <w:tcBorders>
              <w:top w:val="single" w:sz="12" w:space="0" w:color="000000"/>
              <w:bottom w:val="single" w:sz="12" w:space="0" w:color="000000"/>
            </w:tcBorders>
            <w:vAlign w:val="center"/>
          </w:tcPr>
          <w:p w:rsidR="005C4A0A" w:rsidRPr="00DE475B" w:rsidRDefault="005C4A0A" w:rsidP="00A2292F">
            <w:pPr>
              <w:pStyle w:val="ARbodytext"/>
              <w:jc w:val="right"/>
              <w:rPr>
                <w:b/>
                <w:bCs/>
              </w:rPr>
            </w:pPr>
            <w:r w:rsidRPr="00DE475B">
              <w:rPr>
                <w:b/>
                <w:bCs/>
              </w:rPr>
              <w:t xml:space="preserve">106,176 </w:t>
            </w:r>
          </w:p>
        </w:tc>
      </w:tr>
    </w:tbl>
    <w:p w:rsidR="00384F29" w:rsidRPr="00DE475B" w:rsidRDefault="00384F29" w:rsidP="0012795B">
      <w:pPr>
        <w:pStyle w:val="ARbodytext"/>
      </w:pPr>
    </w:p>
    <w:p w:rsidR="008232F0" w:rsidRPr="00DE475B" w:rsidRDefault="008232F0" w:rsidP="0012795B">
      <w:pPr>
        <w:pStyle w:val="ARbodytext"/>
      </w:pPr>
    </w:p>
    <w:p w:rsidR="008232F0" w:rsidRDefault="008232F0" w:rsidP="0012795B">
      <w:pPr>
        <w:pStyle w:val="ARbodytext"/>
      </w:pPr>
    </w:p>
    <w:p w:rsidR="005C4A0A" w:rsidRPr="00DE475B" w:rsidRDefault="005C4A0A" w:rsidP="005C4A0A">
      <w:pPr>
        <w:pStyle w:val="ARbodytext"/>
        <w:rPr>
          <w:b/>
          <w:bCs/>
        </w:rPr>
      </w:pPr>
      <w:r w:rsidRPr="00DE475B">
        <w:rPr>
          <w:noProof/>
          <w:lang w:eastAsia="en-AU"/>
        </w:rPr>
        <w:lastRenderedPageBreak/>
        <mc:AlternateContent>
          <mc:Choice Requires="wps">
            <w:drawing>
              <wp:anchor distT="0" distB="0" distL="114300" distR="114300" simplePos="0" relativeHeight="251731968" behindDoc="0" locked="0" layoutInCell="1" allowOverlap="1" wp14:anchorId="59ADBABC" wp14:editId="78E1B1FC">
                <wp:simplePos x="0" y="0"/>
                <wp:positionH relativeFrom="column">
                  <wp:posOffset>-76200</wp:posOffset>
                </wp:positionH>
                <wp:positionV relativeFrom="paragraph">
                  <wp:posOffset>-93345</wp:posOffset>
                </wp:positionV>
                <wp:extent cx="9061450" cy="0"/>
                <wp:effectExtent l="9525" t="5715" r="6350" b="13335"/>
                <wp:wrapNone/>
                <wp:docPr id="29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35pt" to="70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R8mQIAAHsFAAAOAAAAZHJzL2Uyb0RvYy54bWysVFFvmzAQfp+0/2D5nQIJIQkqqVpC9tJt&#10;ldppzw42wZqxme2GRFP/+85OYE33Mk1NJOSz7z5/d9+dr28OrUB7pg1XMsfxVYQRk5WiXO5y/O1p&#10;EywwMpZISoSSLMdHZvDN6uOH677L2EQ1SlCmEYBIk/VdjhtruywMTdWwlpgr1TEJh7XSLbFg6l1I&#10;NekBvRXhJIrSsFeadlpVzBjYXZ8O8crj1zWr7Ne6NswikWPgZv1X++/WfcPVNcl2mnQNr840yH+w&#10;aAmXcOkItSaWoGfN/4JqeaWVUbW9qlQbqrrmFfM5QDZx9Cabx4Z0zOcCxTHdWCbzfrDVl/2DRpzm&#10;eLKcYSRJCyLdc8mQs6E6fWcycCrkg3b5VQf52N2r6odBUhUNkTvmWT4dOwiMXUR4EeIM08Ed2/6z&#10;ouBDnq3ypTrUunWQUAR08IocR0XYwaIKNpdRGiczEK4azkKSDYGdNvYTUy1yixwLYO2Byf7eWEeE&#10;ZIOLu0eqDRfCCy4k6gF8mjpkAm1nfvpIowSnzsv5G73bFkKjPXG9438+PTh57dZyCx0seJvjxehE&#10;soYRWkrqr7OEi9MaKAnpwJnvzRNPsA4Wln4fEvd982sZLctFuUiCZJKWQRKt18HtpkiCdBPPZ+vp&#10;uijW8YtjHSdZwyll0hEfejhO/q1HztN06r6xi8dShZfovqZA9pLp7WYWzZPpIpjPZ9MgmZZRcLfY&#10;FMFtEafpvLwr7so3TEufvXkfsmMpHSv1DGo8NrRHlLummM6WkxiDATM/mZ/0QUTs4LGqrMZIK/ud&#10;28b3sOs+h3Eh/CJy/7PwI/qpEIOGzhpVOOf2p1Sg+aCvHw03Dae52ip6fNDDyMCE+6Dza+SekNc2&#10;rF+/mavfAAAA//8DAFBLAwQUAAYACAAAACEA4+ViPeAAAAAMAQAADwAAAGRycy9kb3ducmV2Lnht&#10;bEyPT0vDQBDF74LfYRnBi7Sb1PiHmE0RQTwI0tZS8bbNjkkwOxt2p0389m5AqLeZN483v1csR9uJ&#10;I/rQOlKQzhMQSJUzLdUKtu/Ps3sQgTUZ3TlCBT8YYFmenxU6N26gNR43XIsYQiHXChrmPpcyVA1a&#10;HeauR4q3L+et5rj6WhqvhxhuO7lIkltpdUvxQ6N7fGqw+t4crII3P7SBr7Nshfy5e3n9aFZXdq3U&#10;5cX4+ACCceSTGSb8iA5lZNq7A5kgOgWzdBG78DRkdyAmR5beRGn/J8mykP9LlL8AAAD//wMAUEsB&#10;Ai0AFAAGAAgAAAAhALaDOJL+AAAA4QEAABMAAAAAAAAAAAAAAAAAAAAAAFtDb250ZW50X1R5cGVz&#10;XS54bWxQSwECLQAUAAYACAAAACEAOP0h/9YAAACUAQAACwAAAAAAAAAAAAAAAAAvAQAAX3JlbHMv&#10;LnJlbHNQSwECLQAUAAYACAAAACEA76U0fJkCAAB7BQAADgAAAAAAAAAAAAAAAAAuAgAAZHJzL2Uy&#10;b0RvYy54bWxQSwECLQAUAAYACAAAACEA4+ViPeAAAAAMAQAADwAAAAAAAAAAAAAAAADzBAAAZHJz&#10;L2Rvd25yZXYueG1sUEsFBgAAAAAEAAQA8wAAAAAGAAAAAA==&#10;" strokeweight=".26mm">
                <v:stroke joinstyle="miter" endcap="square"/>
              </v:line>
            </w:pict>
          </mc:Fallback>
        </mc:AlternateContent>
      </w:r>
      <w:r w:rsidRPr="00DE475B">
        <w:rPr>
          <w:b/>
          <w:bCs/>
          <w:i/>
          <w:iCs/>
        </w:rPr>
        <w:t>Library Board of Queensland and controlled entities</w:t>
      </w:r>
    </w:p>
    <w:p w:rsidR="005C4A0A" w:rsidRPr="00DE475B" w:rsidRDefault="005C4A0A" w:rsidP="005C4A0A">
      <w:pPr>
        <w:rPr>
          <w:rFonts w:ascii="Arial" w:hAnsi="Arial" w:cs="Arial"/>
          <w:b/>
          <w:bCs/>
          <w:sz w:val="20"/>
          <w:szCs w:val="20"/>
        </w:rPr>
      </w:pPr>
      <w:r w:rsidRPr="00DE475B">
        <w:rPr>
          <w:rFonts w:ascii="Arial" w:hAnsi="Arial" w:cs="Arial"/>
          <w:b/>
          <w:bCs/>
          <w:sz w:val="20"/>
          <w:szCs w:val="20"/>
        </w:rPr>
        <w:t>STATEMENTS OF CHANGES IN EQUITY</w:t>
      </w:r>
    </w:p>
    <w:p w:rsidR="005C4A0A" w:rsidRPr="00DE475B" w:rsidRDefault="005C4A0A" w:rsidP="005C4A0A">
      <w:pPr>
        <w:spacing w:after="120"/>
      </w:pPr>
      <w:r w:rsidRPr="00DE475B">
        <w:rPr>
          <w:noProof/>
          <w:lang w:eastAsia="en-AU"/>
        </w:rPr>
        <mc:AlternateContent>
          <mc:Choice Requires="wps">
            <w:drawing>
              <wp:anchor distT="0" distB="0" distL="114300" distR="114300" simplePos="0" relativeHeight="251732992" behindDoc="0" locked="0" layoutInCell="1" allowOverlap="1" wp14:anchorId="0575FBC6" wp14:editId="1A488BB6">
                <wp:simplePos x="0" y="0"/>
                <wp:positionH relativeFrom="column">
                  <wp:posOffset>-76200</wp:posOffset>
                </wp:positionH>
                <wp:positionV relativeFrom="paragraph">
                  <wp:posOffset>165735</wp:posOffset>
                </wp:positionV>
                <wp:extent cx="9061450" cy="0"/>
                <wp:effectExtent l="9525" t="13970" r="6350" b="5080"/>
                <wp:wrapNone/>
                <wp:docPr id="29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05pt" to="70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GtmQIAAHsFAAAOAAAAZHJzL2Uyb0RvYy54bWysVFFvmzAQfp+0/2D5nQIJIQSVVC0he+m2&#10;Su20ZwebYM3YzHZDoqn/fWcnYU33Mk1NJOSz7z5/d9+dr2/2nUA7pg1XssDxVYQRk7WiXG4L/O1p&#10;HWQYGUskJUJJVuADM/hm+fHD9dDnbKJaJSjTCECkyYe+wK21fR6Gpm5ZR8yV6pmEw0bpjlgw9Tak&#10;mgyA3olwEkVpOChNe61qZgzsro6HeOnxm4bV9mvTGGaRKDBws/6r/XfjvuHymuRbTfqW1yca5D9Y&#10;dIRLuHSEWhFL0LPmf0F1vNbKqMZe1aoLVdPwmvkcIJs4epPNY0t65nOB4ph+LJN5P9j6y+5BI04L&#10;PFmkGEnSgUj3XDLkbKjO0JscnEr5oF1+9V4+9veq/mGQVGVL5JZ5lk+HHgJjFxFehDjD9HDHZvis&#10;KPiQZ6t8qfaN7hwkFAHtvSKHURG2t6iGzUWUxskMhKvPZyHJz4G9NvYTUx1yiwILYO2Bye7eWEeE&#10;5GcXd49Uay6EF1xINAD4NHXIBNrO/PSRRglOnZfzN3q7KYVGO+J6x/98enDy2q3jFjpY8K7A2ehE&#10;8pYRWknqr7OEi+MaKAnpwJnvzSNPsPYWln4fEvd982sRLaqsypIgmaRVkESrVXC7LpMgXcfz2Wq6&#10;KstV/OJYx0neckqZdMTPPRwn/9Yjp2k6dt/YxWOpwkt0X1Mge8n0dj2L5sk0C+bz2TRIplUU3GXr&#10;Mrgt4zSdV3flXfWGaeWzN+9DdiylY6WeQY3Hlg6IctcU09liEmMwYOYn86M+iIgtPFa11RhpZb9z&#10;2/oedt3nMC6EzyL3Pwk/oh8LcdbQWaMKp9z+lAo0P+vrR8NNw3GuNooeHvR5ZGDCfdDpNXJPyGsb&#10;1q/fzOVvAAAA//8DAFBLAwQUAAYACAAAACEA8llGRN8AAAAKAQAADwAAAGRycy9kb3ducmV2Lnht&#10;bEyPQUvDQBCF74L/YRnBi7SbxFgkZlNEEA+CtFVavG2zYzaYnQ3ZaRP/vVt60OO8ebz3vXI5uU4c&#10;cQitJwXpPAGBVHvTUqPg4/15dg8isCajO0+o4AcDLKvLi1IXxo+0xuOGGxFDKBRagWXuCylDbdHp&#10;MPc9Uvx9+cFpjufQSDPoMYa7TmZJspBOtxQbrO7xyWL9vTk4BW/D2Aa+zfMV8uf25XVnVzdurdT1&#10;1fT4AIJx4j8znPAjOlSRae8PZILoFMzSLG5hBdkiBXEy5OldVPZnRVal/D+h+gUAAP//AwBQSwEC&#10;LQAUAAYACAAAACEAtoM4kv4AAADhAQAAEwAAAAAAAAAAAAAAAAAAAAAAW0NvbnRlbnRfVHlwZXNd&#10;LnhtbFBLAQItABQABgAIAAAAIQA4/SH/1gAAAJQBAAALAAAAAAAAAAAAAAAAAC8BAABfcmVscy8u&#10;cmVsc1BLAQItABQABgAIAAAAIQCSonGtmQIAAHsFAAAOAAAAAAAAAAAAAAAAAC4CAABkcnMvZTJv&#10;RG9jLnhtbFBLAQItABQABgAIAAAAIQDyWUZE3wAAAAoBAAAPAAAAAAAAAAAAAAAAAPMEAABkcnMv&#10;ZG93bnJldi54bWxQSwUGAAAAAAQABADzAAAA/wUAAAAA&#10;" strokeweight=".26mm">
                <v:stroke joinstyle="miter" endcap="square"/>
              </v:line>
            </w:pict>
          </mc:Fallback>
        </mc:AlternateContent>
      </w:r>
      <w:r>
        <w:rPr>
          <w:rFonts w:ascii="Arial" w:hAnsi="Arial" w:cs="Arial"/>
          <w:b/>
          <w:bCs/>
          <w:sz w:val="20"/>
          <w:szCs w:val="20"/>
        </w:rPr>
        <w:t>For the year ended 30 June 2017</w:t>
      </w:r>
    </w:p>
    <w:p w:rsidR="005C4A0A" w:rsidRPr="00DE475B" w:rsidRDefault="005C4A0A" w:rsidP="005C4A0A">
      <w:pPr>
        <w:pStyle w:val="ARbodytext"/>
      </w:pPr>
    </w:p>
    <w:p w:rsidR="005C4A0A" w:rsidRPr="00DE475B" w:rsidRDefault="005C4A0A" w:rsidP="005C4A0A">
      <w:pPr>
        <w:pStyle w:val="ARheading3"/>
        <w:tabs>
          <w:tab w:val="left" w:pos="851"/>
        </w:tabs>
        <w:spacing w:after="120"/>
        <w:rPr>
          <w:color w:val="808080"/>
        </w:rPr>
      </w:pPr>
      <w:r w:rsidRPr="00DE475B">
        <w:rPr>
          <w:color w:val="808080"/>
        </w:rPr>
        <w:t>C4 Property, plant and equipment (continued)</w:t>
      </w:r>
    </w:p>
    <w:p w:rsidR="005C4A0A" w:rsidRPr="00DE475B" w:rsidRDefault="005C4A0A" w:rsidP="005C4A0A">
      <w:pPr>
        <w:tabs>
          <w:tab w:val="left" w:pos="284"/>
        </w:tabs>
        <w:rPr>
          <w:rFonts w:ascii="Arial" w:hAnsi="Arial" w:cs="Arial"/>
          <w:b/>
          <w:bCs/>
          <w:sz w:val="20"/>
          <w:szCs w:val="20"/>
        </w:rPr>
      </w:pPr>
      <w:r w:rsidRPr="00DE475B">
        <w:rPr>
          <w:rFonts w:ascii="Arial" w:hAnsi="Arial" w:cs="Arial"/>
          <w:b/>
          <w:bCs/>
          <w:sz w:val="20"/>
          <w:szCs w:val="20"/>
        </w:rPr>
        <w:t xml:space="preserve">C4-3 Property, plant and equipment — </w:t>
      </w:r>
      <w:proofErr w:type="gramStart"/>
      <w:r w:rsidRPr="00DE475B">
        <w:rPr>
          <w:rFonts w:ascii="Arial" w:hAnsi="Arial" w:cs="Arial"/>
          <w:b/>
          <w:bCs/>
          <w:sz w:val="20"/>
          <w:szCs w:val="20"/>
        </w:rPr>
        <w:t>Balances</w:t>
      </w:r>
      <w:proofErr w:type="gramEnd"/>
      <w:r w:rsidRPr="00DE475B">
        <w:rPr>
          <w:rFonts w:ascii="Arial" w:hAnsi="Arial" w:cs="Arial"/>
          <w:b/>
          <w:bCs/>
          <w:sz w:val="20"/>
          <w:szCs w:val="20"/>
        </w:rPr>
        <w:t xml:space="preserve"> and reconciliations of carrying amount</w:t>
      </w:r>
      <w:r>
        <w:rPr>
          <w:rFonts w:ascii="Arial" w:hAnsi="Arial" w:cs="Arial"/>
          <w:b/>
          <w:bCs/>
          <w:sz w:val="20"/>
          <w:szCs w:val="20"/>
        </w:rPr>
        <w:t xml:space="preserve"> (continued)</w:t>
      </w:r>
    </w:p>
    <w:p w:rsidR="005C4A0A" w:rsidRPr="00DE475B" w:rsidRDefault="005C4A0A" w:rsidP="005C4A0A">
      <w:pPr>
        <w:pStyle w:val="ARbodytext"/>
      </w:pPr>
    </w:p>
    <w:tbl>
      <w:tblPr>
        <w:tblW w:w="14175" w:type="dxa"/>
        <w:tblInd w:w="108" w:type="dxa"/>
        <w:tblLayout w:type="fixed"/>
        <w:tblLook w:val="0000" w:firstRow="0" w:lastRow="0" w:firstColumn="0" w:lastColumn="0" w:noHBand="0" w:noVBand="0"/>
      </w:tblPr>
      <w:tblGrid>
        <w:gridCol w:w="4041"/>
        <w:gridCol w:w="1266"/>
        <w:gridCol w:w="1266"/>
        <w:gridCol w:w="1267"/>
        <w:gridCol w:w="1267"/>
        <w:gridCol w:w="1267"/>
        <w:gridCol w:w="1267"/>
        <w:gridCol w:w="1267"/>
        <w:gridCol w:w="1267"/>
      </w:tblGrid>
      <w:tr w:rsidR="005C4A0A" w:rsidRPr="00DE475B" w:rsidTr="00A2292F">
        <w:trPr>
          <w:trHeight w:val="285"/>
        </w:trPr>
        <w:tc>
          <w:tcPr>
            <w:tcW w:w="4041" w:type="dxa"/>
            <w:shd w:val="clear" w:color="auto" w:fill="auto"/>
            <w:vAlign w:val="bottom"/>
          </w:tcPr>
          <w:p w:rsidR="005C4A0A" w:rsidRPr="00DE475B" w:rsidRDefault="005C4A0A" w:rsidP="00A2292F">
            <w:pPr>
              <w:pStyle w:val="ARbodytext"/>
            </w:pPr>
          </w:p>
        </w:tc>
        <w:tc>
          <w:tcPr>
            <w:tcW w:w="2532" w:type="dxa"/>
            <w:gridSpan w:val="2"/>
            <w:shd w:val="clear" w:color="auto" w:fill="auto"/>
          </w:tcPr>
          <w:p w:rsidR="005C4A0A" w:rsidRPr="00DE475B" w:rsidRDefault="005C4A0A" w:rsidP="00A2292F">
            <w:pPr>
              <w:pStyle w:val="ARbodytext"/>
              <w:jc w:val="center"/>
              <w:rPr>
                <w:b/>
                <w:bCs/>
              </w:rPr>
            </w:pPr>
            <w:r w:rsidRPr="00DE475B">
              <w:rPr>
                <w:b/>
                <w:bCs/>
              </w:rPr>
              <w:t>Heritage and Cultural Assets (Valuables)</w:t>
            </w:r>
          </w:p>
        </w:tc>
        <w:tc>
          <w:tcPr>
            <w:tcW w:w="2534" w:type="dxa"/>
            <w:gridSpan w:val="2"/>
            <w:shd w:val="clear" w:color="auto" w:fill="auto"/>
          </w:tcPr>
          <w:p w:rsidR="005C4A0A" w:rsidRPr="00DE475B" w:rsidRDefault="005C4A0A" w:rsidP="00A2292F">
            <w:pPr>
              <w:pStyle w:val="ARbodytext"/>
              <w:jc w:val="center"/>
              <w:rPr>
                <w:b/>
                <w:bCs/>
              </w:rPr>
            </w:pPr>
            <w:r w:rsidRPr="00DE475B">
              <w:rPr>
                <w:b/>
                <w:bCs/>
              </w:rPr>
              <w:t>Library Collections</w:t>
            </w:r>
          </w:p>
        </w:tc>
        <w:tc>
          <w:tcPr>
            <w:tcW w:w="2534" w:type="dxa"/>
            <w:gridSpan w:val="2"/>
            <w:shd w:val="clear" w:color="auto" w:fill="auto"/>
          </w:tcPr>
          <w:p w:rsidR="005C4A0A" w:rsidRPr="00DE475B" w:rsidRDefault="005C4A0A" w:rsidP="00A2292F">
            <w:pPr>
              <w:pStyle w:val="ARbodytext"/>
              <w:jc w:val="center"/>
              <w:rPr>
                <w:b/>
                <w:bCs/>
              </w:rPr>
            </w:pPr>
            <w:r w:rsidRPr="00DE475B">
              <w:rPr>
                <w:b/>
                <w:bCs/>
              </w:rPr>
              <w:t>Plant and Equipment</w:t>
            </w:r>
          </w:p>
        </w:tc>
        <w:tc>
          <w:tcPr>
            <w:tcW w:w="2534" w:type="dxa"/>
            <w:gridSpan w:val="2"/>
          </w:tcPr>
          <w:p w:rsidR="005C4A0A" w:rsidRPr="00DE475B" w:rsidRDefault="005C4A0A" w:rsidP="00A2292F">
            <w:pPr>
              <w:pStyle w:val="ARbodytext"/>
              <w:jc w:val="center"/>
              <w:rPr>
                <w:b/>
                <w:bCs/>
              </w:rPr>
            </w:pPr>
            <w:r w:rsidRPr="00DE475B">
              <w:rPr>
                <w:b/>
                <w:bCs/>
              </w:rPr>
              <w:t>Total</w:t>
            </w:r>
          </w:p>
        </w:tc>
      </w:tr>
      <w:tr w:rsidR="005C4A0A" w:rsidRPr="00DE475B" w:rsidTr="00A2292F">
        <w:trPr>
          <w:trHeight w:val="255"/>
        </w:trPr>
        <w:tc>
          <w:tcPr>
            <w:tcW w:w="4041" w:type="dxa"/>
            <w:shd w:val="clear" w:color="auto" w:fill="auto"/>
            <w:vAlign w:val="bottom"/>
          </w:tcPr>
          <w:p w:rsidR="005C4A0A" w:rsidRPr="00DE475B" w:rsidRDefault="005C4A0A" w:rsidP="00A2292F">
            <w:pPr>
              <w:pStyle w:val="ARbodytext"/>
            </w:pPr>
          </w:p>
        </w:tc>
        <w:tc>
          <w:tcPr>
            <w:tcW w:w="2532" w:type="dxa"/>
            <w:gridSpan w:val="2"/>
            <w:shd w:val="clear" w:color="auto" w:fill="auto"/>
          </w:tcPr>
          <w:p w:rsidR="005C4A0A" w:rsidRPr="00DE475B" w:rsidRDefault="005C4A0A" w:rsidP="00A2292F">
            <w:pPr>
              <w:pStyle w:val="ARbodytext"/>
              <w:jc w:val="center"/>
              <w:rPr>
                <w:b/>
                <w:bCs/>
              </w:rPr>
            </w:pPr>
            <w:r>
              <w:rPr>
                <w:b/>
                <w:bCs/>
              </w:rPr>
              <w:t>Parent</w:t>
            </w:r>
            <w:r w:rsidRPr="00DE475B">
              <w:rPr>
                <w:b/>
                <w:bCs/>
              </w:rPr>
              <w:t xml:space="preserve"> entity</w:t>
            </w:r>
          </w:p>
        </w:tc>
        <w:tc>
          <w:tcPr>
            <w:tcW w:w="2534" w:type="dxa"/>
            <w:gridSpan w:val="2"/>
            <w:shd w:val="clear" w:color="auto" w:fill="auto"/>
          </w:tcPr>
          <w:p w:rsidR="005C4A0A" w:rsidRPr="00DE475B" w:rsidRDefault="005C4A0A" w:rsidP="00A2292F">
            <w:pPr>
              <w:pStyle w:val="ARbodytext"/>
              <w:jc w:val="center"/>
              <w:rPr>
                <w:b/>
                <w:bCs/>
              </w:rPr>
            </w:pPr>
            <w:r>
              <w:rPr>
                <w:b/>
                <w:bCs/>
              </w:rPr>
              <w:t>Parent</w:t>
            </w:r>
            <w:r w:rsidRPr="00DE475B">
              <w:rPr>
                <w:b/>
                <w:bCs/>
              </w:rPr>
              <w:t xml:space="preserve"> entity</w:t>
            </w:r>
          </w:p>
        </w:tc>
        <w:tc>
          <w:tcPr>
            <w:tcW w:w="2534" w:type="dxa"/>
            <w:gridSpan w:val="2"/>
            <w:shd w:val="clear" w:color="auto" w:fill="auto"/>
          </w:tcPr>
          <w:p w:rsidR="005C4A0A" w:rsidRPr="00DE475B" w:rsidRDefault="005C4A0A" w:rsidP="00A2292F">
            <w:pPr>
              <w:pStyle w:val="ARbodytext"/>
              <w:jc w:val="center"/>
              <w:rPr>
                <w:b/>
                <w:bCs/>
              </w:rPr>
            </w:pPr>
            <w:r>
              <w:rPr>
                <w:b/>
                <w:bCs/>
              </w:rPr>
              <w:t>Parent</w:t>
            </w:r>
            <w:r w:rsidRPr="00DE475B">
              <w:rPr>
                <w:b/>
                <w:bCs/>
              </w:rPr>
              <w:t xml:space="preserve"> entity</w:t>
            </w:r>
          </w:p>
        </w:tc>
        <w:tc>
          <w:tcPr>
            <w:tcW w:w="2534" w:type="dxa"/>
            <w:gridSpan w:val="2"/>
          </w:tcPr>
          <w:p w:rsidR="005C4A0A" w:rsidRPr="00DE475B" w:rsidRDefault="005C4A0A" w:rsidP="00A2292F">
            <w:pPr>
              <w:pStyle w:val="ARbodytext"/>
              <w:jc w:val="center"/>
              <w:rPr>
                <w:b/>
                <w:bCs/>
              </w:rPr>
            </w:pPr>
            <w:r>
              <w:rPr>
                <w:b/>
                <w:bCs/>
              </w:rPr>
              <w:t>Parent</w:t>
            </w:r>
            <w:r w:rsidRPr="00DE475B">
              <w:rPr>
                <w:b/>
                <w:bCs/>
              </w:rPr>
              <w:t xml:space="preserve"> entity</w:t>
            </w:r>
          </w:p>
        </w:tc>
      </w:tr>
      <w:tr w:rsidR="005C4A0A" w:rsidRPr="00DE475B" w:rsidTr="00A2292F">
        <w:trPr>
          <w:trHeight w:val="255"/>
        </w:trPr>
        <w:tc>
          <w:tcPr>
            <w:tcW w:w="4041" w:type="dxa"/>
            <w:shd w:val="clear" w:color="auto" w:fill="auto"/>
            <w:vAlign w:val="bottom"/>
          </w:tcPr>
          <w:p w:rsidR="005C4A0A" w:rsidRPr="00DE475B" w:rsidRDefault="005C4A0A" w:rsidP="00A2292F">
            <w:pPr>
              <w:pStyle w:val="ARbodytext"/>
            </w:pPr>
          </w:p>
        </w:tc>
        <w:tc>
          <w:tcPr>
            <w:tcW w:w="1266" w:type="dxa"/>
            <w:shd w:val="clear" w:color="auto" w:fill="auto"/>
            <w:vAlign w:val="center"/>
          </w:tcPr>
          <w:p w:rsidR="005C4A0A" w:rsidRPr="00DE475B" w:rsidRDefault="005C4A0A" w:rsidP="00A2292F">
            <w:pPr>
              <w:pStyle w:val="ARbodytext"/>
              <w:jc w:val="right"/>
              <w:rPr>
                <w:b/>
                <w:bCs/>
              </w:rPr>
            </w:pPr>
            <w:r>
              <w:rPr>
                <w:b/>
                <w:bCs/>
              </w:rPr>
              <w:t>2017</w:t>
            </w:r>
          </w:p>
        </w:tc>
        <w:tc>
          <w:tcPr>
            <w:tcW w:w="1266" w:type="dxa"/>
            <w:shd w:val="clear" w:color="auto" w:fill="auto"/>
            <w:vAlign w:val="center"/>
          </w:tcPr>
          <w:p w:rsidR="005C4A0A" w:rsidRPr="00DE475B" w:rsidRDefault="005C4A0A" w:rsidP="005C4A0A">
            <w:pPr>
              <w:pStyle w:val="ARbodytext"/>
              <w:jc w:val="right"/>
              <w:rPr>
                <w:b/>
                <w:bCs/>
              </w:rPr>
            </w:pPr>
            <w:r w:rsidRPr="00DE475B">
              <w:rPr>
                <w:b/>
                <w:bCs/>
              </w:rPr>
              <w:t>201</w:t>
            </w:r>
            <w:r>
              <w:rPr>
                <w:b/>
                <w:bCs/>
              </w:rPr>
              <w:t>6</w:t>
            </w:r>
          </w:p>
        </w:tc>
        <w:tc>
          <w:tcPr>
            <w:tcW w:w="1267" w:type="dxa"/>
            <w:shd w:val="clear" w:color="auto" w:fill="auto"/>
            <w:vAlign w:val="center"/>
          </w:tcPr>
          <w:p w:rsidR="005C4A0A" w:rsidRPr="00DE475B" w:rsidRDefault="005C4A0A" w:rsidP="005C4A0A">
            <w:pPr>
              <w:pStyle w:val="ARbodytext"/>
              <w:jc w:val="right"/>
              <w:rPr>
                <w:b/>
                <w:bCs/>
              </w:rPr>
            </w:pPr>
            <w:r w:rsidRPr="00DE475B">
              <w:rPr>
                <w:b/>
                <w:bCs/>
              </w:rPr>
              <w:t>201</w:t>
            </w:r>
            <w:r>
              <w:rPr>
                <w:b/>
                <w:bCs/>
              </w:rPr>
              <w:t>7</w:t>
            </w:r>
          </w:p>
        </w:tc>
        <w:tc>
          <w:tcPr>
            <w:tcW w:w="1267" w:type="dxa"/>
            <w:shd w:val="clear" w:color="auto" w:fill="auto"/>
            <w:vAlign w:val="center"/>
          </w:tcPr>
          <w:p w:rsidR="005C4A0A" w:rsidRPr="00DE475B" w:rsidRDefault="005C4A0A" w:rsidP="005C4A0A">
            <w:pPr>
              <w:pStyle w:val="ARbodytext"/>
              <w:jc w:val="right"/>
              <w:rPr>
                <w:b/>
                <w:bCs/>
              </w:rPr>
            </w:pPr>
            <w:r w:rsidRPr="00DE475B">
              <w:rPr>
                <w:b/>
                <w:bCs/>
              </w:rPr>
              <w:t>201</w:t>
            </w:r>
            <w:r>
              <w:rPr>
                <w:b/>
                <w:bCs/>
              </w:rPr>
              <w:t>6</w:t>
            </w:r>
          </w:p>
        </w:tc>
        <w:tc>
          <w:tcPr>
            <w:tcW w:w="1267" w:type="dxa"/>
            <w:shd w:val="clear" w:color="auto" w:fill="auto"/>
            <w:vAlign w:val="center"/>
          </w:tcPr>
          <w:p w:rsidR="005C4A0A" w:rsidRPr="00DE475B" w:rsidRDefault="005C4A0A" w:rsidP="005C4A0A">
            <w:pPr>
              <w:pStyle w:val="ARbodytext"/>
              <w:jc w:val="right"/>
              <w:rPr>
                <w:b/>
                <w:bCs/>
              </w:rPr>
            </w:pPr>
            <w:r w:rsidRPr="00DE475B">
              <w:rPr>
                <w:b/>
                <w:bCs/>
              </w:rPr>
              <w:t>201</w:t>
            </w:r>
            <w:r>
              <w:rPr>
                <w:b/>
                <w:bCs/>
              </w:rPr>
              <w:t>7</w:t>
            </w:r>
          </w:p>
        </w:tc>
        <w:tc>
          <w:tcPr>
            <w:tcW w:w="1267" w:type="dxa"/>
            <w:shd w:val="clear" w:color="auto" w:fill="auto"/>
            <w:vAlign w:val="center"/>
          </w:tcPr>
          <w:p w:rsidR="005C4A0A" w:rsidRPr="00DE475B" w:rsidRDefault="005C4A0A" w:rsidP="005C4A0A">
            <w:pPr>
              <w:pStyle w:val="ARbodytext"/>
              <w:jc w:val="right"/>
              <w:rPr>
                <w:b/>
                <w:bCs/>
              </w:rPr>
            </w:pPr>
            <w:r w:rsidRPr="00DE475B">
              <w:rPr>
                <w:b/>
                <w:bCs/>
              </w:rPr>
              <w:t>201</w:t>
            </w:r>
            <w:r>
              <w:rPr>
                <w:b/>
                <w:bCs/>
              </w:rPr>
              <w:t>6</w:t>
            </w:r>
          </w:p>
        </w:tc>
        <w:tc>
          <w:tcPr>
            <w:tcW w:w="1267" w:type="dxa"/>
            <w:vAlign w:val="center"/>
          </w:tcPr>
          <w:p w:rsidR="005C4A0A" w:rsidRPr="00DE475B" w:rsidRDefault="005C4A0A" w:rsidP="005C4A0A">
            <w:pPr>
              <w:pStyle w:val="ARbodytext"/>
              <w:jc w:val="right"/>
              <w:rPr>
                <w:b/>
                <w:bCs/>
              </w:rPr>
            </w:pPr>
            <w:r w:rsidRPr="00DE475B">
              <w:rPr>
                <w:b/>
                <w:bCs/>
              </w:rPr>
              <w:t>201</w:t>
            </w:r>
            <w:r>
              <w:rPr>
                <w:b/>
                <w:bCs/>
              </w:rPr>
              <w:t>7</w:t>
            </w:r>
          </w:p>
        </w:tc>
        <w:tc>
          <w:tcPr>
            <w:tcW w:w="1267" w:type="dxa"/>
            <w:vAlign w:val="center"/>
          </w:tcPr>
          <w:p w:rsidR="005C4A0A" w:rsidRPr="00DE475B" w:rsidRDefault="005C4A0A" w:rsidP="005C4A0A">
            <w:pPr>
              <w:pStyle w:val="ARbodytext"/>
              <w:jc w:val="right"/>
              <w:rPr>
                <w:b/>
                <w:bCs/>
              </w:rPr>
            </w:pPr>
            <w:r w:rsidRPr="00DE475B">
              <w:rPr>
                <w:b/>
                <w:bCs/>
              </w:rPr>
              <w:t>201</w:t>
            </w:r>
            <w:r>
              <w:rPr>
                <w:b/>
                <w:bCs/>
              </w:rPr>
              <w:t>6</w:t>
            </w:r>
          </w:p>
        </w:tc>
      </w:tr>
      <w:tr w:rsidR="005C4A0A" w:rsidRPr="00DE475B" w:rsidTr="00A2292F">
        <w:trPr>
          <w:trHeight w:val="255"/>
        </w:trPr>
        <w:tc>
          <w:tcPr>
            <w:tcW w:w="4041" w:type="dxa"/>
            <w:shd w:val="clear" w:color="auto" w:fill="auto"/>
            <w:vAlign w:val="bottom"/>
          </w:tcPr>
          <w:p w:rsidR="005C4A0A" w:rsidRPr="00DE475B" w:rsidRDefault="005C4A0A" w:rsidP="00A2292F">
            <w:pPr>
              <w:pStyle w:val="ARbodytext"/>
            </w:pPr>
          </w:p>
        </w:tc>
        <w:tc>
          <w:tcPr>
            <w:tcW w:w="1266" w:type="dxa"/>
            <w:shd w:val="clear" w:color="auto" w:fill="auto"/>
            <w:vAlign w:val="center"/>
          </w:tcPr>
          <w:p w:rsidR="005C4A0A" w:rsidRPr="00DE475B" w:rsidRDefault="005C4A0A" w:rsidP="00A2292F">
            <w:pPr>
              <w:pStyle w:val="ARbodytext"/>
              <w:jc w:val="right"/>
              <w:rPr>
                <w:b/>
                <w:bCs/>
              </w:rPr>
            </w:pPr>
            <w:r w:rsidRPr="00DE475B">
              <w:rPr>
                <w:b/>
                <w:bCs/>
              </w:rPr>
              <w:t>$'000</w:t>
            </w:r>
          </w:p>
        </w:tc>
        <w:tc>
          <w:tcPr>
            <w:tcW w:w="1266" w:type="dxa"/>
            <w:shd w:val="clear" w:color="auto" w:fill="auto"/>
            <w:vAlign w:val="center"/>
          </w:tcPr>
          <w:p w:rsidR="005C4A0A" w:rsidRPr="00DE475B" w:rsidRDefault="005C4A0A" w:rsidP="00A2292F">
            <w:pPr>
              <w:pStyle w:val="ARbodytext"/>
              <w:jc w:val="right"/>
              <w:rPr>
                <w:b/>
                <w:bCs/>
              </w:rPr>
            </w:pPr>
            <w:r w:rsidRPr="00DE475B">
              <w:rPr>
                <w:b/>
                <w:bCs/>
              </w:rPr>
              <w:t>$'000</w:t>
            </w:r>
          </w:p>
        </w:tc>
        <w:tc>
          <w:tcPr>
            <w:tcW w:w="1267" w:type="dxa"/>
            <w:shd w:val="clear" w:color="auto" w:fill="auto"/>
            <w:vAlign w:val="center"/>
          </w:tcPr>
          <w:p w:rsidR="005C4A0A" w:rsidRPr="00DE475B" w:rsidRDefault="005C4A0A" w:rsidP="00A2292F">
            <w:pPr>
              <w:pStyle w:val="ARbodytext"/>
              <w:jc w:val="right"/>
              <w:rPr>
                <w:b/>
                <w:bCs/>
              </w:rPr>
            </w:pPr>
            <w:r w:rsidRPr="00DE475B">
              <w:rPr>
                <w:b/>
                <w:bCs/>
              </w:rPr>
              <w:t>$'000</w:t>
            </w:r>
          </w:p>
        </w:tc>
        <w:tc>
          <w:tcPr>
            <w:tcW w:w="1267" w:type="dxa"/>
            <w:shd w:val="clear" w:color="auto" w:fill="auto"/>
            <w:vAlign w:val="center"/>
          </w:tcPr>
          <w:p w:rsidR="005C4A0A" w:rsidRPr="00DE475B" w:rsidRDefault="005C4A0A" w:rsidP="00A2292F">
            <w:pPr>
              <w:pStyle w:val="ARbodytext"/>
              <w:jc w:val="right"/>
              <w:rPr>
                <w:b/>
                <w:bCs/>
              </w:rPr>
            </w:pPr>
            <w:r w:rsidRPr="00DE475B">
              <w:rPr>
                <w:b/>
                <w:bCs/>
              </w:rPr>
              <w:t>$'000</w:t>
            </w:r>
          </w:p>
        </w:tc>
        <w:tc>
          <w:tcPr>
            <w:tcW w:w="1267" w:type="dxa"/>
            <w:shd w:val="clear" w:color="auto" w:fill="auto"/>
            <w:vAlign w:val="center"/>
          </w:tcPr>
          <w:p w:rsidR="005C4A0A" w:rsidRPr="00DE475B" w:rsidRDefault="005C4A0A" w:rsidP="00A2292F">
            <w:pPr>
              <w:pStyle w:val="ARbodytext"/>
              <w:jc w:val="right"/>
              <w:rPr>
                <w:b/>
                <w:bCs/>
              </w:rPr>
            </w:pPr>
            <w:r w:rsidRPr="00DE475B">
              <w:rPr>
                <w:b/>
                <w:bCs/>
              </w:rPr>
              <w:t>$'000</w:t>
            </w:r>
          </w:p>
        </w:tc>
        <w:tc>
          <w:tcPr>
            <w:tcW w:w="1267" w:type="dxa"/>
            <w:shd w:val="clear" w:color="auto" w:fill="auto"/>
            <w:vAlign w:val="center"/>
          </w:tcPr>
          <w:p w:rsidR="005C4A0A" w:rsidRPr="00DE475B" w:rsidRDefault="005C4A0A" w:rsidP="00A2292F">
            <w:pPr>
              <w:pStyle w:val="ARbodytext"/>
              <w:jc w:val="right"/>
              <w:rPr>
                <w:b/>
                <w:bCs/>
              </w:rPr>
            </w:pPr>
            <w:r w:rsidRPr="00DE475B">
              <w:rPr>
                <w:b/>
                <w:bCs/>
              </w:rPr>
              <w:t>$'000</w:t>
            </w:r>
          </w:p>
        </w:tc>
        <w:tc>
          <w:tcPr>
            <w:tcW w:w="1267" w:type="dxa"/>
            <w:vAlign w:val="center"/>
          </w:tcPr>
          <w:p w:rsidR="005C4A0A" w:rsidRPr="00DE475B" w:rsidRDefault="005C4A0A" w:rsidP="00A2292F">
            <w:pPr>
              <w:pStyle w:val="ARbodytext"/>
              <w:jc w:val="right"/>
              <w:rPr>
                <w:b/>
                <w:bCs/>
              </w:rPr>
            </w:pPr>
            <w:r w:rsidRPr="00DE475B">
              <w:rPr>
                <w:b/>
                <w:bCs/>
              </w:rPr>
              <w:t>$'000</w:t>
            </w:r>
          </w:p>
        </w:tc>
        <w:tc>
          <w:tcPr>
            <w:tcW w:w="1267" w:type="dxa"/>
            <w:vAlign w:val="center"/>
          </w:tcPr>
          <w:p w:rsidR="005C4A0A" w:rsidRPr="00DE475B" w:rsidRDefault="005C4A0A" w:rsidP="00A2292F">
            <w:pPr>
              <w:pStyle w:val="ARbodytext"/>
              <w:jc w:val="right"/>
              <w:rPr>
                <w:b/>
                <w:bCs/>
              </w:rPr>
            </w:pPr>
            <w:r w:rsidRPr="00DE475B">
              <w:rPr>
                <w:b/>
                <w:bCs/>
              </w:rPr>
              <w:t>$'000</w:t>
            </w:r>
          </w:p>
        </w:tc>
      </w:tr>
      <w:tr w:rsidR="005C4A0A" w:rsidRPr="00DE475B" w:rsidTr="00A2292F">
        <w:trPr>
          <w:trHeight w:val="139"/>
        </w:trPr>
        <w:tc>
          <w:tcPr>
            <w:tcW w:w="4041" w:type="dxa"/>
            <w:shd w:val="clear" w:color="auto" w:fill="auto"/>
            <w:vAlign w:val="bottom"/>
          </w:tcPr>
          <w:p w:rsidR="005C4A0A" w:rsidRPr="00DE475B" w:rsidRDefault="005C4A0A" w:rsidP="00A2292F">
            <w:pPr>
              <w:pStyle w:val="ARbodytext"/>
            </w:pPr>
          </w:p>
        </w:tc>
        <w:tc>
          <w:tcPr>
            <w:tcW w:w="1266" w:type="dxa"/>
            <w:shd w:val="clear" w:color="auto" w:fill="auto"/>
            <w:vAlign w:val="center"/>
          </w:tcPr>
          <w:p w:rsidR="005C4A0A" w:rsidRPr="00DE475B" w:rsidRDefault="005C4A0A" w:rsidP="00A2292F">
            <w:pPr>
              <w:pStyle w:val="ARbodytext"/>
              <w:jc w:val="right"/>
              <w:rPr>
                <w:i/>
                <w:iCs/>
              </w:rPr>
            </w:pPr>
          </w:p>
        </w:tc>
        <w:tc>
          <w:tcPr>
            <w:tcW w:w="1266" w:type="dxa"/>
            <w:shd w:val="clear" w:color="auto" w:fill="auto"/>
            <w:vAlign w:val="center"/>
          </w:tcPr>
          <w:p w:rsidR="005C4A0A" w:rsidRPr="00DE475B" w:rsidRDefault="005C4A0A" w:rsidP="00A2292F">
            <w:pPr>
              <w:pStyle w:val="ARbodytext"/>
              <w:jc w:val="right"/>
              <w:rPr>
                <w:i/>
                <w:iCs/>
              </w:rPr>
            </w:pPr>
          </w:p>
        </w:tc>
        <w:tc>
          <w:tcPr>
            <w:tcW w:w="1267" w:type="dxa"/>
            <w:shd w:val="clear" w:color="auto" w:fill="auto"/>
            <w:vAlign w:val="center"/>
          </w:tcPr>
          <w:p w:rsidR="005C4A0A" w:rsidRPr="00DE475B" w:rsidRDefault="005C4A0A" w:rsidP="00A2292F">
            <w:pPr>
              <w:pStyle w:val="ARbodytext"/>
              <w:jc w:val="right"/>
              <w:rPr>
                <w:i/>
                <w:iCs/>
              </w:rPr>
            </w:pPr>
          </w:p>
        </w:tc>
        <w:tc>
          <w:tcPr>
            <w:tcW w:w="1267" w:type="dxa"/>
            <w:shd w:val="clear" w:color="auto" w:fill="auto"/>
            <w:vAlign w:val="center"/>
          </w:tcPr>
          <w:p w:rsidR="005C4A0A" w:rsidRPr="00DE475B" w:rsidRDefault="005C4A0A" w:rsidP="00A2292F">
            <w:pPr>
              <w:pStyle w:val="ARbodytext"/>
              <w:jc w:val="right"/>
              <w:rPr>
                <w:i/>
                <w:iCs/>
              </w:rPr>
            </w:pPr>
          </w:p>
        </w:tc>
        <w:tc>
          <w:tcPr>
            <w:tcW w:w="1267" w:type="dxa"/>
            <w:shd w:val="clear" w:color="auto" w:fill="auto"/>
            <w:vAlign w:val="center"/>
          </w:tcPr>
          <w:p w:rsidR="005C4A0A" w:rsidRPr="00DE475B" w:rsidRDefault="005C4A0A" w:rsidP="00A2292F">
            <w:pPr>
              <w:pStyle w:val="ARbodytext"/>
              <w:jc w:val="right"/>
              <w:rPr>
                <w:i/>
                <w:iCs/>
              </w:rPr>
            </w:pPr>
          </w:p>
        </w:tc>
        <w:tc>
          <w:tcPr>
            <w:tcW w:w="1267" w:type="dxa"/>
            <w:shd w:val="clear" w:color="auto" w:fill="auto"/>
            <w:vAlign w:val="center"/>
          </w:tcPr>
          <w:p w:rsidR="005C4A0A" w:rsidRPr="00DE475B" w:rsidRDefault="005C4A0A" w:rsidP="00A2292F">
            <w:pPr>
              <w:pStyle w:val="ARbodytext"/>
              <w:jc w:val="right"/>
              <w:rPr>
                <w:i/>
                <w:iCs/>
              </w:rPr>
            </w:pPr>
          </w:p>
        </w:tc>
        <w:tc>
          <w:tcPr>
            <w:tcW w:w="1267" w:type="dxa"/>
            <w:vAlign w:val="center"/>
          </w:tcPr>
          <w:p w:rsidR="005C4A0A" w:rsidRPr="00DE475B" w:rsidRDefault="005C4A0A" w:rsidP="00A2292F">
            <w:pPr>
              <w:pStyle w:val="ARbodytext"/>
              <w:jc w:val="right"/>
              <w:rPr>
                <w:i/>
                <w:iCs/>
              </w:rPr>
            </w:pPr>
          </w:p>
        </w:tc>
        <w:tc>
          <w:tcPr>
            <w:tcW w:w="1267" w:type="dxa"/>
            <w:vAlign w:val="center"/>
          </w:tcPr>
          <w:p w:rsidR="005C4A0A" w:rsidRPr="00DE475B" w:rsidRDefault="005C4A0A" w:rsidP="00A2292F">
            <w:pPr>
              <w:pStyle w:val="ARbodytext"/>
              <w:jc w:val="right"/>
              <w:rPr>
                <w:i/>
                <w:iCs/>
              </w:rPr>
            </w:pPr>
          </w:p>
        </w:tc>
      </w:tr>
      <w:tr w:rsidR="005C4A0A" w:rsidRPr="00DE475B" w:rsidTr="00A2292F">
        <w:trPr>
          <w:trHeight w:val="315"/>
        </w:trPr>
        <w:tc>
          <w:tcPr>
            <w:tcW w:w="4041" w:type="dxa"/>
            <w:shd w:val="clear" w:color="auto" w:fill="auto"/>
            <w:vAlign w:val="center"/>
          </w:tcPr>
          <w:p w:rsidR="005C4A0A" w:rsidRPr="00DE475B" w:rsidRDefault="005C4A0A" w:rsidP="00A2292F">
            <w:pPr>
              <w:pStyle w:val="ARbodytext"/>
            </w:pPr>
            <w:r w:rsidRPr="00DE475B">
              <w:t>Carrying amount at 1 July — at cost</w:t>
            </w:r>
          </w:p>
        </w:tc>
        <w:tc>
          <w:tcPr>
            <w:tcW w:w="1266" w:type="dxa"/>
            <w:shd w:val="clear" w:color="auto" w:fill="auto"/>
            <w:vAlign w:val="center"/>
          </w:tcPr>
          <w:p w:rsidR="005C4A0A" w:rsidRPr="00DE475B" w:rsidRDefault="00381AF3" w:rsidP="00A2292F">
            <w:pPr>
              <w:pStyle w:val="ARbodytext"/>
              <w:jc w:val="right"/>
            </w:pPr>
            <w:r>
              <w:t>298</w:t>
            </w:r>
          </w:p>
        </w:tc>
        <w:tc>
          <w:tcPr>
            <w:tcW w:w="1266" w:type="dxa"/>
            <w:shd w:val="clear" w:color="auto" w:fill="auto"/>
            <w:vAlign w:val="center"/>
          </w:tcPr>
          <w:p w:rsidR="005C4A0A" w:rsidRPr="00DE475B" w:rsidRDefault="005C4A0A" w:rsidP="00A2292F">
            <w:pPr>
              <w:pStyle w:val="ARbodytext"/>
              <w:jc w:val="right"/>
            </w:pPr>
            <w:r w:rsidRPr="00DE475B">
              <w:t>372</w:t>
            </w:r>
          </w:p>
        </w:tc>
        <w:tc>
          <w:tcPr>
            <w:tcW w:w="1267" w:type="dxa"/>
            <w:shd w:val="clear" w:color="auto" w:fill="auto"/>
            <w:vAlign w:val="center"/>
          </w:tcPr>
          <w:p w:rsidR="005C4A0A" w:rsidRPr="00DE475B" w:rsidRDefault="00381AF3" w:rsidP="00A2292F">
            <w:pPr>
              <w:pStyle w:val="ARbodytext"/>
              <w:jc w:val="right"/>
            </w:pPr>
            <w:r>
              <w:t>261</w:t>
            </w:r>
          </w:p>
        </w:tc>
        <w:tc>
          <w:tcPr>
            <w:tcW w:w="1267" w:type="dxa"/>
            <w:shd w:val="clear" w:color="auto" w:fill="auto"/>
            <w:vAlign w:val="center"/>
          </w:tcPr>
          <w:p w:rsidR="005C4A0A" w:rsidRPr="00DE475B" w:rsidRDefault="005C4A0A" w:rsidP="00A2292F">
            <w:pPr>
              <w:pStyle w:val="ARbodytext"/>
              <w:jc w:val="right"/>
            </w:pPr>
            <w:r w:rsidRPr="00DE475B">
              <w:t xml:space="preserve">351 </w:t>
            </w:r>
          </w:p>
        </w:tc>
        <w:tc>
          <w:tcPr>
            <w:tcW w:w="1267" w:type="dxa"/>
            <w:shd w:val="clear" w:color="auto" w:fill="auto"/>
            <w:vAlign w:val="center"/>
          </w:tcPr>
          <w:p w:rsidR="005C4A0A" w:rsidRPr="00DE475B" w:rsidRDefault="00381AF3" w:rsidP="00A2292F">
            <w:pPr>
              <w:pStyle w:val="ARbodytext"/>
              <w:jc w:val="right"/>
            </w:pPr>
            <w:r>
              <w:t>1,758</w:t>
            </w:r>
          </w:p>
        </w:tc>
        <w:tc>
          <w:tcPr>
            <w:tcW w:w="1267" w:type="dxa"/>
            <w:shd w:val="clear" w:color="auto" w:fill="auto"/>
            <w:vAlign w:val="center"/>
          </w:tcPr>
          <w:p w:rsidR="005C4A0A" w:rsidRPr="00DE475B" w:rsidRDefault="005C4A0A" w:rsidP="00A2292F">
            <w:pPr>
              <w:pStyle w:val="ARbodytext"/>
              <w:jc w:val="right"/>
            </w:pPr>
            <w:r w:rsidRPr="00DE475B">
              <w:t xml:space="preserve">1,655 </w:t>
            </w:r>
          </w:p>
        </w:tc>
        <w:tc>
          <w:tcPr>
            <w:tcW w:w="1267" w:type="dxa"/>
            <w:vAlign w:val="center"/>
          </w:tcPr>
          <w:p w:rsidR="005C4A0A" w:rsidRPr="00DE475B" w:rsidRDefault="00381AF3" w:rsidP="00A2292F">
            <w:pPr>
              <w:pStyle w:val="ARbodytext"/>
              <w:jc w:val="right"/>
            </w:pPr>
            <w:r>
              <w:t>2,317</w:t>
            </w:r>
          </w:p>
        </w:tc>
        <w:tc>
          <w:tcPr>
            <w:tcW w:w="1267" w:type="dxa"/>
            <w:vAlign w:val="center"/>
          </w:tcPr>
          <w:p w:rsidR="005C4A0A" w:rsidRPr="00DE475B" w:rsidRDefault="005C4A0A" w:rsidP="00A2292F">
            <w:pPr>
              <w:pStyle w:val="ARbodytext"/>
              <w:jc w:val="right"/>
            </w:pPr>
            <w:r w:rsidRPr="00DE475B">
              <w:t xml:space="preserve">2,378 </w:t>
            </w:r>
          </w:p>
        </w:tc>
      </w:tr>
      <w:tr w:rsidR="005C4A0A" w:rsidRPr="00DE475B" w:rsidTr="00A2292F">
        <w:trPr>
          <w:trHeight w:val="315"/>
        </w:trPr>
        <w:tc>
          <w:tcPr>
            <w:tcW w:w="4041" w:type="dxa"/>
            <w:shd w:val="clear" w:color="auto" w:fill="auto"/>
            <w:vAlign w:val="center"/>
          </w:tcPr>
          <w:p w:rsidR="005C4A0A" w:rsidRPr="00DE475B" w:rsidRDefault="005C4A0A" w:rsidP="00A2292F">
            <w:pPr>
              <w:pStyle w:val="ARbodytext"/>
            </w:pPr>
            <w:r w:rsidRPr="00DE475B">
              <w:t>Carrying amount at 1 July — at valuation</w:t>
            </w:r>
          </w:p>
        </w:tc>
        <w:tc>
          <w:tcPr>
            <w:tcW w:w="1266" w:type="dxa"/>
            <w:shd w:val="clear" w:color="auto" w:fill="auto"/>
            <w:vAlign w:val="center"/>
          </w:tcPr>
          <w:p w:rsidR="005C4A0A" w:rsidRPr="00DE475B" w:rsidRDefault="00381AF3" w:rsidP="00A2292F">
            <w:pPr>
              <w:pStyle w:val="ARbodytext"/>
              <w:jc w:val="right"/>
            </w:pPr>
            <w:r>
              <w:t>61,567</w:t>
            </w:r>
          </w:p>
        </w:tc>
        <w:tc>
          <w:tcPr>
            <w:tcW w:w="1266" w:type="dxa"/>
            <w:shd w:val="clear" w:color="auto" w:fill="auto"/>
            <w:vAlign w:val="center"/>
          </w:tcPr>
          <w:p w:rsidR="005C4A0A" w:rsidRPr="00DE475B" w:rsidRDefault="005C4A0A" w:rsidP="00A2292F">
            <w:pPr>
              <w:pStyle w:val="ARbodytext"/>
              <w:jc w:val="right"/>
            </w:pPr>
            <w:r w:rsidRPr="00DE475B">
              <w:t>61,250</w:t>
            </w:r>
          </w:p>
        </w:tc>
        <w:tc>
          <w:tcPr>
            <w:tcW w:w="1267" w:type="dxa"/>
            <w:shd w:val="clear" w:color="auto" w:fill="auto"/>
            <w:vAlign w:val="center"/>
          </w:tcPr>
          <w:p w:rsidR="005C4A0A" w:rsidRPr="00DE475B" w:rsidRDefault="00381AF3" w:rsidP="00A2292F">
            <w:pPr>
              <w:pStyle w:val="ARbodytext"/>
              <w:jc w:val="right"/>
            </w:pPr>
            <w:r>
              <w:t>42,292</w:t>
            </w:r>
          </w:p>
        </w:tc>
        <w:tc>
          <w:tcPr>
            <w:tcW w:w="1267" w:type="dxa"/>
            <w:shd w:val="clear" w:color="auto" w:fill="auto"/>
            <w:vAlign w:val="center"/>
          </w:tcPr>
          <w:p w:rsidR="005C4A0A" w:rsidRPr="00DE475B" w:rsidRDefault="005C4A0A" w:rsidP="00A2292F">
            <w:pPr>
              <w:pStyle w:val="ARbodytext"/>
              <w:jc w:val="right"/>
            </w:pPr>
            <w:r w:rsidRPr="00DE475B">
              <w:t xml:space="preserve">42,069 </w:t>
            </w:r>
          </w:p>
        </w:tc>
        <w:tc>
          <w:tcPr>
            <w:tcW w:w="1267" w:type="dxa"/>
            <w:shd w:val="clear" w:color="auto" w:fill="auto"/>
            <w:vAlign w:val="center"/>
          </w:tcPr>
          <w:p w:rsidR="005C4A0A" w:rsidRPr="00DE475B" w:rsidRDefault="00381AF3" w:rsidP="00A2292F">
            <w:pPr>
              <w:pStyle w:val="ARbodytext"/>
              <w:jc w:val="right"/>
            </w:pPr>
            <w:r>
              <w:t>-</w:t>
            </w:r>
          </w:p>
        </w:tc>
        <w:tc>
          <w:tcPr>
            <w:tcW w:w="1267" w:type="dxa"/>
            <w:shd w:val="clear" w:color="auto" w:fill="auto"/>
            <w:vAlign w:val="center"/>
          </w:tcPr>
          <w:p w:rsidR="005C4A0A" w:rsidRPr="00DE475B" w:rsidRDefault="005C4A0A" w:rsidP="00A2292F">
            <w:pPr>
              <w:pStyle w:val="ARbodytext"/>
              <w:jc w:val="right"/>
            </w:pPr>
            <w:r w:rsidRPr="00DE475B">
              <w:t xml:space="preserve">-  </w:t>
            </w:r>
          </w:p>
        </w:tc>
        <w:tc>
          <w:tcPr>
            <w:tcW w:w="1267" w:type="dxa"/>
            <w:vAlign w:val="center"/>
          </w:tcPr>
          <w:p w:rsidR="005C4A0A" w:rsidRPr="00DE475B" w:rsidRDefault="00381AF3" w:rsidP="00A2292F">
            <w:pPr>
              <w:pStyle w:val="ARbodytext"/>
              <w:jc w:val="right"/>
            </w:pPr>
            <w:r>
              <w:t>103,859</w:t>
            </w:r>
          </w:p>
        </w:tc>
        <w:tc>
          <w:tcPr>
            <w:tcW w:w="1267" w:type="dxa"/>
            <w:vAlign w:val="center"/>
          </w:tcPr>
          <w:p w:rsidR="005C4A0A" w:rsidRPr="00DE475B" w:rsidRDefault="005C4A0A" w:rsidP="00A2292F">
            <w:pPr>
              <w:pStyle w:val="ARbodytext"/>
              <w:jc w:val="right"/>
            </w:pPr>
            <w:r w:rsidRPr="00DE475B">
              <w:t xml:space="preserve">103,319 </w:t>
            </w:r>
          </w:p>
        </w:tc>
      </w:tr>
      <w:tr w:rsidR="005C4A0A" w:rsidRPr="00DE475B" w:rsidTr="00A2292F">
        <w:trPr>
          <w:trHeight w:val="315"/>
        </w:trPr>
        <w:tc>
          <w:tcPr>
            <w:tcW w:w="4041" w:type="dxa"/>
            <w:shd w:val="clear" w:color="auto" w:fill="auto"/>
            <w:vAlign w:val="center"/>
          </w:tcPr>
          <w:p w:rsidR="005C4A0A" w:rsidRPr="00DE475B" w:rsidRDefault="005C4A0A" w:rsidP="00A2292F">
            <w:pPr>
              <w:pStyle w:val="ARbodytext"/>
            </w:pPr>
            <w:r w:rsidRPr="00DE475B">
              <w:t>Acquisitions</w:t>
            </w:r>
          </w:p>
        </w:tc>
        <w:tc>
          <w:tcPr>
            <w:tcW w:w="1266" w:type="dxa"/>
            <w:shd w:val="clear" w:color="auto" w:fill="auto"/>
            <w:vAlign w:val="center"/>
          </w:tcPr>
          <w:p w:rsidR="005C4A0A" w:rsidRPr="00DE475B" w:rsidRDefault="00381AF3" w:rsidP="00A2292F">
            <w:pPr>
              <w:pStyle w:val="ARbodytext"/>
              <w:jc w:val="right"/>
            </w:pPr>
            <w:r>
              <w:t>302</w:t>
            </w:r>
          </w:p>
        </w:tc>
        <w:tc>
          <w:tcPr>
            <w:tcW w:w="1266" w:type="dxa"/>
            <w:shd w:val="clear" w:color="auto" w:fill="auto"/>
            <w:vAlign w:val="center"/>
          </w:tcPr>
          <w:p w:rsidR="005C4A0A" w:rsidRPr="00DE475B" w:rsidRDefault="005C4A0A" w:rsidP="00A2292F">
            <w:pPr>
              <w:pStyle w:val="ARbodytext"/>
              <w:jc w:val="right"/>
            </w:pPr>
            <w:r w:rsidRPr="00DE475B">
              <w:t>298</w:t>
            </w:r>
          </w:p>
        </w:tc>
        <w:tc>
          <w:tcPr>
            <w:tcW w:w="1267" w:type="dxa"/>
            <w:shd w:val="clear" w:color="auto" w:fill="auto"/>
            <w:vAlign w:val="center"/>
          </w:tcPr>
          <w:p w:rsidR="005C4A0A" w:rsidRPr="00DE475B" w:rsidRDefault="00381AF3" w:rsidP="00A2292F">
            <w:pPr>
              <w:pStyle w:val="ARbodytext"/>
              <w:jc w:val="right"/>
            </w:pPr>
            <w:r>
              <w:t>248</w:t>
            </w:r>
          </w:p>
        </w:tc>
        <w:tc>
          <w:tcPr>
            <w:tcW w:w="1267" w:type="dxa"/>
            <w:shd w:val="clear" w:color="auto" w:fill="auto"/>
            <w:vAlign w:val="center"/>
          </w:tcPr>
          <w:p w:rsidR="005C4A0A" w:rsidRPr="00DE475B" w:rsidRDefault="005C4A0A" w:rsidP="00A2292F">
            <w:pPr>
              <w:pStyle w:val="ARbodytext"/>
              <w:jc w:val="right"/>
            </w:pPr>
            <w:r w:rsidRPr="00DE475B">
              <w:t xml:space="preserve">261 </w:t>
            </w:r>
          </w:p>
        </w:tc>
        <w:tc>
          <w:tcPr>
            <w:tcW w:w="1267" w:type="dxa"/>
            <w:shd w:val="clear" w:color="auto" w:fill="auto"/>
            <w:vAlign w:val="center"/>
          </w:tcPr>
          <w:p w:rsidR="005C4A0A" w:rsidRPr="00DE475B" w:rsidRDefault="00381AF3" w:rsidP="00A2292F">
            <w:pPr>
              <w:pStyle w:val="ARbodytext"/>
              <w:jc w:val="right"/>
            </w:pPr>
            <w:r>
              <w:t>162</w:t>
            </w:r>
          </w:p>
        </w:tc>
        <w:tc>
          <w:tcPr>
            <w:tcW w:w="1267" w:type="dxa"/>
            <w:shd w:val="clear" w:color="auto" w:fill="auto"/>
            <w:vAlign w:val="center"/>
          </w:tcPr>
          <w:p w:rsidR="005C4A0A" w:rsidRPr="00DE475B" w:rsidRDefault="005C4A0A" w:rsidP="00A2292F">
            <w:pPr>
              <w:pStyle w:val="ARbodytext"/>
              <w:jc w:val="right"/>
            </w:pPr>
            <w:r w:rsidRPr="00DE475B">
              <w:t xml:space="preserve">590 </w:t>
            </w:r>
          </w:p>
        </w:tc>
        <w:tc>
          <w:tcPr>
            <w:tcW w:w="1267" w:type="dxa"/>
            <w:vAlign w:val="center"/>
          </w:tcPr>
          <w:p w:rsidR="005C4A0A" w:rsidRPr="00DE475B" w:rsidRDefault="00381AF3" w:rsidP="00A2292F">
            <w:pPr>
              <w:pStyle w:val="ARbodytext"/>
              <w:jc w:val="right"/>
            </w:pPr>
            <w:r>
              <w:t>712</w:t>
            </w:r>
          </w:p>
        </w:tc>
        <w:tc>
          <w:tcPr>
            <w:tcW w:w="1267" w:type="dxa"/>
            <w:vAlign w:val="center"/>
          </w:tcPr>
          <w:p w:rsidR="005C4A0A" w:rsidRPr="00DE475B" w:rsidRDefault="005C4A0A" w:rsidP="00A2292F">
            <w:pPr>
              <w:pStyle w:val="ARbodytext"/>
              <w:jc w:val="right"/>
            </w:pPr>
            <w:r w:rsidRPr="00DE475B">
              <w:t xml:space="preserve">1,149 </w:t>
            </w:r>
          </w:p>
        </w:tc>
      </w:tr>
      <w:tr w:rsidR="005C4A0A" w:rsidRPr="00DE475B" w:rsidTr="00A2292F">
        <w:trPr>
          <w:trHeight w:val="315"/>
        </w:trPr>
        <w:tc>
          <w:tcPr>
            <w:tcW w:w="4041" w:type="dxa"/>
            <w:shd w:val="clear" w:color="auto" w:fill="auto"/>
            <w:vAlign w:val="center"/>
          </w:tcPr>
          <w:p w:rsidR="005C4A0A" w:rsidRPr="00DE475B" w:rsidRDefault="005C4A0A" w:rsidP="00A2292F">
            <w:pPr>
              <w:pStyle w:val="ARbodytext"/>
            </w:pPr>
            <w:r w:rsidRPr="00DE475B">
              <w:t>Donations received</w:t>
            </w:r>
          </w:p>
        </w:tc>
        <w:tc>
          <w:tcPr>
            <w:tcW w:w="1266" w:type="dxa"/>
            <w:shd w:val="clear" w:color="auto" w:fill="auto"/>
            <w:vAlign w:val="center"/>
          </w:tcPr>
          <w:p w:rsidR="005C4A0A" w:rsidRPr="00DE475B" w:rsidRDefault="00381AF3" w:rsidP="00A2292F">
            <w:pPr>
              <w:pStyle w:val="ARbodytext"/>
              <w:jc w:val="right"/>
            </w:pPr>
            <w:r>
              <w:t>512</w:t>
            </w:r>
          </w:p>
        </w:tc>
        <w:tc>
          <w:tcPr>
            <w:tcW w:w="1266" w:type="dxa"/>
            <w:shd w:val="clear" w:color="auto" w:fill="auto"/>
            <w:vAlign w:val="center"/>
          </w:tcPr>
          <w:p w:rsidR="005C4A0A" w:rsidRPr="00DE475B" w:rsidRDefault="005C4A0A" w:rsidP="00A2292F">
            <w:pPr>
              <w:pStyle w:val="ARbodytext"/>
              <w:jc w:val="right"/>
            </w:pPr>
            <w:r w:rsidRPr="00DE475B">
              <w:t>470</w:t>
            </w:r>
          </w:p>
        </w:tc>
        <w:tc>
          <w:tcPr>
            <w:tcW w:w="1267" w:type="dxa"/>
            <w:shd w:val="clear" w:color="auto" w:fill="auto"/>
            <w:vAlign w:val="center"/>
          </w:tcPr>
          <w:p w:rsidR="005C4A0A" w:rsidRPr="00DE475B" w:rsidRDefault="00381AF3" w:rsidP="00A2292F">
            <w:pPr>
              <w:pStyle w:val="ARbodytext"/>
              <w:jc w:val="right"/>
            </w:pPr>
            <w:r>
              <w:t>-</w:t>
            </w:r>
          </w:p>
        </w:tc>
        <w:tc>
          <w:tcPr>
            <w:tcW w:w="1267" w:type="dxa"/>
            <w:shd w:val="clear" w:color="auto" w:fill="auto"/>
            <w:vAlign w:val="center"/>
          </w:tcPr>
          <w:p w:rsidR="005C4A0A" w:rsidRPr="00DE475B" w:rsidRDefault="005C4A0A" w:rsidP="00A2292F">
            <w:pPr>
              <w:pStyle w:val="ARbodytext"/>
              <w:jc w:val="right"/>
            </w:pPr>
            <w:r w:rsidRPr="00DE475B">
              <w:t xml:space="preserve">-  </w:t>
            </w:r>
          </w:p>
        </w:tc>
        <w:tc>
          <w:tcPr>
            <w:tcW w:w="1267" w:type="dxa"/>
            <w:shd w:val="clear" w:color="auto" w:fill="auto"/>
            <w:vAlign w:val="center"/>
          </w:tcPr>
          <w:p w:rsidR="005C4A0A" w:rsidRPr="00DE475B" w:rsidRDefault="00381AF3" w:rsidP="00A2292F">
            <w:pPr>
              <w:pStyle w:val="ARbodytext"/>
              <w:jc w:val="right"/>
            </w:pPr>
            <w:r>
              <w:t>-</w:t>
            </w:r>
          </w:p>
        </w:tc>
        <w:tc>
          <w:tcPr>
            <w:tcW w:w="1267" w:type="dxa"/>
            <w:shd w:val="clear" w:color="auto" w:fill="auto"/>
            <w:vAlign w:val="center"/>
          </w:tcPr>
          <w:p w:rsidR="005C4A0A" w:rsidRPr="00DE475B" w:rsidRDefault="005C4A0A" w:rsidP="00A2292F">
            <w:pPr>
              <w:pStyle w:val="ARbodytext"/>
              <w:jc w:val="right"/>
            </w:pPr>
            <w:r w:rsidRPr="00DE475B">
              <w:t xml:space="preserve">-  </w:t>
            </w:r>
          </w:p>
        </w:tc>
        <w:tc>
          <w:tcPr>
            <w:tcW w:w="1267" w:type="dxa"/>
            <w:vAlign w:val="center"/>
          </w:tcPr>
          <w:p w:rsidR="005C4A0A" w:rsidRPr="00DE475B" w:rsidRDefault="00381AF3" w:rsidP="00A2292F">
            <w:pPr>
              <w:pStyle w:val="ARbodytext"/>
              <w:jc w:val="right"/>
            </w:pPr>
            <w:r>
              <w:t>512</w:t>
            </w:r>
          </w:p>
        </w:tc>
        <w:tc>
          <w:tcPr>
            <w:tcW w:w="1267" w:type="dxa"/>
            <w:vAlign w:val="center"/>
          </w:tcPr>
          <w:p w:rsidR="005C4A0A" w:rsidRPr="00DE475B" w:rsidRDefault="005C4A0A" w:rsidP="00A2292F">
            <w:pPr>
              <w:pStyle w:val="ARbodytext"/>
              <w:jc w:val="right"/>
            </w:pPr>
            <w:r w:rsidRPr="00DE475B">
              <w:t xml:space="preserve">470 </w:t>
            </w:r>
          </w:p>
        </w:tc>
      </w:tr>
      <w:tr w:rsidR="005C4A0A" w:rsidRPr="00DE475B" w:rsidTr="00A2292F">
        <w:trPr>
          <w:trHeight w:val="315"/>
        </w:trPr>
        <w:tc>
          <w:tcPr>
            <w:tcW w:w="4041" w:type="dxa"/>
            <w:shd w:val="clear" w:color="auto" w:fill="auto"/>
            <w:vAlign w:val="center"/>
          </w:tcPr>
          <w:p w:rsidR="005C4A0A" w:rsidRPr="00DE475B" w:rsidRDefault="005C4A0A" w:rsidP="00A2292F">
            <w:pPr>
              <w:pStyle w:val="ARbodytext"/>
            </w:pPr>
            <w:r w:rsidRPr="00DE475B">
              <w:t>Disposals</w:t>
            </w:r>
          </w:p>
        </w:tc>
        <w:tc>
          <w:tcPr>
            <w:tcW w:w="1266" w:type="dxa"/>
            <w:shd w:val="clear" w:color="auto" w:fill="auto"/>
            <w:vAlign w:val="center"/>
          </w:tcPr>
          <w:p w:rsidR="005C4A0A" w:rsidRPr="00DE475B" w:rsidRDefault="00381AF3" w:rsidP="00A2292F">
            <w:pPr>
              <w:pStyle w:val="ARbodytext"/>
              <w:jc w:val="right"/>
            </w:pPr>
            <w:r>
              <w:t>-</w:t>
            </w:r>
          </w:p>
        </w:tc>
        <w:tc>
          <w:tcPr>
            <w:tcW w:w="1266" w:type="dxa"/>
            <w:shd w:val="clear" w:color="auto" w:fill="auto"/>
            <w:vAlign w:val="center"/>
          </w:tcPr>
          <w:p w:rsidR="005C4A0A" w:rsidRPr="00DE475B" w:rsidRDefault="005C4A0A" w:rsidP="00A2292F">
            <w:pPr>
              <w:pStyle w:val="ARbodytext"/>
              <w:jc w:val="right"/>
            </w:pPr>
            <w:r w:rsidRPr="00DE475B">
              <w:t>-</w:t>
            </w:r>
          </w:p>
        </w:tc>
        <w:tc>
          <w:tcPr>
            <w:tcW w:w="1267" w:type="dxa"/>
            <w:shd w:val="clear" w:color="auto" w:fill="auto"/>
            <w:vAlign w:val="center"/>
          </w:tcPr>
          <w:p w:rsidR="005C4A0A" w:rsidRPr="00DE475B" w:rsidRDefault="00381AF3" w:rsidP="00A2292F">
            <w:pPr>
              <w:pStyle w:val="ARbodytext"/>
              <w:jc w:val="right"/>
            </w:pPr>
            <w:r>
              <w:t>-</w:t>
            </w:r>
          </w:p>
        </w:tc>
        <w:tc>
          <w:tcPr>
            <w:tcW w:w="1267" w:type="dxa"/>
            <w:shd w:val="clear" w:color="auto" w:fill="auto"/>
            <w:vAlign w:val="center"/>
          </w:tcPr>
          <w:p w:rsidR="005C4A0A" w:rsidRPr="00DE475B" w:rsidRDefault="005C4A0A" w:rsidP="00A2292F">
            <w:pPr>
              <w:pStyle w:val="ARbodytext"/>
              <w:jc w:val="right"/>
            </w:pPr>
            <w:r w:rsidRPr="00DE475B">
              <w:t xml:space="preserve">-  </w:t>
            </w:r>
          </w:p>
        </w:tc>
        <w:tc>
          <w:tcPr>
            <w:tcW w:w="1267" w:type="dxa"/>
            <w:shd w:val="clear" w:color="auto" w:fill="auto"/>
            <w:vAlign w:val="center"/>
          </w:tcPr>
          <w:p w:rsidR="005C4A0A" w:rsidRPr="00DE475B" w:rsidRDefault="00381AF3" w:rsidP="00A2292F">
            <w:pPr>
              <w:pStyle w:val="ARbodytext"/>
              <w:jc w:val="right"/>
            </w:pPr>
            <w:r>
              <w:t>(2)</w:t>
            </w:r>
          </w:p>
        </w:tc>
        <w:tc>
          <w:tcPr>
            <w:tcW w:w="1267" w:type="dxa"/>
            <w:shd w:val="clear" w:color="auto" w:fill="auto"/>
            <w:vAlign w:val="center"/>
          </w:tcPr>
          <w:p w:rsidR="005C4A0A" w:rsidRPr="00DE475B" w:rsidRDefault="005C4A0A" w:rsidP="00A2292F">
            <w:pPr>
              <w:pStyle w:val="ARbodytext"/>
              <w:jc w:val="right"/>
            </w:pPr>
            <w:r w:rsidRPr="00DE475B">
              <w:t>(44)</w:t>
            </w:r>
          </w:p>
        </w:tc>
        <w:tc>
          <w:tcPr>
            <w:tcW w:w="1267" w:type="dxa"/>
            <w:vAlign w:val="center"/>
          </w:tcPr>
          <w:p w:rsidR="005C4A0A" w:rsidRPr="00DE475B" w:rsidRDefault="00381AF3" w:rsidP="00A2292F">
            <w:pPr>
              <w:pStyle w:val="ARbodytext"/>
              <w:jc w:val="right"/>
            </w:pPr>
            <w:r>
              <w:t>(2)</w:t>
            </w:r>
          </w:p>
        </w:tc>
        <w:tc>
          <w:tcPr>
            <w:tcW w:w="1267" w:type="dxa"/>
            <w:vAlign w:val="center"/>
          </w:tcPr>
          <w:p w:rsidR="005C4A0A" w:rsidRPr="00DE475B" w:rsidRDefault="005C4A0A" w:rsidP="00A2292F">
            <w:pPr>
              <w:pStyle w:val="ARbodytext"/>
              <w:jc w:val="right"/>
            </w:pPr>
            <w:r w:rsidRPr="00DE475B">
              <w:t>(44)</w:t>
            </w:r>
          </w:p>
        </w:tc>
      </w:tr>
      <w:tr w:rsidR="005C4A0A" w:rsidRPr="00DE475B" w:rsidTr="00A2292F">
        <w:trPr>
          <w:trHeight w:val="315"/>
        </w:trPr>
        <w:tc>
          <w:tcPr>
            <w:tcW w:w="4041" w:type="dxa"/>
            <w:shd w:val="clear" w:color="auto" w:fill="auto"/>
            <w:vAlign w:val="center"/>
          </w:tcPr>
          <w:p w:rsidR="005C4A0A" w:rsidRPr="00DE475B" w:rsidRDefault="005C4A0A" w:rsidP="00A2292F">
            <w:pPr>
              <w:pStyle w:val="ARbodytext"/>
            </w:pPr>
            <w:r w:rsidRPr="00DE475B">
              <w:t>Transfers between asset classes</w:t>
            </w:r>
          </w:p>
        </w:tc>
        <w:tc>
          <w:tcPr>
            <w:tcW w:w="1266" w:type="dxa"/>
            <w:shd w:val="clear" w:color="auto" w:fill="auto"/>
            <w:vAlign w:val="center"/>
          </w:tcPr>
          <w:p w:rsidR="005C4A0A" w:rsidRPr="00DE475B" w:rsidRDefault="00381AF3" w:rsidP="00A2292F">
            <w:pPr>
              <w:pStyle w:val="ARbodytext"/>
              <w:jc w:val="right"/>
            </w:pPr>
            <w:r>
              <w:t>-</w:t>
            </w:r>
          </w:p>
        </w:tc>
        <w:tc>
          <w:tcPr>
            <w:tcW w:w="1266" w:type="dxa"/>
            <w:shd w:val="clear" w:color="auto" w:fill="auto"/>
            <w:vAlign w:val="center"/>
          </w:tcPr>
          <w:p w:rsidR="005C4A0A" w:rsidRPr="00DE475B" w:rsidRDefault="005C4A0A" w:rsidP="00A2292F">
            <w:pPr>
              <w:pStyle w:val="ARbodytext"/>
              <w:jc w:val="right"/>
            </w:pPr>
            <w:r w:rsidRPr="00DE475B">
              <w:t>342</w:t>
            </w:r>
          </w:p>
        </w:tc>
        <w:tc>
          <w:tcPr>
            <w:tcW w:w="1267" w:type="dxa"/>
            <w:shd w:val="clear" w:color="auto" w:fill="auto"/>
            <w:vAlign w:val="center"/>
          </w:tcPr>
          <w:p w:rsidR="005C4A0A" w:rsidRPr="00DE475B" w:rsidRDefault="00381AF3" w:rsidP="00A2292F">
            <w:pPr>
              <w:pStyle w:val="ARbodytext"/>
              <w:jc w:val="right"/>
            </w:pPr>
            <w:r>
              <w:t>-</w:t>
            </w:r>
          </w:p>
        </w:tc>
        <w:tc>
          <w:tcPr>
            <w:tcW w:w="1267" w:type="dxa"/>
            <w:shd w:val="clear" w:color="auto" w:fill="auto"/>
            <w:vAlign w:val="center"/>
          </w:tcPr>
          <w:p w:rsidR="005C4A0A" w:rsidRPr="00DE475B" w:rsidRDefault="005C4A0A" w:rsidP="00A2292F">
            <w:pPr>
              <w:pStyle w:val="ARbodytext"/>
              <w:jc w:val="right"/>
            </w:pPr>
            <w:r w:rsidRPr="00DE475B">
              <w:t>(342)</w:t>
            </w:r>
          </w:p>
        </w:tc>
        <w:tc>
          <w:tcPr>
            <w:tcW w:w="1267" w:type="dxa"/>
            <w:shd w:val="clear" w:color="auto" w:fill="auto"/>
            <w:vAlign w:val="center"/>
          </w:tcPr>
          <w:p w:rsidR="005C4A0A" w:rsidRPr="00DE475B" w:rsidRDefault="00381AF3" w:rsidP="00A2292F">
            <w:pPr>
              <w:pStyle w:val="ARbodytext"/>
              <w:jc w:val="right"/>
            </w:pPr>
            <w:r>
              <w:t>-</w:t>
            </w:r>
          </w:p>
        </w:tc>
        <w:tc>
          <w:tcPr>
            <w:tcW w:w="1267" w:type="dxa"/>
            <w:shd w:val="clear" w:color="auto" w:fill="auto"/>
            <w:vAlign w:val="center"/>
          </w:tcPr>
          <w:p w:rsidR="005C4A0A" w:rsidRPr="00DE475B" w:rsidRDefault="005C4A0A" w:rsidP="00A2292F">
            <w:pPr>
              <w:pStyle w:val="ARbodytext"/>
              <w:jc w:val="right"/>
            </w:pPr>
            <w:r w:rsidRPr="00DE475B">
              <w:t xml:space="preserve">-  </w:t>
            </w:r>
          </w:p>
        </w:tc>
        <w:tc>
          <w:tcPr>
            <w:tcW w:w="1267" w:type="dxa"/>
            <w:vAlign w:val="center"/>
          </w:tcPr>
          <w:p w:rsidR="005C4A0A" w:rsidRPr="00DE475B" w:rsidRDefault="00381AF3" w:rsidP="00A2292F">
            <w:pPr>
              <w:pStyle w:val="ARbodytext"/>
              <w:jc w:val="right"/>
            </w:pPr>
            <w:r>
              <w:t>-</w:t>
            </w:r>
          </w:p>
        </w:tc>
        <w:tc>
          <w:tcPr>
            <w:tcW w:w="1267" w:type="dxa"/>
            <w:vAlign w:val="center"/>
          </w:tcPr>
          <w:p w:rsidR="005C4A0A" w:rsidRPr="00DE475B" w:rsidRDefault="005C4A0A" w:rsidP="00A2292F">
            <w:pPr>
              <w:pStyle w:val="ARbodytext"/>
              <w:jc w:val="right"/>
            </w:pPr>
            <w:r w:rsidRPr="00DE475B">
              <w:t xml:space="preserve">-  </w:t>
            </w:r>
          </w:p>
        </w:tc>
      </w:tr>
      <w:tr w:rsidR="005C4A0A" w:rsidRPr="00DE475B" w:rsidTr="00A2292F">
        <w:trPr>
          <w:trHeight w:val="315"/>
        </w:trPr>
        <w:tc>
          <w:tcPr>
            <w:tcW w:w="4041" w:type="dxa"/>
            <w:shd w:val="clear" w:color="auto" w:fill="auto"/>
            <w:vAlign w:val="center"/>
          </w:tcPr>
          <w:p w:rsidR="005C4A0A" w:rsidRPr="00DE475B" w:rsidRDefault="005C4A0A" w:rsidP="00A2292F">
            <w:pPr>
              <w:pStyle w:val="ARbodytext"/>
            </w:pPr>
            <w:r w:rsidRPr="00DE475B">
              <w:t>Net revaluation increments/(decrements)</w:t>
            </w:r>
          </w:p>
        </w:tc>
        <w:tc>
          <w:tcPr>
            <w:tcW w:w="1266" w:type="dxa"/>
            <w:shd w:val="clear" w:color="auto" w:fill="auto"/>
            <w:vAlign w:val="center"/>
          </w:tcPr>
          <w:p w:rsidR="005C4A0A" w:rsidRPr="00DE475B" w:rsidRDefault="00381AF3" w:rsidP="00A2292F">
            <w:pPr>
              <w:pStyle w:val="ARbodytext"/>
              <w:jc w:val="right"/>
            </w:pPr>
            <w:r>
              <w:t>16,711</w:t>
            </w:r>
          </w:p>
        </w:tc>
        <w:tc>
          <w:tcPr>
            <w:tcW w:w="1266" w:type="dxa"/>
            <w:shd w:val="clear" w:color="auto" w:fill="auto"/>
            <w:vAlign w:val="center"/>
          </w:tcPr>
          <w:p w:rsidR="005C4A0A" w:rsidRPr="00DE475B" w:rsidRDefault="005C4A0A" w:rsidP="00A2292F">
            <w:pPr>
              <w:pStyle w:val="ARbodytext"/>
              <w:jc w:val="right"/>
            </w:pPr>
            <w:r w:rsidRPr="00DE475B">
              <w:t>(867)</w:t>
            </w:r>
          </w:p>
        </w:tc>
        <w:tc>
          <w:tcPr>
            <w:tcW w:w="1267" w:type="dxa"/>
            <w:shd w:val="clear" w:color="auto" w:fill="auto"/>
            <w:vAlign w:val="center"/>
          </w:tcPr>
          <w:p w:rsidR="005C4A0A" w:rsidRPr="00DE475B" w:rsidRDefault="00381AF3" w:rsidP="00A2292F">
            <w:pPr>
              <w:pStyle w:val="ARbodytext"/>
              <w:jc w:val="right"/>
            </w:pPr>
            <w:r>
              <w:t>(338)</w:t>
            </w:r>
          </w:p>
        </w:tc>
        <w:tc>
          <w:tcPr>
            <w:tcW w:w="1267" w:type="dxa"/>
            <w:shd w:val="clear" w:color="auto" w:fill="auto"/>
            <w:vAlign w:val="center"/>
          </w:tcPr>
          <w:p w:rsidR="005C4A0A" w:rsidRPr="00DE475B" w:rsidRDefault="005C4A0A" w:rsidP="00A2292F">
            <w:pPr>
              <w:pStyle w:val="ARbodytext"/>
              <w:jc w:val="right"/>
            </w:pPr>
            <w:r w:rsidRPr="00DE475B">
              <w:t xml:space="preserve">214 </w:t>
            </w:r>
          </w:p>
        </w:tc>
        <w:tc>
          <w:tcPr>
            <w:tcW w:w="1267" w:type="dxa"/>
            <w:shd w:val="clear" w:color="auto" w:fill="auto"/>
            <w:vAlign w:val="center"/>
          </w:tcPr>
          <w:p w:rsidR="005C4A0A" w:rsidRPr="00DE475B" w:rsidRDefault="00381AF3" w:rsidP="00A2292F">
            <w:pPr>
              <w:pStyle w:val="ARbodytext"/>
              <w:jc w:val="right"/>
            </w:pPr>
            <w:r>
              <w:t>-</w:t>
            </w:r>
          </w:p>
        </w:tc>
        <w:tc>
          <w:tcPr>
            <w:tcW w:w="1267" w:type="dxa"/>
            <w:shd w:val="clear" w:color="auto" w:fill="auto"/>
            <w:vAlign w:val="center"/>
          </w:tcPr>
          <w:p w:rsidR="005C4A0A" w:rsidRPr="00DE475B" w:rsidRDefault="005C4A0A" w:rsidP="00A2292F">
            <w:pPr>
              <w:pStyle w:val="ARbodytext"/>
              <w:jc w:val="right"/>
            </w:pPr>
            <w:r w:rsidRPr="00DE475B">
              <w:t xml:space="preserve">-  </w:t>
            </w:r>
          </w:p>
        </w:tc>
        <w:tc>
          <w:tcPr>
            <w:tcW w:w="1267" w:type="dxa"/>
            <w:vAlign w:val="center"/>
          </w:tcPr>
          <w:p w:rsidR="005C4A0A" w:rsidRPr="00DE475B" w:rsidRDefault="00381AF3" w:rsidP="00A2292F">
            <w:pPr>
              <w:pStyle w:val="ARbodytext"/>
              <w:jc w:val="right"/>
            </w:pPr>
            <w:r>
              <w:t>16,373</w:t>
            </w:r>
          </w:p>
        </w:tc>
        <w:tc>
          <w:tcPr>
            <w:tcW w:w="1267" w:type="dxa"/>
            <w:vAlign w:val="center"/>
          </w:tcPr>
          <w:p w:rsidR="005C4A0A" w:rsidRPr="00DE475B" w:rsidRDefault="005C4A0A" w:rsidP="00A2292F">
            <w:pPr>
              <w:pStyle w:val="ARbodytext"/>
              <w:jc w:val="right"/>
            </w:pPr>
            <w:r w:rsidRPr="00DE475B">
              <w:t>(653)</w:t>
            </w:r>
          </w:p>
        </w:tc>
      </w:tr>
      <w:tr w:rsidR="005C4A0A" w:rsidRPr="00DE475B" w:rsidTr="00A2292F">
        <w:trPr>
          <w:trHeight w:val="315"/>
        </w:trPr>
        <w:tc>
          <w:tcPr>
            <w:tcW w:w="4041" w:type="dxa"/>
            <w:shd w:val="clear" w:color="auto" w:fill="auto"/>
            <w:vAlign w:val="center"/>
          </w:tcPr>
          <w:p w:rsidR="005C4A0A" w:rsidRPr="00DE475B" w:rsidRDefault="005C4A0A" w:rsidP="00A2292F">
            <w:pPr>
              <w:pStyle w:val="ARbodytext"/>
            </w:pPr>
            <w:r w:rsidRPr="00DE475B">
              <w:t>Depreciation expense</w:t>
            </w:r>
          </w:p>
        </w:tc>
        <w:tc>
          <w:tcPr>
            <w:tcW w:w="1266" w:type="dxa"/>
            <w:shd w:val="clear" w:color="auto" w:fill="auto"/>
            <w:vAlign w:val="center"/>
          </w:tcPr>
          <w:p w:rsidR="005C4A0A" w:rsidRPr="00DE475B" w:rsidRDefault="00381AF3" w:rsidP="00A2292F">
            <w:pPr>
              <w:pStyle w:val="ARbodytext"/>
              <w:jc w:val="right"/>
            </w:pPr>
            <w:r>
              <w:t>-</w:t>
            </w:r>
          </w:p>
        </w:tc>
        <w:tc>
          <w:tcPr>
            <w:tcW w:w="1266" w:type="dxa"/>
            <w:shd w:val="clear" w:color="auto" w:fill="auto"/>
            <w:vAlign w:val="center"/>
          </w:tcPr>
          <w:p w:rsidR="005C4A0A" w:rsidRPr="00DE475B" w:rsidRDefault="005C4A0A" w:rsidP="00A2292F">
            <w:pPr>
              <w:pStyle w:val="ARbodytext"/>
              <w:jc w:val="right"/>
            </w:pPr>
            <w:r w:rsidRPr="00DE475B">
              <w:t>-</w:t>
            </w:r>
          </w:p>
        </w:tc>
        <w:tc>
          <w:tcPr>
            <w:tcW w:w="1267" w:type="dxa"/>
            <w:shd w:val="clear" w:color="auto" w:fill="auto"/>
            <w:vAlign w:val="center"/>
          </w:tcPr>
          <w:p w:rsidR="005C4A0A" w:rsidRPr="00DE475B" w:rsidRDefault="00381AF3" w:rsidP="00A2292F">
            <w:pPr>
              <w:pStyle w:val="ARbodytext"/>
              <w:jc w:val="right"/>
            </w:pPr>
            <w:r>
              <w:t>-</w:t>
            </w:r>
          </w:p>
        </w:tc>
        <w:tc>
          <w:tcPr>
            <w:tcW w:w="1267" w:type="dxa"/>
            <w:shd w:val="clear" w:color="auto" w:fill="auto"/>
            <w:vAlign w:val="center"/>
          </w:tcPr>
          <w:p w:rsidR="005C4A0A" w:rsidRPr="00DE475B" w:rsidRDefault="005C4A0A" w:rsidP="00A2292F">
            <w:pPr>
              <w:pStyle w:val="ARbodytext"/>
              <w:jc w:val="right"/>
            </w:pPr>
            <w:r w:rsidRPr="00DE475B">
              <w:t xml:space="preserve">-  </w:t>
            </w:r>
          </w:p>
        </w:tc>
        <w:tc>
          <w:tcPr>
            <w:tcW w:w="1267" w:type="dxa"/>
            <w:shd w:val="clear" w:color="auto" w:fill="auto"/>
            <w:vAlign w:val="center"/>
          </w:tcPr>
          <w:p w:rsidR="005C4A0A" w:rsidRPr="00DE475B" w:rsidRDefault="00381AF3" w:rsidP="00A2292F">
            <w:pPr>
              <w:pStyle w:val="ARbodytext"/>
              <w:jc w:val="right"/>
            </w:pPr>
            <w:r>
              <w:t>(517)</w:t>
            </w:r>
          </w:p>
        </w:tc>
        <w:tc>
          <w:tcPr>
            <w:tcW w:w="1267" w:type="dxa"/>
            <w:shd w:val="clear" w:color="auto" w:fill="auto"/>
            <w:vAlign w:val="center"/>
          </w:tcPr>
          <w:p w:rsidR="005C4A0A" w:rsidRPr="00DE475B" w:rsidRDefault="005C4A0A" w:rsidP="00A2292F">
            <w:pPr>
              <w:pStyle w:val="ARbodytext"/>
              <w:jc w:val="right"/>
            </w:pPr>
            <w:r w:rsidRPr="00DE475B">
              <w:t>(443)</w:t>
            </w:r>
          </w:p>
        </w:tc>
        <w:tc>
          <w:tcPr>
            <w:tcW w:w="1267" w:type="dxa"/>
            <w:vAlign w:val="center"/>
          </w:tcPr>
          <w:p w:rsidR="005C4A0A" w:rsidRPr="00DE475B" w:rsidRDefault="00381AF3" w:rsidP="00A2292F">
            <w:pPr>
              <w:pStyle w:val="ARbodytext"/>
              <w:jc w:val="right"/>
            </w:pPr>
            <w:r>
              <w:t>(517)</w:t>
            </w:r>
          </w:p>
        </w:tc>
        <w:tc>
          <w:tcPr>
            <w:tcW w:w="1267" w:type="dxa"/>
            <w:vAlign w:val="center"/>
          </w:tcPr>
          <w:p w:rsidR="005C4A0A" w:rsidRPr="00DE475B" w:rsidRDefault="005C4A0A" w:rsidP="00A2292F">
            <w:pPr>
              <w:pStyle w:val="ARbodytext"/>
              <w:jc w:val="right"/>
            </w:pPr>
            <w:r w:rsidRPr="00DE475B">
              <w:t>(443)</w:t>
            </w:r>
          </w:p>
        </w:tc>
      </w:tr>
      <w:tr w:rsidR="005C4A0A" w:rsidRPr="00DE475B" w:rsidTr="00A2292F">
        <w:trPr>
          <w:trHeight w:val="139"/>
        </w:trPr>
        <w:tc>
          <w:tcPr>
            <w:tcW w:w="4041" w:type="dxa"/>
            <w:shd w:val="clear" w:color="auto" w:fill="auto"/>
            <w:vAlign w:val="center"/>
          </w:tcPr>
          <w:p w:rsidR="005C4A0A" w:rsidRPr="00DE475B" w:rsidRDefault="005C4A0A" w:rsidP="00A2292F">
            <w:pPr>
              <w:pStyle w:val="ARbodytext"/>
            </w:pPr>
          </w:p>
        </w:tc>
        <w:tc>
          <w:tcPr>
            <w:tcW w:w="1266" w:type="dxa"/>
            <w:tcBorders>
              <w:bottom w:val="single" w:sz="12" w:space="0" w:color="000000"/>
            </w:tcBorders>
            <w:shd w:val="clear" w:color="auto" w:fill="auto"/>
            <w:vAlign w:val="center"/>
          </w:tcPr>
          <w:p w:rsidR="005C4A0A" w:rsidRPr="00DE475B" w:rsidRDefault="005C4A0A" w:rsidP="00A2292F">
            <w:pPr>
              <w:pStyle w:val="ARbodytext"/>
              <w:jc w:val="right"/>
            </w:pPr>
          </w:p>
        </w:tc>
        <w:tc>
          <w:tcPr>
            <w:tcW w:w="1266" w:type="dxa"/>
            <w:tcBorders>
              <w:bottom w:val="single" w:sz="12" w:space="0" w:color="000000"/>
            </w:tcBorders>
            <w:shd w:val="clear" w:color="auto" w:fill="auto"/>
            <w:vAlign w:val="center"/>
          </w:tcPr>
          <w:p w:rsidR="005C4A0A" w:rsidRPr="00DE475B" w:rsidRDefault="005C4A0A" w:rsidP="00A2292F">
            <w:pPr>
              <w:pStyle w:val="ARbodytext"/>
              <w:jc w:val="right"/>
            </w:pPr>
          </w:p>
        </w:tc>
        <w:tc>
          <w:tcPr>
            <w:tcW w:w="1267" w:type="dxa"/>
            <w:tcBorders>
              <w:bottom w:val="single" w:sz="12" w:space="0" w:color="000000"/>
            </w:tcBorders>
            <w:shd w:val="clear" w:color="auto" w:fill="auto"/>
            <w:vAlign w:val="center"/>
          </w:tcPr>
          <w:p w:rsidR="005C4A0A" w:rsidRPr="00DE475B" w:rsidRDefault="005C4A0A" w:rsidP="00A2292F">
            <w:pPr>
              <w:pStyle w:val="ARbodytext"/>
              <w:jc w:val="right"/>
            </w:pPr>
          </w:p>
        </w:tc>
        <w:tc>
          <w:tcPr>
            <w:tcW w:w="1267" w:type="dxa"/>
            <w:tcBorders>
              <w:bottom w:val="single" w:sz="12" w:space="0" w:color="000000"/>
            </w:tcBorders>
            <w:shd w:val="clear" w:color="auto" w:fill="auto"/>
            <w:vAlign w:val="center"/>
          </w:tcPr>
          <w:p w:rsidR="005C4A0A" w:rsidRPr="00DE475B" w:rsidRDefault="005C4A0A" w:rsidP="00A2292F">
            <w:pPr>
              <w:pStyle w:val="ARbodytext"/>
              <w:jc w:val="right"/>
            </w:pPr>
          </w:p>
        </w:tc>
        <w:tc>
          <w:tcPr>
            <w:tcW w:w="1267" w:type="dxa"/>
            <w:tcBorders>
              <w:bottom w:val="single" w:sz="12" w:space="0" w:color="000000"/>
            </w:tcBorders>
            <w:shd w:val="clear" w:color="auto" w:fill="auto"/>
            <w:vAlign w:val="center"/>
          </w:tcPr>
          <w:p w:rsidR="005C4A0A" w:rsidRPr="00DE475B" w:rsidRDefault="005C4A0A" w:rsidP="00A2292F">
            <w:pPr>
              <w:pStyle w:val="ARbodytext"/>
              <w:jc w:val="right"/>
            </w:pPr>
          </w:p>
        </w:tc>
        <w:tc>
          <w:tcPr>
            <w:tcW w:w="1267" w:type="dxa"/>
            <w:tcBorders>
              <w:bottom w:val="single" w:sz="12" w:space="0" w:color="000000"/>
            </w:tcBorders>
            <w:shd w:val="clear" w:color="auto" w:fill="auto"/>
            <w:vAlign w:val="center"/>
          </w:tcPr>
          <w:p w:rsidR="005C4A0A" w:rsidRPr="00DE475B" w:rsidRDefault="005C4A0A" w:rsidP="00A2292F">
            <w:pPr>
              <w:pStyle w:val="ARbodytext"/>
              <w:jc w:val="right"/>
            </w:pPr>
          </w:p>
        </w:tc>
        <w:tc>
          <w:tcPr>
            <w:tcW w:w="1267" w:type="dxa"/>
            <w:tcBorders>
              <w:bottom w:val="single" w:sz="12" w:space="0" w:color="000000"/>
            </w:tcBorders>
            <w:vAlign w:val="center"/>
          </w:tcPr>
          <w:p w:rsidR="005C4A0A" w:rsidRPr="00DE475B" w:rsidRDefault="005C4A0A" w:rsidP="00A2292F">
            <w:pPr>
              <w:pStyle w:val="ARbodytext"/>
              <w:jc w:val="right"/>
            </w:pPr>
          </w:p>
        </w:tc>
        <w:tc>
          <w:tcPr>
            <w:tcW w:w="1267" w:type="dxa"/>
            <w:tcBorders>
              <w:bottom w:val="single" w:sz="12" w:space="0" w:color="000000"/>
            </w:tcBorders>
            <w:vAlign w:val="center"/>
          </w:tcPr>
          <w:p w:rsidR="005C4A0A" w:rsidRPr="00DE475B" w:rsidRDefault="005C4A0A" w:rsidP="00A2292F">
            <w:pPr>
              <w:pStyle w:val="ARbodytext"/>
              <w:jc w:val="right"/>
            </w:pPr>
          </w:p>
        </w:tc>
      </w:tr>
      <w:tr w:rsidR="005C4A0A" w:rsidRPr="00DE475B" w:rsidTr="00A2292F">
        <w:trPr>
          <w:trHeight w:val="301"/>
        </w:trPr>
        <w:tc>
          <w:tcPr>
            <w:tcW w:w="4041" w:type="dxa"/>
            <w:shd w:val="clear" w:color="auto" w:fill="auto"/>
            <w:vAlign w:val="center"/>
          </w:tcPr>
          <w:p w:rsidR="005C4A0A" w:rsidRPr="00DE475B" w:rsidRDefault="005C4A0A" w:rsidP="00A2292F">
            <w:pPr>
              <w:pStyle w:val="ARbodytext"/>
            </w:pPr>
            <w:r w:rsidRPr="00DE475B">
              <w:rPr>
                <w:b/>
                <w:bCs/>
              </w:rPr>
              <w:t>Carrying amount at  30 June 2016</w:t>
            </w:r>
          </w:p>
        </w:tc>
        <w:tc>
          <w:tcPr>
            <w:tcW w:w="1266" w:type="dxa"/>
            <w:tcBorders>
              <w:top w:val="single" w:sz="12" w:space="0" w:color="000000"/>
              <w:bottom w:val="single" w:sz="12" w:space="0" w:color="000000"/>
            </w:tcBorders>
            <w:shd w:val="clear" w:color="auto" w:fill="auto"/>
            <w:vAlign w:val="center"/>
          </w:tcPr>
          <w:p w:rsidR="005C4A0A" w:rsidRPr="00381AF3" w:rsidRDefault="00381AF3" w:rsidP="00A2292F">
            <w:pPr>
              <w:pStyle w:val="ARbodytext"/>
              <w:jc w:val="right"/>
              <w:rPr>
                <w:b/>
              </w:rPr>
            </w:pPr>
            <w:r w:rsidRPr="00381AF3">
              <w:rPr>
                <w:b/>
              </w:rPr>
              <w:t>79,390</w:t>
            </w:r>
          </w:p>
        </w:tc>
        <w:tc>
          <w:tcPr>
            <w:tcW w:w="1266" w:type="dxa"/>
            <w:tcBorders>
              <w:top w:val="single" w:sz="12" w:space="0" w:color="000000"/>
              <w:bottom w:val="single" w:sz="12" w:space="0" w:color="000000"/>
            </w:tcBorders>
            <w:shd w:val="clear" w:color="auto" w:fill="auto"/>
            <w:vAlign w:val="center"/>
          </w:tcPr>
          <w:p w:rsidR="005C4A0A" w:rsidRPr="00DE475B" w:rsidRDefault="005C4A0A" w:rsidP="00A2292F">
            <w:pPr>
              <w:pStyle w:val="ARbodytext"/>
              <w:jc w:val="right"/>
            </w:pPr>
            <w:r w:rsidRPr="00DE475B">
              <w:rPr>
                <w:b/>
                <w:bCs/>
              </w:rPr>
              <w:t>61,865</w:t>
            </w:r>
          </w:p>
        </w:tc>
        <w:tc>
          <w:tcPr>
            <w:tcW w:w="1267" w:type="dxa"/>
            <w:tcBorders>
              <w:top w:val="single" w:sz="12" w:space="0" w:color="000000"/>
              <w:bottom w:val="single" w:sz="12" w:space="0" w:color="000000"/>
            </w:tcBorders>
            <w:shd w:val="clear" w:color="auto" w:fill="auto"/>
            <w:vAlign w:val="center"/>
          </w:tcPr>
          <w:p w:rsidR="005C4A0A" w:rsidRPr="00DE475B" w:rsidRDefault="00381AF3" w:rsidP="00A2292F">
            <w:pPr>
              <w:pStyle w:val="ARbodytext"/>
              <w:jc w:val="right"/>
              <w:rPr>
                <w:b/>
                <w:bCs/>
              </w:rPr>
            </w:pPr>
            <w:r>
              <w:rPr>
                <w:b/>
                <w:bCs/>
              </w:rPr>
              <w:t>42,463</w:t>
            </w:r>
          </w:p>
        </w:tc>
        <w:tc>
          <w:tcPr>
            <w:tcW w:w="1267" w:type="dxa"/>
            <w:tcBorders>
              <w:top w:val="single" w:sz="12" w:space="0" w:color="000000"/>
              <w:bottom w:val="single" w:sz="12" w:space="0" w:color="000000"/>
            </w:tcBorders>
            <w:shd w:val="clear" w:color="auto" w:fill="auto"/>
            <w:vAlign w:val="center"/>
          </w:tcPr>
          <w:p w:rsidR="005C4A0A" w:rsidRPr="00DE475B" w:rsidRDefault="005C4A0A" w:rsidP="00A2292F">
            <w:pPr>
              <w:pStyle w:val="ARbodytext"/>
              <w:jc w:val="right"/>
              <w:rPr>
                <w:b/>
                <w:bCs/>
              </w:rPr>
            </w:pPr>
            <w:r w:rsidRPr="00DE475B">
              <w:rPr>
                <w:b/>
                <w:bCs/>
              </w:rPr>
              <w:t xml:space="preserve">42,553 </w:t>
            </w:r>
          </w:p>
        </w:tc>
        <w:tc>
          <w:tcPr>
            <w:tcW w:w="1267" w:type="dxa"/>
            <w:tcBorders>
              <w:top w:val="single" w:sz="12" w:space="0" w:color="000000"/>
              <w:bottom w:val="single" w:sz="12" w:space="0" w:color="000000"/>
            </w:tcBorders>
            <w:shd w:val="clear" w:color="auto" w:fill="auto"/>
            <w:vAlign w:val="center"/>
          </w:tcPr>
          <w:p w:rsidR="005C4A0A" w:rsidRPr="00DE475B" w:rsidRDefault="00381AF3" w:rsidP="00A2292F">
            <w:pPr>
              <w:pStyle w:val="ARbodytext"/>
              <w:jc w:val="right"/>
              <w:rPr>
                <w:b/>
                <w:bCs/>
              </w:rPr>
            </w:pPr>
            <w:r>
              <w:rPr>
                <w:b/>
                <w:bCs/>
              </w:rPr>
              <w:t>1,401</w:t>
            </w:r>
          </w:p>
        </w:tc>
        <w:tc>
          <w:tcPr>
            <w:tcW w:w="1267" w:type="dxa"/>
            <w:tcBorders>
              <w:top w:val="single" w:sz="12" w:space="0" w:color="000000"/>
              <w:bottom w:val="single" w:sz="12" w:space="0" w:color="000000"/>
            </w:tcBorders>
            <w:shd w:val="clear" w:color="auto" w:fill="auto"/>
            <w:vAlign w:val="center"/>
          </w:tcPr>
          <w:p w:rsidR="005C4A0A" w:rsidRPr="00DE475B" w:rsidRDefault="005C4A0A" w:rsidP="00A2292F">
            <w:pPr>
              <w:pStyle w:val="ARbodytext"/>
              <w:jc w:val="right"/>
              <w:rPr>
                <w:b/>
                <w:bCs/>
              </w:rPr>
            </w:pPr>
            <w:r w:rsidRPr="00DE475B">
              <w:rPr>
                <w:b/>
                <w:bCs/>
              </w:rPr>
              <w:t xml:space="preserve">1,758 </w:t>
            </w:r>
          </w:p>
        </w:tc>
        <w:tc>
          <w:tcPr>
            <w:tcW w:w="1267" w:type="dxa"/>
            <w:tcBorders>
              <w:top w:val="single" w:sz="12" w:space="0" w:color="000000"/>
              <w:bottom w:val="single" w:sz="12" w:space="0" w:color="000000"/>
            </w:tcBorders>
            <w:vAlign w:val="center"/>
          </w:tcPr>
          <w:p w:rsidR="005C4A0A" w:rsidRPr="00DE475B" w:rsidRDefault="004B768F" w:rsidP="00A2292F">
            <w:pPr>
              <w:pStyle w:val="ARbodytext"/>
              <w:jc w:val="right"/>
              <w:rPr>
                <w:b/>
                <w:bCs/>
              </w:rPr>
            </w:pPr>
            <w:r w:rsidRPr="00DE475B">
              <w:rPr>
                <w:noProof/>
                <w:lang w:eastAsia="en-AU"/>
              </w:rPr>
              <mc:AlternateContent>
                <mc:Choice Requires="wps">
                  <w:drawing>
                    <wp:anchor distT="0" distB="0" distL="114300" distR="114300" simplePos="0" relativeHeight="251734016" behindDoc="0" locked="0" layoutInCell="1" allowOverlap="1" wp14:anchorId="6C24821B" wp14:editId="4FA04077">
                      <wp:simplePos x="0" y="0"/>
                      <wp:positionH relativeFrom="margin">
                        <wp:posOffset>385445</wp:posOffset>
                      </wp:positionH>
                      <wp:positionV relativeFrom="page">
                        <wp:posOffset>200025</wp:posOffset>
                      </wp:positionV>
                      <wp:extent cx="2826385" cy="314960"/>
                      <wp:effectExtent l="0" t="1587"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26385" cy="314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51632B" w:rsidRDefault="0051632B" w:rsidP="005C4A0A">
                                  <w:pPr>
                                    <w:tabs>
                                      <w:tab w:val="center" w:pos="4320"/>
                                      <w:tab w:val="right" w:pos="8640"/>
                                    </w:tabs>
                                    <w:rPr>
                                      <w:rFonts w:ascii="Arial" w:hAnsi="Arial" w:cs="Arial"/>
                                      <w:sz w:val="18"/>
                                      <w:szCs w:val="18"/>
                                    </w:rPr>
                                  </w:pPr>
                                  <w:r>
                                    <w:rPr>
                                      <w:rFonts w:ascii="Arial" w:hAnsi="Arial" w:cs="Arial"/>
                                      <w:sz w:val="18"/>
                                      <w:szCs w:val="18"/>
                                    </w:rPr>
                                    <w:t>Library Board of Queensland Annual Report 2016–17</w:t>
                                  </w:r>
                                </w:p>
                                <w:p w:rsidR="0051632B" w:rsidRDefault="0051632B" w:rsidP="005C4A0A"/>
                              </w:txbxContent>
                            </wps:txbx>
                            <wps:bodyPr rot="0" vert="horz"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35pt;margin-top:15.75pt;width:222.55pt;height:24.8pt;rotation:90;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Ec8AIAAHoGAAAOAAAAZHJzL2Uyb0RvYy54bWysVdtu2zAMfR+wfxD07voS+Yo6Q+LEw4Du&#10;ArT7AMWWY2O25ElqnW7Yv4+S0zRt9zCs84MhiTR1Dg9JX747DD26Y1J1gufYv/AwYrwSdcf3Of56&#10;UzoJRkpTXtNecJbje6bwu+XbN5fTmLFAtKKvmUQQhKtsGnPcaj1mrquqlg1UXYiRcTA2Qg5Uw1bu&#10;3VrSCaIPvRt4XuROQtajFBVTCk43sxEvbfymYZX+3DSKadTnGLBp+5b2vTNvd3lJs72kY9tVRxj0&#10;H1AMtONw6SnUhmqKbmX3ItTQVVIo0eiLSgyuaJquYpYDsPG9Z2yuWzoyywWSo8ZTmtT/C1t9uvsi&#10;UVfnOEhjjDgdQKQbdtBoLQ7InEGGplFl4Hg9gqs+gAGUtmzVeCWqbwpxUbSU79lKSjG1jNaA0Ddf&#10;umefznGUCbKbPooaLqK3WthAh0YOSAqQJySeeewppAfBXaDb/UkrA62CwyAJokUSYlSBbeGTNLJi&#10;ujQzsYwUo1T6PRMDMoscS6gFG5XeXSltsD26GHcuyq7vbT30/MkBOM4nzBbU/DXNAAksjafBZMX+&#10;mXrpNtkmxCFBtHWIt9k4q7IgTlT6cbhZbIpi4/8yKHyStV1dM24ufSg8n/ydsMcWmEvmVHpK9F1t&#10;whlISu53RS/RHYXCL+1j9QDLo5v7FIZNCXB5RskPiLcOUqeMktghJQmdNPYSx/PTNSSdpGRTPqV0&#10;1XH2ekpoynEaBqHV7Az0M24LEoWr8iU3mklxy2urp6nI7XGtadfP6zP2BvGf2a/K0IvJInHiOFw4&#10;ZLH1nHVSFs6q8KMo3q6L9faZoFtbJOr1CbAynFXcGd7jHY+QoUQfytG2nOmyud/0YXew/R0+dPJO&#10;1PfQg7bboLVgeEN3tEL+wGiCQZhj9f2WSoZR/4FDH5MwDszktJvUJwQ28tyyO7dQXkGoHGuM5mWh&#10;7bQ1ZLhYQb83nW0+MxhmJMDCbGDAWT7HYWwm6Pneej3+Mpa/AQAA//8DAFBLAwQUAAYACAAAACEA&#10;IU2lEuIAAAAMAQAADwAAAGRycy9kb3ducmV2LnhtbEyPQU7DMBBF90jcwRokdq2TlgYrxKkAiUVo&#10;JdSWA9ixm0SNx1HstuntGVawHP2n/98U68n17GLH0HmUkM4TYBZrbzpsJHwfPmYCWIgKjeo9Wgk3&#10;G2Bd3t8VKjf+ijt72ceGUQmGXEloYxxyzkPdWqfC3A8WKTv60alI59hwM6orlbueL5Ik4051SAut&#10;Gux7a+vT/uwkHN+qnd7enqpNo+NJf03V4XMzSPn4ML2+AIt2in8w/OqTOpTkpP0ZTWC9hMVKrAiV&#10;MEuzbAmMkGUiUmCasmchgJcF//9E+QMAAP//AwBQSwECLQAUAAYACAAAACEAtoM4kv4AAADhAQAA&#10;EwAAAAAAAAAAAAAAAAAAAAAAW0NvbnRlbnRfVHlwZXNdLnhtbFBLAQItABQABgAIAAAAIQA4/SH/&#10;1gAAAJQBAAALAAAAAAAAAAAAAAAAAC8BAABfcmVscy8ucmVsc1BLAQItABQABgAIAAAAIQAN3MEc&#10;8AIAAHoGAAAOAAAAAAAAAAAAAAAAAC4CAABkcnMvZTJvRG9jLnhtbFBLAQItABQABgAIAAAAIQAh&#10;TaUS4gAAAAwBAAAPAAAAAAAAAAAAAAAAAEoFAABkcnMvZG93bnJldi54bWxQSwUGAAAAAAQABADz&#10;AAAAWQYAAAAA&#10;" filled="f" stroked="f" strokecolor="#3465af">
                      <v:stroke joinstyle="round"/>
                      <v:textbox inset="3.6pt,7.2pt,3.6pt,7.2pt">
                        <w:txbxContent>
                          <w:p w:rsidR="0051632B" w:rsidRDefault="0051632B" w:rsidP="005C4A0A">
                            <w:pPr>
                              <w:tabs>
                                <w:tab w:val="center" w:pos="4320"/>
                                <w:tab w:val="right" w:pos="8640"/>
                              </w:tabs>
                              <w:rPr>
                                <w:rFonts w:ascii="Arial" w:hAnsi="Arial" w:cs="Arial"/>
                                <w:sz w:val="18"/>
                                <w:szCs w:val="18"/>
                              </w:rPr>
                            </w:pPr>
                            <w:r>
                              <w:rPr>
                                <w:rFonts w:ascii="Arial" w:hAnsi="Arial" w:cs="Arial"/>
                                <w:sz w:val="18"/>
                                <w:szCs w:val="18"/>
                              </w:rPr>
                              <w:t>Library Board of Queensland Annual Report 2016–17</w:t>
                            </w:r>
                          </w:p>
                          <w:p w:rsidR="0051632B" w:rsidRDefault="0051632B" w:rsidP="005C4A0A"/>
                        </w:txbxContent>
                      </v:textbox>
                      <w10:wrap anchorx="margin" anchory="page"/>
                    </v:shape>
                  </w:pict>
                </mc:Fallback>
              </mc:AlternateContent>
            </w:r>
            <w:r w:rsidR="00381AF3">
              <w:rPr>
                <w:b/>
                <w:bCs/>
              </w:rPr>
              <w:t>123,254</w:t>
            </w:r>
          </w:p>
        </w:tc>
        <w:tc>
          <w:tcPr>
            <w:tcW w:w="1267" w:type="dxa"/>
            <w:tcBorders>
              <w:top w:val="single" w:sz="12" w:space="0" w:color="000000"/>
              <w:bottom w:val="single" w:sz="12" w:space="0" w:color="000000"/>
            </w:tcBorders>
            <w:vAlign w:val="center"/>
          </w:tcPr>
          <w:p w:rsidR="005C4A0A" w:rsidRPr="00DE475B" w:rsidRDefault="005C4A0A" w:rsidP="00A2292F">
            <w:pPr>
              <w:pStyle w:val="ARbodytext"/>
              <w:jc w:val="right"/>
              <w:rPr>
                <w:b/>
                <w:bCs/>
              </w:rPr>
            </w:pPr>
            <w:r w:rsidRPr="00DE475B">
              <w:rPr>
                <w:b/>
                <w:bCs/>
              </w:rPr>
              <w:t xml:space="preserve">106,176 </w:t>
            </w:r>
          </w:p>
        </w:tc>
      </w:tr>
    </w:tbl>
    <w:p w:rsidR="005C4A0A" w:rsidRPr="00DE475B" w:rsidRDefault="005C4A0A" w:rsidP="005C4A0A">
      <w:pPr>
        <w:pStyle w:val="ARbodytext"/>
      </w:pPr>
      <w:r w:rsidRPr="00DE475B">
        <w:rPr>
          <w:noProof/>
          <w:lang w:eastAsia="en-AU"/>
        </w:rPr>
        <mc:AlternateContent>
          <mc:Choice Requires="wps">
            <w:drawing>
              <wp:anchor distT="0" distB="0" distL="114300" distR="114300" simplePos="0" relativeHeight="251735040" behindDoc="0" locked="0" layoutInCell="1" allowOverlap="1" wp14:anchorId="51D5FC68" wp14:editId="19410032">
                <wp:simplePos x="0" y="0"/>
                <wp:positionH relativeFrom="column">
                  <wp:posOffset>-523928</wp:posOffset>
                </wp:positionH>
                <wp:positionV relativeFrom="paragraph">
                  <wp:posOffset>1145857</wp:posOffset>
                </wp:positionV>
                <wp:extent cx="303530" cy="340995"/>
                <wp:effectExtent l="0" t="0" r="0" b="1587"/>
                <wp:wrapNone/>
                <wp:docPr id="294"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03530" cy="340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51632B" w:rsidRDefault="0051632B" w:rsidP="005C4A0A">
                            <w:pPr>
                              <w:rPr>
                                <w:rFonts w:ascii="Arial" w:hAnsi="Arial" w:cs="Arial"/>
                                <w:sz w:val="20"/>
                                <w:szCs w:val="20"/>
                              </w:rPr>
                            </w:pPr>
                            <w:r>
                              <w:rPr>
                                <w:rFonts w:ascii="Arial" w:hAnsi="Arial" w:cs="Arial"/>
                                <w:sz w:val="20"/>
                                <w:szCs w:val="20"/>
                              </w:rPr>
                              <w:t>63</w:t>
                            </w:r>
                          </w:p>
                        </w:txbxContent>
                      </wps:txbx>
                      <wps:bodyPr rot="0" vert="horz"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1.25pt;margin-top:90.2pt;width:23.9pt;height:26.8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CI7gIAAHkGAAAOAAAAZHJzL2Uyb0RvYy54bWysVdtunDAQfa/Uf7D8TrgZFlDYapddqkrp&#10;RUr6AV4wCyrY1HbCplX/vWPvJkuSPlRNeUC2ZxifMzNnuHx3GHp0x6TqBM+xf+FhxHgl6o7vc/z1&#10;pnQSjJSmvKa94CzH90zhd8u3by6nMWOBaEVfM4kgCFfZNOa41XrMXFdVLRuouhAj42BshByohq3c&#10;u7WkE0QfejfwvNidhKxHKSqmFJxujka8tPGbhlX6c9MoplGfY8Cm7Vva98683eUlzfaSjm1XnWDQ&#10;f0Ax0I7DpY+hNlRTdCu7F6GGrpJCiUZfVGJwRdN0FbMcgI3vPWNz3dKRWS6QHDU+pkn9v7DVp7sv&#10;EnV1joOUYMTpAEW6YQeN1uKAgjQxGZpGlYHj9Qiu+gAGqLRlq8YrUX1TiIuipXzPVlKKqWW0BoS+&#10;+dKdfXqMo0yQ3fRR1HARvdXCBjo0ckBSQHki4pnHnkJ6ENwFdbt/rJWBVsFh6IVRCJYKTCHx0jSy&#10;99HMhDKVGKXS75kYkFnkWEIr2KD07kppA+3sYty5KLu+t+3Q8ycH4Hg8Ybafjl/TDIDA0ngaSLbW&#10;P1Mv3SbbhDgkiLcO8TYbZ1UWxIlLfxFtwk1RbPxfBoVPsrara8bNpQ9955O/q+tJAceOeew8Jfqu&#10;NuEMJCX3u6KX6I5C35f2OaVn5uY+hWFTAlyeUfID4q2D1CnjZOGQkkROuvASx/PTdRp7JCWb8iml&#10;q46z11NCU47TKIhszWagn3ELSRytypfcaCbFLa9tPU1Dbk9rTbv+uJ6xN4j/zH5VRt6ChImzWESh&#10;Q8Kt56yTsnBWhR/Hi+26WG+fFXRrm0S9PgG2DLOOm+E93XGGDC360I5WcUZkR7npw+5g5R2bHBk1&#10;7kR9DxK0YgP9wOwGdbRC/sBogjmYY/X9lkqGUf+Bg4xJtAjM4LSb1CcENnJu2c0tlFcQKscao+Oy&#10;0HbYGjJcrEDuTWfFd0YCLMwG5pvlc5rFZoDO99br/MdY/gYAAP//AwBQSwMEFAAGAAgAAAAhACM1&#10;T4DhAAAACwEAAA8AAABkcnMvZG93bnJldi54bWxMj8tqwzAQRfeF/oOYQHeO/EiKcSyHttCFm0JJ&#10;0g+QLMU2sUbGUhLn7ztdtcvhHu6cW25nO7CrmXzvUECyjIEZbJzusRXwfXyPcmA+SNRycGgE3I2H&#10;bfX4UMpCuxvuzfUQWkYl6AspoAthLDj3TWes9Es3GqTs5CYrA51Ty/Ukb1RuB57G8TO3skf60MnR&#10;vHWmOR8uVsDptd6rz/uq3rUqnNXXXB8/dqMQT4v5ZQMsmDn8wfCrT+pQkZNyF9SeDQKifL0mlII8&#10;WwEjIsoSGqMEpFmSAq9K/n9D9QMAAP//AwBQSwECLQAUAAYACAAAACEAtoM4kv4AAADhAQAAEwAA&#10;AAAAAAAAAAAAAAAAAAAAW0NvbnRlbnRfVHlwZXNdLnhtbFBLAQItABQABgAIAAAAIQA4/SH/1gAA&#10;AJQBAAALAAAAAAAAAAAAAAAAAC8BAABfcmVscy8ucmVsc1BLAQItABQABgAIAAAAIQBU9LCI7gIA&#10;AHkGAAAOAAAAAAAAAAAAAAAAAC4CAABkcnMvZTJvRG9jLnhtbFBLAQItABQABgAIAAAAIQAjNU+A&#10;4QAAAAsBAAAPAAAAAAAAAAAAAAAAAEgFAABkcnMvZG93bnJldi54bWxQSwUGAAAAAAQABADzAAAA&#10;VgYAAAAA&#10;" filled="f" stroked="f" strokecolor="#3465af">
                <v:stroke joinstyle="round"/>
                <v:textbox inset="3.6pt,7.2pt,3.6pt,7.2pt">
                  <w:txbxContent>
                    <w:p w:rsidR="0051632B" w:rsidRDefault="0051632B" w:rsidP="005C4A0A">
                      <w:pPr>
                        <w:rPr>
                          <w:rFonts w:ascii="Arial" w:hAnsi="Arial" w:cs="Arial"/>
                          <w:sz w:val="20"/>
                          <w:szCs w:val="20"/>
                        </w:rPr>
                      </w:pPr>
                      <w:r>
                        <w:rPr>
                          <w:rFonts w:ascii="Arial" w:hAnsi="Arial" w:cs="Arial"/>
                          <w:sz w:val="20"/>
                          <w:szCs w:val="20"/>
                        </w:rPr>
                        <w:t>63</w:t>
                      </w:r>
                    </w:p>
                  </w:txbxContent>
                </v:textbox>
              </v:shape>
            </w:pict>
          </mc:Fallback>
        </mc:AlternateContent>
      </w:r>
    </w:p>
    <w:p w:rsidR="005C4A0A" w:rsidRPr="00DE475B" w:rsidRDefault="005C4A0A" w:rsidP="0012795B">
      <w:pPr>
        <w:pStyle w:val="ARbodytext"/>
        <w:sectPr w:rsidR="005C4A0A" w:rsidRPr="00DE475B" w:rsidSect="00B53922">
          <w:headerReference w:type="even" r:id="rId57"/>
          <w:headerReference w:type="default" r:id="rId58"/>
          <w:footerReference w:type="even" r:id="rId59"/>
          <w:footerReference w:type="default" r:id="rId60"/>
          <w:headerReference w:type="first" r:id="rId61"/>
          <w:footerReference w:type="first" r:id="rId62"/>
          <w:pgSz w:w="16838" w:h="11906" w:orient="landscape"/>
          <w:pgMar w:top="1701" w:right="1440" w:bottom="1701" w:left="1440" w:header="680" w:footer="680" w:gutter="0"/>
          <w:cols w:space="720"/>
          <w:docGrid w:linePitch="360"/>
        </w:sectPr>
      </w:pPr>
    </w:p>
    <w:p w:rsidR="0012795B" w:rsidRPr="00DE475B" w:rsidRDefault="0012795B" w:rsidP="0012795B">
      <w:pPr>
        <w:pStyle w:val="ARbodytext"/>
        <w:rPr>
          <w:b/>
          <w:bCs/>
        </w:rPr>
      </w:pPr>
      <w:r w:rsidRPr="00DE475B">
        <w:rPr>
          <w:b/>
          <w:bCs/>
          <w:i/>
          <w:iCs/>
        </w:rPr>
        <w:lastRenderedPageBreak/>
        <w:t>Library Board of Queensland and controlled entities</w:t>
      </w:r>
    </w:p>
    <w:p w:rsidR="0012795B" w:rsidRPr="00DE475B" w:rsidRDefault="00373FFE" w:rsidP="0012795B">
      <w:pPr>
        <w:rPr>
          <w:rFonts w:ascii="Arial" w:hAnsi="Arial" w:cs="Arial"/>
          <w:b/>
          <w:bCs/>
          <w:sz w:val="20"/>
          <w:szCs w:val="20"/>
        </w:rPr>
      </w:pPr>
      <w:r w:rsidRPr="00DE475B">
        <w:rPr>
          <w:noProof/>
          <w:lang w:eastAsia="en-AU"/>
        </w:rPr>
        <mc:AlternateContent>
          <mc:Choice Requires="wps">
            <w:drawing>
              <wp:anchor distT="0" distB="0" distL="114300" distR="114300" simplePos="0" relativeHeight="251660288" behindDoc="0" locked="0" layoutInCell="1" allowOverlap="1" wp14:anchorId="442CA797" wp14:editId="00262746">
                <wp:simplePos x="0" y="0"/>
                <wp:positionH relativeFrom="column">
                  <wp:posOffset>-66040</wp:posOffset>
                </wp:positionH>
                <wp:positionV relativeFrom="paragraph">
                  <wp:posOffset>-222250</wp:posOffset>
                </wp:positionV>
                <wp:extent cx="5573395" cy="0"/>
                <wp:effectExtent l="13970" t="9525" r="13335" b="9525"/>
                <wp:wrapNone/>
                <wp:docPr id="40"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0HwmwIAAHoFAAAOAAAAZHJzL2Uyb0RvYy54bWysVN9v2yAQfp+0/wHx7tqOnV9Wnal1nL10&#10;W6V22jMBHKNh8IDGqab97ztI4jXdyzQ1kSwO7o7v7vuO6w+HTqI9N1ZoVeL0KsGIK6qZULsSf33c&#10;RAuMrCOKEakVL/Ezt/jD6v2766Ev+ES3WjJuECRRthj6ErfO9UUcW9ryjtgr3XMFh402HXFgml3M&#10;DBkgeyfjSZLM4kEb1htNubWwuz4e4lXI3zScui9NY7lDssSAzYWvCd+t/8ara1LsDOlbQU8wyH+g&#10;6IhQcOmYak0cQU9G/JWqE9Roqxt3RXUX66YRlIcaoJo0eVXNQ0t6HmqB5th+bJN9u7T08/7eIMFK&#10;nEN7FOmAozuhOJrkmW/O0NsCfCp1b3x59KAe+jtNv1ukdNUSteMB5ONzD4Gpj4gvQrxhe7hiO3zS&#10;DHzIk9OhU4fGdD4l9AAdAiHPIyH84BCFzel0nmXLKUb0fBaT4hzYG+s+ct0hvyixBNQhMdnfWeeB&#10;kOLs4u9ReiOkDHxLhYYSL7MZlEwJqM7+CJFWS8G8l/e3ZretpEF74qUTfqE8OHnp1gkHApaiK/Fi&#10;dCJFywmrFQvXOSLkcQ2QpPLJeZDmESdYBwfLsA+FB9n8XCbLelEv8iifzOooT9br6GZT5dFsk86n&#10;62xdVev0l0ed5kUrGOPKAz9LOM3/TSKnYTqKbxTx2Kr4MnvoKYC9RHqzmSbzPFtE8/k0i/KsTqLb&#10;xaaKbqp0NpvXt9Vt/QppHaq3bwN2bKVHpZ+AjYeWDYgJL4psupykGAwY+cn8yA8icgdvFXUGI6Pd&#10;N+HaoGGvPp/jgvhF4v8n4sfsx0acOfTWyMKptj+tAs7P/IbR8NNwnKutZs/35jwyMOAh6PQY+Rfk&#10;pQ3rl0/m6jcAAAD//wMAUEsDBBQABgAIAAAAIQDe2Ktn4AAAAAsBAAAPAAAAZHJzL2Rvd25yZXYu&#10;eG1sTI9BS8NAEIXvgv9hGcGLtJuaWEvMpoggHgRpqyjettkxG8zOht1tE/+9Iwh6m5n3ePO9aj25&#10;XhwxxM6TgsU8A4HUeNNRq+Dl+X62AhGTJqN7T6jgCyOs69OTSpfGj7TF4y61gkMollqBTWkopYyN&#10;Rafj3A9IrH344HTiNbTSBD1yuOvlZZYtpdMd8QerB7yz2HzuDk7BUxi7mPKi2GB6f314fLObC7dV&#10;6vxsur0BkXBKf2b4wWd0qJlp7w9kougVzBZZwVYe8isuxY7V8joHsf+9yLqS/zvU3wAAAP//AwBQ&#10;SwECLQAUAAYACAAAACEAtoM4kv4AAADhAQAAEwAAAAAAAAAAAAAAAAAAAAAAW0NvbnRlbnRfVHlw&#10;ZXNdLnhtbFBLAQItABQABgAIAAAAIQA4/SH/1gAAAJQBAAALAAAAAAAAAAAAAAAAAC8BAABfcmVs&#10;cy8ucmVsc1BLAQItABQABgAIAAAAIQAS60HwmwIAAHoFAAAOAAAAAAAAAAAAAAAAAC4CAABkcnMv&#10;ZTJvRG9jLnhtbFBLAQItABQABgAIAAAAIQDe2Ktn4AAAAAsBAAAPAAAAAAAAAAAAAAAAAPUEAABk&#10;cnMvZG93bnJldi54bWxQSwUGAAAAAAQABADzAAAAAgYAAAAA&#10;" strokeweight=".26mm">
                <v:stroke joinstyle="miter" endcap="square"/>
              </v:line>
            </w:pict>
          </mc:Fallback>
        </mc:AlternateContent>
      </w:r>
      <w:r w:rsidR="0012795B" w:rsidRPr="00DE475B">
        <w:rPr>
          <w:rFonts w:ascii="Arial" w:hAnsi="Arial" w:cs="Arial"/>
          <w:b/>
          <w:bCs/>
          <w:sz w:val="20"/>
          <w:szCs w:val="20"/>
        </w:rPr>
        <w:t>NOTES TO THE FINANCIAL STATEMENTS</w:t>
      </w:r>
    </w:p>
    <w:p w:rsidR="0012795B" w:rsidRPr="00DE475B" w:rsidRDefault="00887874" w:rsidP="0012795B">
      <w:r>
        <w:rPr>
          <w:rFonts w:ascii="Arial" w:hAnsi="Arial" w:cs="Arial"/>
          <w:b/>
          <w:bCs/>
          <w:sz w:val="20"/>
          <w:szCs w:val="20"/>
        </w:rPr>
        <w:t>For the year ended 30 June 2017</w:t>
      </w:r>
    </w:p>
    <w:p w:rsidR="0012795B" w:rsidRPr="00DE475B" w:rsidRDefault="00373FFE" w:rsidP="00ED705F">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659264" behindDoc="0" locked="0" layoutInCell="1" allowOverlap="1" wp14:anchorId="52BD4C9F" wp14:editId="43313F56">
                <wp:simplePos x="0" y="0"/>
                <wp:positionH relativeFrom="column">
                  <wp:posOffset>-66040</wp:posOffset>
                </wp:positionH>
                <wp:positionV relativeFrom="paragraph">
                  <wp:posOffset>70485</wp:posOffset>
                </wp:positionV>
                <wp:extent cx="5573395" cy="0"/>
                <wp:effectExtent l="13970" t="13335" r="13335" b="5715"/>
                <wp:wrapNone/>
                <wp:docPr id="3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3GmwIAAHoFAAAOAAAAZHJzL2Uyb0RvYy54bWysVN9v2yAQfp+0/wHx7tqOnV9Wnal1nL10&#10;W6V22jMBHKNh8IDGqab97ztI4jXdyzQ1kSwO7o7v7vuO6w+HTqI9N1ZoVeL0KsGIK6qZULsSf33c&#10;RAuMrCOKEakVL/Ezt/jD6v2766Ev+ES3WjJuECRRthj6ErfO9UUcW9ryjtgr3XMFh402HXFgml3M&#10;DBkgeyfjSZLM4kEb1htNubWwuz4e4lXI3zScui9NY7lDssSAzYWvCd+t/8ara1LsDOlbQU8wyH+g&#10;6IhQcOmYak0cQU9G/JWqE9Roqxt3RXUX66YRlIcaoJo0eVXNQ0t6HmqB5th+bJN9u7T08/7eIMFK&#10;nC0xUqQDju6E4miST3xzht4W4FOpe+PLowf10N9p+t0ipauWqB0PIB+fewhMfUR8EeIN28MV2+GT&#10;ZuBDnpwOnTo0pvMpoQfoEAh5HgnhB4cobE6n8yxbTjGi57OYFOfA3lj3kesO+UWJJaAOicn+zjoP&#10;hBRnF3+P0hshZeBbKjSUeJnNQBGUgOrsjxBptRTMe3l/a3bbShq0J1464RfKg5OXbp1wIGApuhIv&#10;RidStJywWrFwnSNCHtcASSqfnAdpHnGCdXCwDPtQeJDNz2WyrBf1Io/yyayO8mS9jm42VR7NNul8&#10;us7WVbVOf3nUaV60gjGuPPCzhNP83yRyGqaj+EYRj62KL7OHngLYS6Q3m2kyz7NFNJ9PsyjP6iS6&#10;XWyq6KZKZ7N5fVvd1q+Q1qF6+zZgx1Z6VPoJ2Hho2YCY8KLIpstJisGAkZ/Mj/wgInfwVlFnMDLa&#10;fROuDRr26vM5LohfJP5/In7MfmzEmUNvjSycavvTKuD8zG8YDT8Nx7naavZ8b84jAwMegk6PkX9B&#10;Xtqwfvlkrn4DAAD//wMAUEsDBBQABgAIAAAAIQDwQGlx3gAAAAkBAAAPAAAAZHJzL2Rvd25yZXYu&#10;eG1sTI/BSsNAEIbvgu+wjOBF2k1sqCVmU0QQD4K0VRRv2+yYDWZnw+62iW/vSA96nPk//vmmWk+u&#10;F0cMsfOkIJ9nIJAabzpqFby+PMxWIGLSZHTvCRV8Y4R1fX5W6dL4kbZ43KVWcAnFUiuwKQ2llLGx&#10;6HSc+wGJs08fnE48hlaaoEcud728zrKldLojvmD1gPcWm6/dwSl4DmMX06IoNpg+3h6f3u3mym2V&#10;uryY7m5BJJzSHwy/+qwONTvt/YFMFL2CWZ4VjHKQ5yAYWC1vFiD2p4WsK/n/g/oHAAD//wMAUEsB&#10;Ai0AFAAGAAgAAAAhALaDOJL+AAAA4QEAABMAAAAAAAAAAAAAAAAAAAAAAFtDb250ZW50X1R5cGVz&#10;XS54bWxQSwECLQAUAAYACAAAACEAOP0h/9YAAACUAQAACwAAAAAAAAAAAAAAAAAvAQAAX3JlbHMv&#10;LnJlbHNQSwECLQAUAAYACAAAACEAYIXNxpsCAAB6BQAADgAAAAAAAAAAAAAAAAAuAgAAZHJzL2Uy&#10;b0RvYy54bWxQSwECLQAUAAYACAAAACEA8EBpcd4AAAAJAQAADwAAAAAAAAAAAAAAAAD1BAAAZHJz&#10;L2Rvd25yZXYueG1sUEsFBgAAAAAEAAQA8wAAAAAGAAAAAA==&#10;" strokeweight=".26mm">
                <v:stroke joinstyle="miter" endcap="square"/>
              </v:line>
            </w:pict>
          </mc:Fallback>
        </mc:AlternateContent>
      </w:r>
    </w:p>
    <w:p w:rsidR="00DE3BC2" w:rsidRPr="00A56DC8" w:rsidRDefault="00A87A2E" w:rsidP="00503C8D">
      <w:pPr>
        <w:pStyle w:val="ARheading3"/>
        <w:tabs>
          <w:tab w:val="left" w:pos="851"/>
        </w:tabs>
        <w:spacing w:before="40"/>
        <w:rPr>
          <w:color w:val="808080"/>
        </w:rPr>
      </w:pPr>
      <w:r w:rsidRPr="00DE475B">
        <w:rPr>
          <w:color w:val="808080"/>
        </w:rPr>
        <w:t>C</w:t>
      </w:r>
      <w:r w:rsidR="0047637A" w:rsidRPr="00DE475B">
        <w:rPr>
          <w:color w:val="808080"/>
        </w:rPr>
        <w:t>5 Payables</w:t>
      </w:r>
    </w:p>
    <w:tbl>
      <w:tblPr>
        <w:tblpPr w:leftFromText="180" w:rightFromText="180" w:vertAnchor="text" w:horzAnchor="margin" w:tblpX="108" w:tblpY="113"/>
        <w:tblW w:w="0" w:type="auto"/>
        <w:tblLayout w:type="fixed"/>
        <w:tblLook w:val="0000" w:firstRow="0" w:lastRow="0" w:firstColumn="0" w:lastColumn="0" w:noHBand="0" w:noVBand="0"/>
      </w:tblPr>
      <w:tblGrid>
        <w:gridCol w:w="416"/>
        <w:gridCol w:w="296"/>
        <w:gridCol w:w="1136"/>
        <w:gridCol w:w="330"/>
        <w:gridCol w:w="283"/>
        <w:gridCol w:w="2467"/>
        <w:gridCol w:w="907"/>
        <w:gridCol w:w="907"/>
        <w:gridCol w:w="907"/>
        <w:gridCol w:w="907"/>
      </w:tblGrid>
      <w:tr w:rsidR="00DE3BC2" w:rsidRPr="00DE475B" w:rsidTr="00A56DC8">
        <w:trPr>
          <w:trHeight w:val="255"/>
        </w:trPr>
        <w:tc>
          <w:tcPr>
            <w:tcW w:w="416" w:type="dxa"/>
            <w:shd w:val="clear" w:color="auto" w:fill="auto"/>
            <w:vAlign w:val="bottom"/>
          </w:tcPr>
          <w:p w:rsidR="00DE3BC2" w:rsidRPr="00DE475B" w:rsidRDefault="00DE3BC2" w:rsidP="00D25526">
            <w:pPr>
              <w:snapToGrid w:val="0"/>
              <w:rPr>
                <w:rFonts w:ascii="Arial" w:hAnsi="Arial" w:cs="Arial"/>
                <w:b/>
                <w:bCs/>
                <w:sz w:val="20"/>
                <w:szCs w:val="20"/>
              </w:rPr>
            </w:pPr>
          </w:p>
        </w:tc>
        <w:tc>
          <w:tcPr>
            <w:tcW w:w="296" w:type="dxa"/>
            <w:shd w:val="clear" w:color="auto" w:fill="auto"/>
            <w:vAlign w:val="bottom"/>
          </w:tcPr>
          <w:p w:rsidR="00DE3BC2" w:rsidRPr="00DE475B" w:rsidRDefault="00DE3BC2" w:rsidP="00D25526">
            <w:pPr>
              <w:snapToGrid w:val="0"/>
              <w:rPr>
                <w:rFonts w:ascii="Arial" w:hAnsi="Arial" w:cs="Arial"/>
                <w:b/>
                <w:bCs/>
                <w:sz w:val="20"/>
                <w:szCs w:val="20"/>
              </w:rPr>
            </w:pPr>
          </w:p>
        </w:tc>
        <w:tc>
          <w:tcPr>
            <w:tcW w:w="1136" w:type="dxa"/>
            <w:shd w:val="clear" w:color="auto" w:fill="auto"/>
            <w:vAlign w:val="bottom"/>
          </w:tcPr>
          <w:p w:rsidR="00DE3BC2" w:rsidRPr="00DE475B" w:rsidRDefault="00DE3BC2" w:rsidP="00D25526">
            <w:pPr>
              <w:snapToGrid w:val="0"/>
              <w:rPr>
                <w:rFonts w:ascii="Arial" w:hAnsi="Arial" w:cs="Arial"/>
                <w:b/>
                <w:bCs/>
                <w:sz w:val="20"/>
                <w:szCs w:val="20"/>
              </w:rPr>
            </w:pPr>
          </w:p>
        </w:tc>
        <w:tc>
          <w:tcPr>
            <w:tcW w:w="330" w:type="dxa"/>
            <w:shd w:val="clear" w:color="auto" w:fill="auto"/>
            <w:vAlign w:val="bottom"/>
          </w:tcPr>
          <w:p w:rsidR="00DE3BC2" w:rsidRPr="00DE475B" w:rsidRDefault="00DE3BC2" w:rsidP="00D25526">
            <w:pPr>
              <w:snapToGrid w:val="0"/>
              <w:rPr>
                <w:rFonts w:ascii="Arial" w:hAnsi="Arial" w:cs="Arial"/>
                <w:b/>
                <w:bCs/>
                <w:sz w:val="20"/>
                <w:szCs w:val="20"/>
              </w:rPr>
            </w:pPr>
          </w:p>
        </w:tc>
        <w:tc>
          <w:tcPr>
            <w:tcW w:w="283" w:type="dxa"/>
            <w:shd w:val="clear" w:color="auto" w:fill="auto"/>
            <w:vAlign w:val="bottom"/>
          </w:tcPr>
          <w:p w:rsidR="00DE3BC2" w:rsidRPr="00DE475B" w:rsidRDefault="00DE3BC2" w:rsidP="00D25526">
            <w:pPr>
              <w:snapToGrid w:val="0"/>
              <w:rPr>
                <w:rFonts w:ascii="Arial" w:hAnsi="Arial" w:cs="Arial"/>
                <w:b/>
                <w:bCs/>
                <w:sz w:val="20"/>
                <w:szCs w:val="20"/>
              </w:rPr>
            </w:pPr>
          </w:p>
        </w:tc>
        <w:tc>
          <w:tcPr>
            <w:tcW w:w="2467" w:type="dxa"/>
            <w:shd w:val="clear" w:color="auto" w:fill="auto"/>
            <w:vAlign w:val="bottom"/>
          </w:tcPr>
          <w:p w:rsidR="00DE3BC2" w:rsidRPr="00DE475B" w:rsidRDefault="00DE3BC2" w:rsidP="00D25526">
            <w:pPr>
              <w:snapToGrid w:val="0"/>
              <w:jc w:val="center"/>
              <w:rPr>
                <w:rFonts w:ascii="Arial" w:hAnsi="Arial" w:cs="Arial"/>
                <w:b/>
                <w:bCs/>
                <w:sz w:val="20"/>
                <w:szCs w:val="20"/>
              </w:rPr>
            </w:pPr>
          </w:p>
        </w:tc>
        <w:tc>
          <w:tcPr>
            <w:tcW w:w="1814" w:type="dxa"/>
            <w:gridSpan w:val="2"/>
            <w:shd w:val="clear" w:color="auto" w:fill="auto"/>
            <w:vAlign w:val="bottom"/>
          </w:tcPr>
          <w:p w:rsidR="00DE3BC2" w:rsidRPr="00DE475B" w:rsidRDefault="00DE3BC2" w:rsidP="00D25526">
            <w:pPr>
              <w:jc w:val="right"/>
              <w:rPr>
                <w:rFonts w:ascii="Arial" w:hAnsi="Arial" w:cs="Arial"/>
                <w:b/>
                <w:bCs/>
                <w:sz w:val="20"/>
                <w:szCs w:val="20"/>
              </w:rPr>
            </w:pPr>
            <w:r w:rsidRPr="00DE475B">
              <w:rPr>
                <w:rFonts w:ascii="Arial" w:hAnsi="Arial" w:cs="Arial"/>
                <w:b/>
                <w:bCs/>
                <w:sz w:val="20"/>
                <w:szCs w:val="20"/>
              </w:rPr>
              <w:t>Economic Entity</w:t>
            </w:r>
          </w:p>
        </w:tc>
        <w:tc>
          <w:tcPr>
            <w:tcW w:w="1814" w:type="dxa"/>
            <w:gridSpan w:val="2"/>
            <w:shd w:val="clear" w:color="auto" w:fill="auto"/>
            <w:vAlign w:val="bottom"/>
          </w:tcPr>
          <w:p w:rsidR="00DE3BC2" w:rsidRPr="00DE475B" w:rsidRDefault="00DE3BC2" w:rsidP="00D25526">
            <w:pPr>
              <w:jc w:val="right"/>
              <w:rPr>
                <w:rFonts w:ascii="Arial" w:hAnsi="Arial" w:cs="Arial"/>
                <w:b/>
                <w:bCs/>
                <w:sz w:val="20"/>
                <w:szCs w:val="20"/>
              </w:rPr>
            </w:pPr>
            <w:r w:rsidRPr="00DE475B">
              <w:rPr>
                <w:rFonts w:ascii="Arial" w:hAnsi="Arial" w:cs="Arial"/>
                <w:b/>
                <w:bCs/>
                <w:sz w:val="20"/>
                <w:szCs w:val="20"/>
              </w:rPr>
              <w:t>Parent Entity</w:t>
            </w:r>
          </w:p>
        </w:tc>
      </w:tr>
      <w:tr w:rsidR="00DE3BC2" w:rsidRPr="00DE475B" w:rsidTr="00053A2E">
        <w:trPr>
          <w:trHeight w:val="255"/>
        </w:trPr>
        <w:tc>
          <w:tcPr>
            <w:tcW w:w="416" w:type="dxa"/>
            <w:shd w:val="clear" w:color="auto" w:fill="auto"/>
            <w:vAlign w:val="bottom"/>
          </w:tcPr>
          <w:p w:rsidR="00DE3BC2" w:rsidRPr="00DE475B" w:rsidRDefault="00DE3BC2" w:rsidP="00D25526">
            <w:pPr>
              <w:snapToGrid w:val="0"/>
              <w:jc w:val="right"/>
              <w:rPr>
                <w:rFonts w:ascii="Arial" w:hAnsi="Arial" w:cs="Arial"/>
                <w:b/>
                <w:bCs/>
                <w:sz w:val="20"/>
                <w:szCs w:val="20"/>
              </w:rPr>
            </w:pPr>
          </w:p>
        </w:tc>
        <w:tc>
          <w:tcPr>
            <w:tcW w:w="296" w:type="dxa"/>
            <w:shd w:val="clear" w:color="auto" w:fill="auto"/>
            <w:vAlign w:val="bottom"/>
          </w:tcPr>
          <w:p w:rsidR="00DE3BC2" w:rsidRPr="00DE475B" w:rsidRDefault="00DE3BC2" w:rsidP="00D25526">
            <w:pPr>
              <w:snapToGrid w:val="0"/>
              <w:jc w:val="right"/>
              <w:rPr>
                <w:rFonts w:ascii="Arial" w:hAnsi="Arial" w:cs="Arial"/>
                <w:b/>
                <w:bCs/>
                <w:sz w:val="20"/>
                <w:szCs w:val="20"/>
              </w:rPr>
            </w:pPr>
          </w:p>
        </w:tc>
        <w:tc>
          <w:tcPr>
            <w:tcW w:w="1136" w:type="dxa"/>
            <w:shd w:val="clear" w:color="auto" w:fill="auto"/>
            <w:vAlign w:val="bottom"/>
          </w:tcPr>
          <w:p w:rsidR="00DE3BC2" w:rsidRPr="00DE475B" w:rsidRDefault="00DE3BC2" w:rsidP="00D25526">
            <w:pPr>
              <w:snapToGrid w:val="0"/>
              <w:jc w:val="right"/>
              <w:rPr>
                <w:rFonts w:ascii="Arial" w:hAnsi="Arial" w:cs="Arial"/>
                <w:b/>
                <w:bCs/>
                <w:sz w:val="20"/>
                <w:szCs w:val="20"/>
              </w:rPr>
            </w:pPr>
          </w:p>
        </w:tc>
        <w:tc>
          <w:tcPr>
            <w:tcW w:w="330" w:type="dxa"/>
            <w:shd w:val="clear" w:color="auto" w:fill="auto"/>
            <w:vAlign w:val="bottom"/>
          </w:tcPr>
          <w:p w:rsidR="00DE3BC2" w:rsidRPr="00DE475B" w:rsidRDefault="00DE3BC2" w:rsidP="00D25526">
            <w:pPr>
              <w:snapToGrid w:val="0"/>
              <w:jc w:val="right"/>
              <w:rPr>
                <w:rFonts w:ascii="Arial" w:hAnsi="Arial" w:cs="Arial"/>
                <w:b/>
                <w:bCs/>
                <w:sz w:val="20"/>
                <w:szCs w:val="20"/>
              </w:rPr>
            </w:pPr>
          </w:p>
        </w:tc>
        <w:tc>
          <w:tcPr>
            <w:tcW w:w="283" w:type="dxa"/>
            <w:shd w:val="clear" w:color="auto" w:fill="auto"/>
            <w:vAlign w:val="bottom"/>
          </w:tcPr>
          <w:p w:rsidR="00DE3BC2" w:rsidRPr="00DE475B" w:rsidRDefault="00DE3BC2" w:rsidP="00D25526">
            <w:pPr>
              <w:snapToGrid w:val="0"/>
              <w:jc w:val="right"/>
              <w:rPr>
                <w:rFonts w:ascii="Arial" w:hAnsi="Arial" w:cs="Arial"/>
                <w:b/>
                <w:bCs/>
                <w:sz w:val="20"/>
                <w:szCs w:val="20"/>
              </w:rPr>
            </w:pPr>
          </w:p>
        </w:tc>
        <w:tc>
          <w:tcPr>
            <w:tcW w:w="2467" w:type="dxa"/>
            <w:shd w:val="clear" w:color="auto" w:fill="auto"/>
            <w:vAlign w:val="bottom"/>
          </w:tcPr>
          <w:p w:rsidR="00DE3BC2" w:rsidRPr="00DE475B" w:rsidRDefault="00DE3BC2" w:rsidP="00D25526">
            <w:pPr>
              <w:snapToGrid w:val="0"/>
              <w:jc w:val="center"/>
              <w:rPr>
                <w:rFonts w:ascii="Arial" w:hAnsi="Arial" w:cs="Arial"/>
                <w:b/>
                <w:bCs/>
                <w:sz w:val="20"/>
                <w:szCs w:val="20"/>
              </w:rPr>
            </w:pPr>
          </w:p>
        </w:tc>
        <w:tc>
          <w:tcPr>
            <w:tcW w:w="907" w:type="dxa"/>
            <w:shd w:val="clear" w:color="auto" w:fill="auto"/>
            <w:vAlign w:val="bottom"/>
          </w:tcPr>
          <w:p w:rsidR="00DE3BC2" w:rsidRPr="00DE475B" w:rsidRDefault="00DE3BC2" w:rsidP="00A56DC8">
            <w:pPr>
              <w:jc w:val="right"/>
              <w:rPr>
                <w:rFonts w:ascii="Arial" w:hAnsi="Arial" w:cs="Arial"/>
                <w:b/>
                <w:bCs/>
                <w:sz w:val="20"/>
                <w:szCs w:val="20"/>
              </w:rPr>
            </w:pPr>
            <w:r w:rsidRPr="00DE475B">
              <w:rPr>
                <w:rFonts w:ascii="Arial" w:hAnsi="Arial" w:cs="Arial"/>
                <w:b/>
                <w:bCs/>
                <w:sz w:val="20"/>
                <w:szCs w:val="20"/>
              </w:rPr>
              <w:t>201</w:t>
            </w:r>
            <w:r w:rsidR="00A56DC8">
              <w:rPr>
                <w:rFonts w:ascii="Arial" w:hAnsi="Arial" w:cs="Arial"/>
                <w:b/>
                <w:bCs/>
                <w:sz w:val="20"/>
                <w:szCs w:val="20"/>
              </w:rPr>
              <w:t>7</w:t>
            </w:r>
          </w:p>
        </w:tc>
        <w:tc>
          <w:tcPr>
            <w:tcW w:w="907" w:type="dxa"/>
            <w:shd w:val="clear" w:color="auto" w:fill="auto"/>
            <w:vAlign w:val="bottom"/>
          </w:tcPr>
          <w:p w:rsidR="00DE3BC2" w:rsidRPr="00DE475B" w:rsidRDefault="00A56DC8" w:rsidP="00D25526">
            <w:pPr>
              <w:jc w:val="right"/>
              <w:rPr>
                <w:rFonts w:ascii="Arial" w:hAnsi="Arial" w:cs="Arial"/>
                <w:b/>
                <w:bCs/>
                <w:sz w:val="20"/>
                <w:szCs w:val="20"/>
              </w:rPr>
            </w:pPr>
            <w:r>
              <w:rPr>
                <w:rFonts w:ascii="Arial" w:hAnsi="Arial" w:cs="Arial"/>
                <w:b/>
                <w:bCs/>
                <w:sz w:val="20"/>
                <w:szCs w:val="20"/>
              </w:rPr>
              <w:t>2016</w:t>
            </w:r>
          </w:p>
        </w:tc>
        <w:tc>
          <w:tcPr>
            <w:tcW w:w="907" w:type="dxa"/>
            <w:shd w:val="clear" w:color="auto" w:fill="auto"/>
            <w:vAlign w:val="bottom"/>
          </w:tcPr>
          <w:p w:rsidR="00DE3BC2" w:rsidRPr="00DE475B" w:rsidRDefault="00A56DC8" w:rsidP="00D25526">
            <w:pPr>
              <w:jc w:val="right"/>
              <w:rPr>
                <w:rFonts w:ascii="Arial" w:hAnsi="Arial" w:cs="Arial"/>
                <w:b/>
                <w:bCs/>
                <w:sz w:val="20"/>
                <w:szCs w:val="20"/>
              </w:rPr>
            </w:pPr>
            <w:r>
              <w:rPr>
                <w:rFonts w:ascii="Arial" w:hAnsi="Arial" w:cs="Arial"/>
                <w:b/>
                <w:bCs/>
                <w:sz w:val="20"/>
                <w:szCs w:val="20"/>
              </w:rPr>
              <w:t>2017</w:t>
            </w:r>
          </w:p>
        </w:tc>
        <w:tc>
          <w:tcPr>
            <w:tcW w:w="907" w:type="dxa"/>
            <w:shd w:val="clear" w:color="auto" w:fill="auto"/>
            <w:vAlign w:val="bottom"/>
          </w:tcPr>
          <w:p w:rsidR="00DE3BC2" w:rsidRPr="00DE475B" w:rsidRDefault="00A56DC8" w:rsidP="00D25526">
            <w:pPr>
              <w:jc w:val="right"/>
              <w:rPr>
                <w:rFonts w:ascii="Arial" w:hAnsi="Arial" w:cs="Arial"/>
                <w:b/>
                <w:bCs/>
                <w:sz w:val="20"/>
                <w:szCs w:val="20"/>
              </w:rPr>
            </w:pPr>
            <w:r>
              <w:rPr>
                <w:rFonts w:ascii="Arial" w:hAnsi="Arial" w:cs="Arial"/>
                <w:b/>
                <w:bCs/>
                <w:sz w:val="20"/>
                <w:szCs w:val="20"/>
              </w:rPr>
              <w:t>2016</w:t>
            </w:r>
          </w:p>
        </w:tc>
      </w:tr>
      <w:tr w:rsidR="00DE3BC2" w:rsidRPr="00DE475B" w:rsidTr="00053A2E">
        <w:trPr>
          <w:trHeight w:val="255"/>
        </w:trPr>
        <w:tc>
          <w:tcPr>
            <w:tcW w:w="416" w:type="dxa"/>
            <w:shd w:val="clear" w:color="auto" w:fill="auto"/>
            <w:vAlign w:val="bottom"/>
          </w:tcPr>
          <w:p w:rsidR="00DE3BC2" w:rsidRPr="00DE475B" w:rsidRDefault="00DE3BC2" w:rsidP="00D25526">
            <w:pPr>
              <w:snapToGrid w:val="0"/>
              <w:jc w:val="right"/>
              <w:rPr>
                <w:rFonts w:ascii="Arial" w:hAnsi="Arial" w:cs="Arial"/>
                <w:b/>
                <w:bCs/>
                <w:sz w:val="20"/>
                <w:szCs w:val="20"/>
              </w:rPr>
            </w:pPr>
          </w:p>
        </w:tc>
        <w:tc>
          <w:tcPr>
            <w:tcW w:w="296" w:type="dxa"/>
            <w:shd w:val="clear" w:color="auto" w:fill="auto"/>
            <w:vAlign w:val="bottom"/>
          </w:tcPr>
          <w:p w:rsidR="00DE3BC2" w:rsidRPr="00DE475B" w:rsidRDefault="00DE3BC2" w:rsidP="00D25526">
            <w:pPr>
              <w:snapToGrid w:val="0"/>
              <w:jc w:val="right"/>
              <w:rPr>
                <w:rFonts w:ascii="Arial" w:hAnsi="Arial" w:cs="Arial"/>
                <w:b/>
                <w:bCs/>
                <w:sz w:val="20"/>
                <w:szCs w:val="20"/>
              </w:rPr>
            </w:pPr>
          </w:p>
        </w:tc>
        <w:tc>
          <w:tcPr>
            <w:tcW w:w="1136" w:type="dxa"/>
            <w:shd w:val="clear" w:color="auto" w:fill="auto"/>
            <w:vAlign w:val="bottom"/>
          </w:tcPr>
          <w:p w:rsidR="00DE3BC2" w:rsidRPr="00DE475B" w:rsidRDefault="00DE3BC2" w:rsidP="00D25526">
            <w:pPr>
              <w:snapToGrid w:val="0"/>
              <w:jc w:val="right"/>
              <w:rPr>
                <w:rFonts w:ascii="Arial" w:hAnsi="Arial" w:cs="Arial"/>
                <w:b/>
                <w:bCs/>
                <w:sz w:val="20"/>
                <w:szCs w:val="20"/>
              </w:rPr>
            </w:pPr>
          </w:p>
        </w:tc>
        <w:tc>
          <w:tcPr>
            <w:tcW w:w="330" w:type="dxa"/>
            <w:shd w:val="clear" w:color="auto" w:fill="auto"/>
            <w:vAlign w:val="bottom"/>
          </w:tcPr>
          <w:p w:rsidR="00DE3BC2" w:rsidRPr="00DE475B" w:rsidRDefault="00DE3BC2" w:rsidP="00D25526">
            <w:pPr>
              <w:snapToGrid w:val="0"/>
              <w:jc w:val="right"/>
              <w:rPr>
                <w:rFonts w:ascii="Arial" w:hAnsi="Arial" w:cs="Arial"/>
                <w:b/>
                <w:bCs/>
                <w:sz w:val="20"/>
                <w:szCs w:val="20"/>
              </w:rPr>
            </w:pPr>
          </w:p>
        </w:tc>
        <w:tc>
          <w:tcPr>
            <w:tcW w:w="283" w:type="dxa"/>
            <w:shd w:val="clear" w:color="auto" w:fill="auto"/>
            <w:vAlign w:val="bottom"/>
          </w:tcPr>
          <w:p w:rsidR="00DE3BC2" w:rsidRPr="00DE475B" w:rsidRDefault="00DE3BC2" w:rsidP="00D25526">
            <w:pPr>
              <w:snapToGrid w:val="0"/>
              <w:jc w:val="right"/>
              <w:rPr>
                <w:rFonts w:ascii="Arial" w:hAnsi="Arial" w:cs="Arial"/>
                <w:b/>
                <w:bCs/>
                <w:sz w:val="20"/>
                <w:szCs w:val="20"/>
              </w:rPr>
            </w:pPr>
          </w:p>
        </w:tc>
        <w:tc>
          <w:tcPr>
            <w:tcW w:w="2467" w:type="dxa"/>
            <w:shd w:val="clear" w:color="auto" w:fill="auto"/>
            <w:vAlign w:val="bottom"/>
          </w:tcPr>
          <w:p w:rsidR="00DE3BC2" w:rsidRPr="00DE475B" w:rsidRDefault="00DE3BC2" w:rsidP="00D25526">
            <w:pPr>
              <w:snapToGrid w:val="0"/>
              <w:jc w:val="right"/>
              <w:rPr>
                <w:rFonts w:ascii="Arial" w:hAnsi="Arial" w:cs="Arial"/>
                <w:b/>
                <w:bCs/>
                <w:sz w:val="20"/>
                <w:szCs w:val="20"/>
              </w:rPr>
            </w:pPr>
          </w:p>
        </w:tc>
        <w:tc>
          <w:tcPr>
            <w:tcW w:w="907" w:type="dxa"/>
            <w:shd w:val="clear" w:color="auto" w:fill="auto"/>
            <w:vAlign w:val="bottom"/>
          </w:tcPr>
          <w:p w:rsidR="00DE3BC2" w:rsidRPr="00DE475B" w:rsidRDefault="00DE3BC2" w:rsidP="00D25526">
            <w:pPr>
              <w:jc w:val="right"/>
              <w:rPr>
                <w:rFonts w:ascii="Arial" w:hAnsi="Arial" w:cs="Arial"/>
                <w:b/>
                <w:bCs/>
                <w:sz w:val="20"/>
                <w:szCs w:val="20"/>
              </w:rPr>
            </w:pPr>
            <w:r w:rsidRPr="00DE475B">
              <w:rPr>
                <w:rFonts w:ascii="Arial" w:hAnsi="Arial" w:cs="Arial"/>
                <w:b/>
                <w:bCs/>
                <w:sz w:val="20"/>
                <w:szCs w:val="20"/>
              </w:rPr>
              <w:t>$'000</w:t>
            </w:r>
          </w:p>
        </w:tc>
        <w:tc>
          <w:tcPr>
            <w:tcW w:w="907" w:type="dxa"/>
            <w:shd w:val="clear" w:color="auto" w:fill="auto"/>
            <w:vAlign w:val="bottom"/>
          </w:tcPr>
          <w:p w:rsidR="00DE3BC2" w:rsidRPr="00DE475B" w:rsidRDefault="00DE3BC2" w:rsidP="00D25526">
            <w:pPr>
              <w:jc w:val="right"/>
              <w:rPr>
                <w:rFonts w:ascii="Arial" w:hAnsi="Arial" w:cs="Arial"/>
                <w:b/>
                <w:bCs/>
                <w:sz w:val="20"/>
                <w:szCs w:val="20"/>
              </w:rPr>
            </w:pPr>
            <w:r w:rsidRPr="00DE475B">
              <w:rPr>
                <w:rFonts w:ascii="Arial" w:hAnsi="Arial" w:cs="Arial"/>
                <w:b/>
                <w:bCs/>
                <w:sz w:val="20"/>
                <w:szCs w:val="20"/>
              </w:rPr>
              <w:t>$'000</w:t>
            </w:r>
          </w:p>
        </w:tc>
        <w:tc>
          <w:tcPr>
            <w:tcW w:w="907" w:type="dxa"/>
            <w:shd w:val="clear" w:color="auto" w:fill="auto"/>
            <w:vAlign w:val="bottom"/>
          </w:tcPr>
          <w:p w:rsidR="00DE3BC2" w:rsidRPr="00DE475B" w:rsidRDefault="00DE3BC2" w:rsidP="00D25526">
            <w:pPr>
              <w:jc w:val="right"/>
              <w:rPr>
                <w:rFonts w:ascii="Arial" w:hAnsi="Arial" w:cs="Arial"/>
                <w:b/>
                <w:bCs/>
                <w:sz w:val="20"/>
                <w:szCs w:val="20"/>
              </w:rPr>
            </w:pPr>
            <w:r w:rsidRPr="00DE475B">
              <w:rPr>
                <w:rFonts w:ascii="Arial" w:hAnsi="Arial" w:cs="Arial"/>
                <w:b/>
                <w:bCs/>
                <w:sz w:val="20"/>
                <w:szCs w:val="20"/>
              </w:rPr>
              <w:t>$'000</w:t>
            </w:r>
          </w:p>
        </w:tc>
        <w:tc>
          <w:tcPr>
            <w:tcW w:w="907" w:type="dxa"/>
            <w:shd w:val="clear" w:color="auto" w:fill="auto"/>
            <w:vAlign w:val="bottom"/>
          </w:tcPr>
          <w:p w:rsidR="00DE3BC2" w:rsidRPr="00DE475B" w:rsidRDefault="00DE3BC2" w:rsidP="00D25526">
            <w:pPr>
              <w:jc w:val="right"/>
              <w:rPr>
                <w:rFonts w:ascii="Arial" w:hAnsi="Arial" w:cs="Arial"/>
                <w:b/>
                <w:bCs/>
                <w:sz w:val="20"/>
                <w:szCs w:val="20"/>
              </w:rPr>
            </w:pPr>
            <w:r w:rsidRPr="00DE475B">
              <w:rPr>
                <w:rFonts w:ascii="Arial" w:hAnsi="Arial" w:cs="Arial"/>
                <w:b/>
                <w:bCs/>
                <w:sz w:val="20"/>
                <w:szCs w:val="20"/>
              </w:rPr>
              <w:t>$'000</w:t>
            </w:r>
          </w:p>
        </w:tc>
      </w:tr>
      <w:tr w:rsidR="00DE3BC2" w:rsidRPr="00DE475B" w:rsidTr="00053A2E">
        <w:trPr>
          <w:trHeight w:val="255"/>
        </w:trPr>
        <w:tc>
          <w:tcPr>
            <w:tcW w:w="2178" w:type="dxa"/>
            <w:gridSpan w:val="4"/>
            <w:shd w:val="clear" w:color="auto" w:fill="auto"/>
            <w:vAlign w:val="bottom"/>
          </w:tcPr>
          <w:p w:rsidR="00DE3BC2" w:rsidRPr="00DE475B" w:rsidRDefault="00B60740" w:rsidP="00D25526">
            <w:pPr>
              <w:snapToGrid w:val="0"/>
              <w:rPr>
                <w:rFonts w:ascii="Arial" w:hAnsi="Arial" w:cs="Arial"/>
                <w:sz w:val="20"/>
                <w:szCs w:val="20"/>
              </w:rPr>
            </w:pPr>
            <w:r>
              <w:rPr>
                <w:rFonts w:ascii="Arial" w:hAnsi="Arial" w:cs="Arial"/>
                <w:b/>
                <w:bCs/>
                <w:sz w:val="20"/>
                <w:szCs w:val="20"/>
              </w:rPr>
              <w:t>Current</w:t>
            </w:r>
          </w:p>
        </w:tc>
        <w:tc>
          <w:tcPr>
            <w:tcW w:w="283" w:type="dxa"/>
            <w:shd w:val="clear" w:color="auto" w:fill="auto"/>
            <w:vAlign w:val="bottom"/>
          </w:tcPr>
          <w:p w:rsidR="00DE3BC2" w:rsidRPr="00DE475B" w:rsidRDefault="00DE3BC2" w:rsidP="00D25526">
            <w:pPr>
              <w:snapToGrid w:val="0"/>
              <w:rPr>
                <w:rFonts w:ascii="Arial" w:hAnsi="Arial" w:cs="Arial"/>
                <w:sz w:val="20"/>
                <w:szCs w:val="20"/>
              </w:rPr>
            </w:pPr>
          </w:p>
        </w:tc>
        <w:tc>
          <w:tcPr>
            <w:tcW w:w="2467" w:type="dxa"/>
            <w:shd w:val="clear" w:color="auto" w:fill="auto"/>
            <w:vAlign w:val="bottom"/>
          </w:tcPr>
          <w:p w:rsidR="00DE3BC2" w:rsidRPr="00DE475B" w:rsidRDefault="00DE3BC2" w:rsidP="00D25526">
            <w:pPr>
              <w:snapToGrid w:val="0"/>
              <w:rPr>
                <w:rFonts w:ascii="Arial" w:hAnsi="Arial" w:cs="Arial"/>
                <w:sz w:val="20"/>
                <w:szCs w:val="20"/>
              </w:rPr>
            </w:pPr>
          </w:p>
        </w:tc>
        <w:tc>
          <w:tcPr>
            <w:tcW w:w="907" w:type="dxa"/>
            <w:shd w:val="clear" w:color="auto" w:fill="auto"/>
            <w:vAlign w:val="bottom"/>
          </w:tcPr>
          <w:p w:rsidR="00DE3BC2" w:rsidRPr="00DE475B" w:rsidRDefault="00DE3BC2" w:rsidP="00D25526">
            <w:pPr>
              <w:snapToGrid w:val="0"/>
              <w:rPr>
                <w:rFonts w:ascii="Arial" w:hAnsi="Arial" w:cs="Arial"/>
                <w:sz w:val="20"/>
                <w:szCs w:val="20"/>
              </w:rPr>
            </w:pPr>
          </w:p>
        </w:tc>
        <w:tc>
          <w:tcPr>
            <w:tcW w:w="907" w:type="dxa"/>
            <w:shd w:val="clear" w:color="auto" w:fill="auto"/>
            <w:vAlign w:val="bottom"/>
          </w:tcPr>
          <w:p w:rsidR="00DE3BC2" w:rsidRPr="00DE475B" w:rsidRDefault="00DE3BC2" w:rsidP="00D25526">
            <w:pPr>
              <w:snapToGrid w:val="0"/>
              <w:rPr>
                <w:rFonts w:ascii="Arial" w:hAnsi="Arial" w:cs="Arial"/>
                <w:sz w:val="20"/>
                <w:szCs w:val="20"/>
              </w:rPr>
            </w:pPr>
          </w:p>
        </w:tc>
        <w:tc>
          <w:tcPr>
            <w:tcW w:w="907" w:type="dxa"/>
            <w:shd w:val="clear" w:color="auto" w:fill="auto"/>
            <w:vAlign w:val="bottom"/>
          </w:tcPr>
          <w:p w:rsidR="00DE3BC2" w:rsidRPr="00DE475B" w:rsidRDefault="00DE3BC2" w:rsidP="00D25526">
            <w:pPr>
              <w:snapToGrid w:val="0"/>
              <w:rPr>
                <w:rFonts w:ascii="Arial" w:hAnsi="Arial" w:cs="Arial"/>
                <w:sz w:val="20"/>
                <w:szCs w:val="20"/>
              </w:rPr>
            </w:pPr>
          </w:p>
        </w:tc>
        <w:tc>
          <w:tcPr>
            <w:tcW w:w="907" w:type="dxa"/>
            <w:shd w:val="clear" w:color="auto" w:fill="auto"/>
            <w:vAlign w:val="bottom"/>
          </w:tcPr>
          <w:p w:rsidR="00DE3BC2" w:rsidRPr="00DE475B" w:rsidRDefault="00DE3BC2" w:rsidP="00D25526">
            <w:pPr>
              <w:snapToGrid w:val="0"/>
              <w:rPr>
                <w:rFonts w:ascii="Arial" w:hAnsi="Arial" w:cs="Arial"/>
                <w:sz w:val="20"/>
                <w:szCs w:val="20"/>
              </w:rPr>
            </w:pPr>
          </w:p>
        </w:tc>
      </w:tr>
      <w:tr w:rsidR="00A56DC8" w:rsidRPr="00DE475B" w:rsidTr="00053A2E">
        <w:trPr>
          <w:trHeight w:val="255"/>
        </w:trPr>
        <w:tc>
          <w:tcPr>
            <w:tcW w:w="2178" w:type="dxa"/>
            <w:gridSpan w:val="4"/>
            <w:shd w:val="clear" w:color="auto" w:fill="auto"/>
            <w:vAlign w:val="bottom"/>
          </w:tcPr>
          <w:p w:rsidR="00A56DC8" w:rsidRPr="00DE475B" w:rsidRDefault="00A56DC8" w:rsidP="00A56DC8">
            <w:pPr>
              <w:rPr>
                <w:rFonts w:ascii="Arial" w:hAnsi="Arial" w:cs="Arial"/>
                <w:sz w:val="20"/>
                <w:szCs w:val="20"/>
              </w:rPr>
            </w:pPr>
            <w:r w:rsidRPr="00DE475B">
              <w:rPr>
                <w:rFonts w:ascii="Arial" w:hAnsi="Arial" w:cs="Arial"/>
                <w:sz w:val="20"/>
                <w:szCs w:val="20"/>
              </w:rPr>
              <w:t>Trade creditors</w:t>
            </w:r>
          </w:p>
        </w:tc>
        <w:tc>
          <w:tcPr>
            <w:tcW w:w="283" w:type="dxa"/>
            <w:shd w:val="clear" w:color="auto" w:fill="auto"/>
            <w:vAlign w:val="bottom"/>
          </w:tcPr>
          <w:p w:rsidR="00A56DC8" w:rsidRPr="00DE475B" w:rsidRDefault="00A56DC8" w:rsidP="00A56DC8">
            <w:pPr>
              <w:snapToGrid w:val="0"/>
              <w:rPr>
                <w:rFonts w:ascii="Arial" w:hAnsi="Arial" w:cs="Arial"/>
                <w:sz w:val="20"/>
                <w:szCs w:val="20"/>
              </w:rPr>
            </w:pPr>
          </w:p>
        </w:tc>
        <w:tc>
          <w:tcPr>
            <w:tcW w:w="2467" w:type="dxa"/>
            <w:shd w:val="clear" w:color="auto" w:fill="auto"/>
            <w:vAlign w:val="bottom"/>
          </w:tcPr>
          <w:p w:rsidR="00A56DC8" w:rsidRPr="00DE475B" w:rsidRDefault="00A56DC8" w:rsidP="00A56DC8">
            <w:pPr>
              <w:snapToGrid w:val="0"/>
              <w:rPr>
                <w:rFonts w:ascii="Arial" w:hAnsi="Arial" w:cs="Arial"/>
                <w:sz w:val="20"/>
                <w:szCs w:val="20"/>
              </w:rPr>
            </w:pPr>
          </w:p>
        </w:tc>
        <w:tc>
          <w:tcPr>
            <w:tcW w:w="907" w:type="dxa"/>
            <w:shd w:val="clear" w:color="auto" w:fill="auto"/>
            <w:vAlign w:val="bottom"/>
          </w:tcPr>
          <w:p w:rsidR="00A56DC8" w:rsidRPr="00DE475B" w:rsidRDefault="00920F10" w:rsidP="00A56DC8">
            <w:pPr>
              <w:jc w:val="right"/>
              <w:rPr>
                <w:rFonts w:ascii="Arial" w:hAnsi="Arial" w:cs="Arial"/>
                <w:sz w:val="20"/>
                <w:szCs w:val="20"/>
              </w:rPr>
            </w:pPr>
            <w:r>
              <w:rPr>
                <w:rFonts w:ascii="Arial" w:hAnsi="Arial" w:cs="Arial"/>
                <w:sz w:val="20"/>
                <w:szCs w:val="20"/>
              </w:rPr>
              <w:t>610</w:t>
            </w:r>
          </w:p>
        </w:tc>
        <w:tc>
          <w:tcPr>
            <w:tcW w:w="907" w:type="dxa"/>
            <w:shd w:val="clear" w:color="auto" w:fill="auto"/>
            <w:vAlign w:val="bottom"/>
          </w:tcPr>
          <w:p w:rsidR="00A56DC8" w:rsidRPr="00DE475B" w:rsidRDefault="00A56DC8" w:rsidP="00A56DC8">
            <w:pPr>
              <w:jc w:val="right"/>
              <w:rPr>
                <w:rFonts w:ascii="Arial" w:hAnsi="Arial" w:cs="Arial"/>
                <w:sz w:val="20"/>
                <w:szCs w:val="20"/>
              </w:rPr>
            </w:pPr>
            <w:r w:rsidRPr="00DE475B">
              <w:rPr>
                <w:rFonts w:ascii="Arial" w:hAnsi="Arial" w:cs="Arial"/>
                <w:sz w:val="20"/>
                <w:szCs w:val="20"/>
              </w:rPr>
              <w:t>705</w:t>
            </w:r>
          </w:p>
        </w:tc>
        <w:tc>
          <w:tcPr>
            <w:tcW w:w="907" w:type="dxa"/>
            <w:shd w:val="clear" w:color="auto" w:fill="auto"/>
            <w:vAlign w:val="bottom"/>
          </w:tcPr>
          <w:p w:rsidR="00A56DC8" w:rsidRPr="00DE475B" w:rsidRDefault="00920F10" w:rsidP="00A56DC8">
            <w:pPr>
              <w:jc w:val="right"/>
              <w:rPr>
                <w:rFonts w:ascii="Arial" w:hAnsi="Arial" w:cs="Arial"/>
                <w:sz w:val="20"/>
                <w:szCs w:val="20"/>
              </w:rPr>
            </w:pPr>
            <w:r>
              <w:rPr>
                <w:rFonts w:ascii="Arial" w:hAnsi="Arial" w:cs="Arial"/>
                <w:sz w:val="20"/>
                <w:szCs w:val="20"/>
              </w:rPr>
              <w:t>610</w:t>
            </w:r>
          </w:p>
        </w:tc>
        <w:tc>
          <w:tcPr>
            <w:tcW w:w="907" w:type="dxa"/>
            <w:shd w:val="clear" w:color="auto" w:fill="auto"/>
            <w:vAlign w:val="bottom"/>
          </w:tcPr>
          <w:p w:rsidR="00A56DC8" w:rsidRPr="00DE475B" w:rsidRDefault="00A56DC8" w:rsidP="00A56DC8">
            <w:pPr>
              <w:jc w:val="right"/>
              <w:rPr>
                <w:rFonts w:ascii="Arial" w:hAnsi="Arial" w:cs="Arial"/>
                <w:sz w:val="20"/>
                <w:szCs w:val="20"/>
              </w:rPr>
            </w:pPr>
            <w:r w:rsidRPr="00DE475B">
              <w:rPr>
                <w:rFonts w:ascii="Arial" w:hAnsi="Arial" w:cs="Arial"/>
                <w:sz w:val="20"/>
                <w:szCs w:val="20"/>
              </w:rPr>
              <w:t>705</w:t>
            </w:r>
          </w:p>
        </w:tc>
      </w:tr>
      <w:tr w:rsidR="00A56DC8" w:rsidRPr="00DE475B" w:rsidTr="00053A2E">
        <w:trPr>
          <w:trHeight w:val="255"/>
        </w:trPr>
        <w:tc>
          <w:tcPr>
            <w:tcW w:w="2178" w:type="dxa"/>
            <w:gridSpan w:val="4"/>
            <w:shd w:val="clear" w:color="auto" w:fill="auto"/>
            <w:vAlign w:val="bottom"/>
          </w:tcPr>
          <w:p w:rsidR="00A56DC8" w:rsidRPr="00DE475B" w:rsidRDefault="00A56DC8" w:rsidP="00A56DC8">
            <w:pPr>
              <w:rPr>
                <w:rFonts w:ascii="Arial" w:hAnsi="Arial" w:cs="Arial"/>
                <w:sz w:val="20"/>
                <w:szCs w:val="20"/>
              </w:rPr>
            </w:pPr>
            <w:r w:rsidRPr="00DE475B">
              <w:rPr>
                <w:rFonts w:ascii="Arial" w:hAnsi="Arial" w:cs="Arial"/>
                <w:sz w:val="20"/>
                <w:szCs w:val="20"/>
              </w:rPr>
              <w:t>Accrued expenses</w:t>
            </w:r>
          </w:p>
        </w:tc>
        <w:tc>
          <w:tcPr>
            <w:tcW w:w="283" w:type="dxa"/>
            <w:shd w:val="clear" w:color="auto" w:fill="auto"/>
            <w:vAlign w:val="bottom"/>
          </w:tcPr>
          <w:p w:rsidR="00A56DC8" w:rsidRPr="00DE475B" w:rsidRDefault="00A56DC8" w:rsidP="00A56DC8">
            <w:pPr>
              <w:snapToGrid w:val="0"/>
              <w:rPr>
                <w:rFonts w:ascii="Arial" w:hAnsi="Arial" w:cs="Arial"/>
                <w:sz w:val="20"/>
                <w:szCs w:val="20"/>
              </w:rPr>
            </w:pPr>
          </w:p>
        </w:tc>
        <w:tc>
          <w:tcPr>
            <w:tcW w:w="2467" w:type="dxa"/>
            <w:shd w:val="clear" w:color="auto" w:fill="auto"/>
            <w:vAlign w:val="bottom"/>
          </w:tcPr>
          <w:p w:rsidR="00A56DC8" w:rsidRPr="00DE475B" w:rsidRDefault="00A56DC8" w:rsidP="00A56DC8">
            <w:pPr>
              <w:snapToGrid w:val="0"/>
              <w:rPr>
                <w:rFonts w:ascii="Arial" w:hAnsi="Arial" w:cs="Arial"/>
                <w:sz w:val="20"/>
                <w:szCs w:val="20"/>
              </w:rPr>
            </w:pPr>
          </w:p>
        </w:tc>
        <w:tc>
          <w:tcPr>
            <w:tcW w:w="907" w:type="dxa"/>
            <w:shd w:val="clear" w:color="auto" w:fill="auto"/>
            <w:vAlign w:val="bottom"/>
          </w:tcPr>
          <w:p w:rsidR="00A56DC8" w:rsidRPr="00DE475B" w:rsidRDefault="00920F10" w:rsidP="00A56DC8">
            <w:pPr>
              <w:jc w:val="right"/>
              <w:rPr>
                <w:rFonts w:ascii="Arial" w:hAnsi="Arial" w:cs="Arial"/>
                <w:sz w:val="20"/>
                <w:szCs w:val="20"/>
              </w:rPr>
            </w:pPr>
            <w:r>
              <w:rPr>
                <w:rFonts w:ascii="Arial" w:hAnsi="Arial" w:cs="Arial"/>
                <w:sz w:val="20"/>
                <w:szCs w:val="20"/>
              </w:rPr>
              <w:t>968</w:t>
            </w:r>
          </w:p>
        </w:tc>
        <w:tc>
          <w:tcPr>
            <w:tcW w:w="907" w:type="dxa"/>
            <w:shd w:val="clear" w:color="auto" w:fill="auto"/>
            <w:vAlign w:val="bottom"/>
          </w:tcPr>
          <w:p w:rsidR="00A56DC8" w:rsidRPr="00DE475B" w:rsidRDefault="00A56DC8" w:rsidP="00A56DC8">
            <w:pPr>
              <w:jc w:val="right"/>
              <w:rPr>
                <w:rFonts w:ascii="Arial" w:hAnsi="Arial" w:cs="Arial"/>
                <w:sz w:val="20"/>
                <w:szCs w:val="20"/>
              </w:rPr>
            </w:pPr>
            <w:r w:rsidRPr="00DE475B">
              <w:rPr>
                <w:rFonts w:ascii="Arial" w:hAnsi="Arial" w:cs="Arial"/>
                <w:sz w:val="20"/>
                <w:szCs w:val="20"/>
              </w:rPr>
              <w:t>976</w:t>
            </w:r>
          </w:p>
        </w:tc>
        <w:tc>
          <w:tcPr>
            <w:tcW w:w="907" w:type="dxa"/>
            <w:shd w:val="clear" w:color="auto" w:fill="auto"/>
            <w:vAlign w:val="bottom"/>
          </w:tcPr>
          <w:p w:rsidR="00A56DC8" w:rsidRPr="00DE475B" w:rsidRDefault="00920F10" w:rsidP="00A56DC8">
            <w:pPr>
              <w:jc w:val="right"/>
              <w:rPr>
                <w:rFonts w:ascii="Arial" w:hAnsi="Arial" w:cs="Arial"/>
                <w:sz w:val="20"/>
                <w:szCs w:val="20"/>
              </w:rPr>
            </w:pPr>
            <w:r>
              <w:rPr>
                <w:rFonts w:ascii="Arial" w:hAnsi="Arial" w:cs="Arial"/>
                <w:sz w:val="20"/>
                <w:szCs w:val="20"/>
              </w:rPr>
              <w:t>1,014</w:t>
            </w:r>
          </w:p>
        </w:tc>
        <w:tc>
          <w:tcPr>
            <w:tcW w:w="907" w:type="dxa"/>
            <w:shd w:val="clear" w:color="auto" w:fill="auto"/>
            <w:vAlign w:val="bottom"/>
          </w:tcPr>
          <w:p w:rsidR="00A56DC8" w:rsidRPr="00DE475B" w:rsidRDefault="00A56DC8" w:rsidP="00A56DC8">
            <w:pPr>
              <w:jc w:val="right"/>
              <w:rPr>
                <w:rFonts w:ascii="Arial" w:hAnsi="Arial" w:cs="Arial"/>
                <w:sz w:val="20"/>
                <w:szCs w:val="20"/>
              </w:rPr>
            </w:pPr>
            <w:r w:rsidRPr="00DE475B">
              <w:rPr>
                <w:rFonts w:ascii="Arial" w:hAnsi="Arial" w:cs="Arial"/>
                <w:sz w:val="20"/>
                <w:szCs w:val="20"/>
              </w:rPr>
              <w:t>970</w:t>
            </w:r>
          </w:p>
        </w:tc>
      </w:tr>
      <w:tr w:rsidR="00A56DC8" w:rsidRPr="00DE475B" w:rsidTr="00053A2E">
        <w:trPr>
          <w:trHeight w:val="255"/>
        </w:trPr>
        <w:tc>
          <w:tcPr>
            <w:tcW w:w="712" w:type="dxa"/>
            <w:gridSpan w:val="2"/>
            <w:shd w:val="clear" w:color="auto" w:fill="auto"/>
            <w:vAlign w:val="bottom"/>
          </w:tcPr>
          <w:p w:rsidR="00A56DC8" w:rsidRPr="00DE475B" w:rsidRDefault="00A56DC8" w:rsidP="00A56DC8">
            <w:pPr>
              <w:rPr>
                <w:rFonts w:ascii="Arial" w:hAnsi="Arial" w:cs="Arial"/>
                <w:sz w:val="20"/>
                <w:szCs w:val="20"/>
              </w:rPr>
            </w:pPr>
            <w:r w:rsidRPr="00DE475B">
              <w:rPr>
                <w:rFonts w:ascii="Arial" w:hAnsi="Arial" w:cs="Arial"/>
                <w:b/>
                <w:bCs/>
                <w:sz w:val="20"/>
                <w:szCs w:val="20"/>
              </w:rPr>
              <w:t>Total</w:t>
            </w:r>
          </w:p>
        </w:tc>
        <w:tc>
          <w:tcPr>
            <w:tcW w:w="1136" w:type="dxa"/>
            <w:shd w:val="clear" w:color="auto" w:fill="auto"/>
            <w:vAlign w:val="bottom"/>
          </w:tcPr>
          <w:p w:rsidR="00A56DC8" w:rsidRPr="00DE475B" w:rsidRDefault="00A56DC8" w:rsidP="00A56DC8">
            <w:pPr>
              <w:snapToGrid w:val="0"/>
              <w:rPr>
                <w:rFonts w:ascii="Arial" w:hAnsi="Arial" w:cs="Arial"/>
                <w:sz w:val="20"/>
                <w:szCs w:val="20"/>
              </w:rPr>
            </w:pPr>
          </w:p>
        </w:tc>
        <w:tc>
          <w:tcPr>
            <w:tcW w:w="330" w:type="dxa"/>
            <w:shd w:val="clear" w:color="auto" w:fill="auto"/>
            <w:vAlign w:val="bottom"/>
          </w:tcPr>
          <w:p w:rsidR="00A56DC8" w:rsidRPr="00DE475B" w:rsidRDefault="00A56DC8" w:rsidP="00A56DC8">
            <w:pPr>
              <w:snapToGrid w:val="0"/>
              <w:rPr>
                <w:rFonts w:ascii="Arial" w:hAnsi="Arial" w:cs="Arial"/>
                <w:sz w:val="20"/>
                <w:szCs w:val="20"/>
              </w:rPr>
            </w:pPr>
          </w:p>
        </w:tc>
        <w:tc>
          <w:tcPr>
            <w:tcW w:w="283" w:type="dxa"/>
            <w:shd w:val="clear" w:color="auto" w:fill="auto"/>
            <w:vAlign w:val="bottom"/>
          </w:tcPr>
          <w:p w:rsidR="00A56DC8" w:rsidRPr="00DE475B" w:rsidRDefault="00A56DC8" w:rsidP="00A56DC8">
            <w:pPr>
              <w:snapToGrid w:val="0"/>
              <w:rPr>
                <w:rFonts w:ascii="Arial" w:hAnsi="Arial" w:cs="Arial"/>
                <w:sz w:val="20"/>
                <w:szCs w:val="20"/>
              </w:rPr>
            </w:pPr>
          </w:p>
        </w:tc>
        <w:tc>
          <w:tcPr>
            <w:tcW w:w="2467" w:type="dxa"/>
            <w:shd w:val="clear" w:color="auto" w:fill="auto"/>
            <w:vAlign w:val="bottom"/>
          </w:tcPr>
          <w:p w:rsidR="00A56DC8" w:rsidRPr="00DE475B" w:rsidRDefault="00A56DC8" w:rsidP="00A56DC8">
            <w:pPr>
              <w:snapToGrid w:val="0"/>
              <w:rPr>
                <w:rFonts w:ascii="Arial" w:hAnsi="Arial" w:cs="Arial"/>
                <w:sz w:val="20"/>
                <w:szCs w:val="20"/>
              </w:rPr>
            </w:pPr>
          </w:p>
        </w:tc>
        <w:tc>
          <w:tcPr>
            <w:tcW w:w="907" w:type="dxa"/>
            <w:tcBorders>
              <w:top w:val="single" w:sz="8" w:space="0" w:color="000000"/>
              <w:bottom w:val="single" w:sz="12" w:space="0" w:color="000000"/>
            </w:tcBorders>
            <w:shd w:val="clear" w:color="auto" w:fill="auto"/>
            <w:vAlign w:val="bottom"/>
          </w:tcPr>
          <w:p w:rsidR="00A56DC8" w:rsidRPr="00DE475B" w:rsidRDefault="00920F10" w:rsidP="00A56DC8">
            <w:pPr>
              <w:jc w:val="right"/>
              <w:rPr>
                <w:rFonts w:ascii="Arial" w:hAnsi="Arial" w:cs="Arial"/>
                <w:sz w:val="20"/>
                <w:szCs w:val="20"/>
              </w:rPr>
            </w:pPr>
            <w:r>
              <w:rPr>
                <w:rFonts w:ascii="Arial" w:hAnsi="Arial" w:cs="Arial"/>
                <w:sz w:val="20"/>
                <w:szCs w:val="20"/>
              </w:rPr>
              <w:t>1,578</w:t>
            </w:r>
          </w:p>
        </w:tc>
        <w:tc>
          <w:tcPr>
            <w:tcW w:w="907" w:type="dxa"/>
            <w:tcBorders>
              <w:top w:val="single" w:sz="8" w:space="0" w:color="000000"/>
              <w:bottom w:val="single" w:sz="12" w:space="0" w:color="000000"/>
            </w:tcBorders>
            <w:shd w:val="clear" w:color="auto" w:fill="auto"/>
            <w:vAlign w:val="bottom"/>
          </w:tcPr>
          <w:p w:rsidR="00A56DC8" w:rsidRPr="00DE475B" w:rsidRDefault="00A56DC8" w:rsidP="00A56DC8">
            <w:pPr>
              <w:jc w:val="right"/>
              <w:rPr>
                <w:rFonts w:ascii="Arial" w:hAnsi="Arial" w:cs="Arial"/>
                <w:sz w:val="20"/>
                <w:szCs w:val="20"/>
              </w:rPr>
            </w:pPr>
            <w:r w:rsidRPr="00DE475B">
              <w:rPr>
                <w:rFonts w:ascii="Arial" w:hAnsi="Arial" w:cs="Arial"/>
                <w:sz w:val="20"/>
                <w:szCs w:val="20"/>
              </w:rPr>
              <w:t>1,681</w:t>
            </w:r>
          </w:p>
        </w:tc>
        <w:tc>
          <w:tcPr>
            <w:tcW w:w="907" w:type="dxa"/>
            <w:tcBorders>
              <w:top w:val="single" w:sz="8" w:space="0" w:color="000000"/>
              <w:bottom w:val="single" w:sz="12" w:space="0" w:color="000000"/>
            </w:tcBorders>
            <w:shd w:val="clear" w:color="auto" w:fill="auto"/>
            <w:vAlign w:val="bottom"/>
          </w:tcPr>
          <w:p w:rsidR="00A56DC8" w:rsidRPr="00DE475B" w:rsidRDefault="00920F10" w:rsidP="00A56DC8">
            <w:pPr>
              <w:jc w:val="right"/>
              <w:rPr>
                <w:rFonts w:ascii="Arial" w:hAnsi="Arial" w:cs="Arial"/>
                <w:sz w:val="20"/>
                <w:szCs w:val="20"/>
              </w:rPr>
            </w:pPr>
            <w:r>
              <w:rPr>
                <w:rFonts w:ascii="Arial" w:hAnsi="Arial" w:cs="Arial"/>
                <w:sz w:val="20"/>
                <w:szCs w:val="20"/>
              </w:rPr>
              <w:t>1,624</w:t>
            </w:r>
          </w:p>
        </w:tc>
        <w:tc>
          <w:tcPr>
            <w:tcW w:w="907" w:type="dxa"/>
            <w:tcBorders>
              <w:top w:val="single" w:sz="8" w:space="0" w:color="000000"/>
              <w:bottom w:val="single" w:sz="12" w:space="0" w:color="000000"/>
            </w:tcBorders>
            <w:shd w:val="clear" w:color="auto" w:fill="auto"/>
            <w:vAlign w:val="bottom"/>
          </w:tcPr>
          <w:p w:rsidR="00A56DC8" w:rsidRPr="00DE475B" w:rsidRDefault="00A56DC8" w:rsidP="00A56DC8">
            <w:pPr>
              <w:jc w:val="right"/>
              <w:rPr>
                <w:rFonts w:ascii="Arial" w:hAnsi="Arial" w:cs="Arial"/>
                <w:sz w:val="20"/>
                <w:szCs w:val="20"/>
              </w:rPr>
            </w:pPr>
            <w:r w:rsidRPr="00DE475B">
              <w:rPr>
                <w:rFonts w:ascii="Arial" w:hAnsi="Arial" w:cs="Arial"/>
                <w:sz w:val="20"/>
                <w:szCs w:val="20"/>
              </w:rPr>
              <w:t>1,675</w:t>
            </w:r>
          </w:p>
        </w:tc>
      </w:tr>
    </w:tbl>
    <w:p w:rsidR="00DE3BC2" w:rsidRPr="00DE475B" w:rsidRDefault="00DE3BC2" w:rsidP="005C477C">
      <w:pPr>
        <w:spacing w:after="120"/>
        <w:rPr>
          <w:rFonts w:ascii="Arial" w:hAnsi="Arial" w:cs="Arial"/>
          <w:sz w:val="20"/>
          <w:szCs w:val="20"/>
        </w:rPr>
        <w:sectPr w:rsidR="00DE3BC2" w:rsidRPr="00DE475B" w:rsidSect="00B53922">
          <w:headerReference w:type="even" r:id="rId63"/>
          <w:footerReference w:type="even" r:id="rId64"/>
          <w:type w:val="continuous"/>
          <w:pgSz w:w="11906" w:h="16838"/>
          <w:pgMar w:top="1440" w:right="1701" w:bottom="1440" w:left="1701" w:header="680" w:footer="680" w:gutter="0"/>
          <w:cols w:space="566"/>
          <w:docGrid w:linePitch="360"/>
        </w:sectPr>
      </w:pPr>
    </w:p>
    <w:p w:rsidR="00DE3BC2" w:rsidRPr="00DE475B" w:rsidRDefault="00DE3BC2" w:rsidP="005C477C">
      <w:pPr>
        <w:spacing w:after="120"/>
        <w:rPr>
          <w:rFonts w:ascii="Arial" w:hAnsi="Arial" w:cs="Arial"/>
          <w:sz w:val="20"/>
          <w:szCs w:val="20"/>
        </w:rPr>
        <w:sectPr w:rsidR="00DE3BC2" w:rsidRPr="00DE475B" w:rsidSect="00B53922">
          <w:type w:val="continuous"/>
          <w:pgSz w:w="11906" w:h="16838"/>
          <w:pgMar w:top="1440" w:right="1701" w:bottom="1440" w:left="1701" w:header="680" w:footer="680" w:gutter="0"/>
          <w:cols w:space="566"/>
          <w:docGrid w:linePitch="360"/>
        </w:sectPr>
      </w:pPr>
    </w:p>
    <w:p w:rsidR="00A56DC8" w:rsidRPr="00A56DC8" w:rsidRDefault="00A56DC8" w:rsidP="00A56DC8">
      <w:pPr>
        <w:spacing w:before="240"/>
        <w:rPr>
          <w:rFonts w:ascii="Arial" w:hAnsi="Arial" w:cs="Arial"/>
          <w:i/>
          <w:iCs/>
          <w:sz w:val="20"/>
          <w:szCs w:val="20"/>
        </w:rPr>
      </w:pPr>
      <w:r w:rsidRPr="00A56DC8">
        <w:rPr>
          <w:rFonts w:ascii="Arial" w:hAnsi="Arial" w:cs="Arial"/>
          <w:i/>
          <w:iCs/>
          <w:sz w:val="20"/>
          <w:szCs w:val="20"/>
        </w:rPr>
        <w:t xml:space="preserve">Accounting policy — Payables </w:t>
      </w:r>
    </w:p>
    <w:p w:rsidR="00A56DC8" w:rsidRPr="00A56DC8" w:rsidRDefault="00A56DC8" w:rsidP="00F46536">
      <w:pPr>
        <w:rPr>
          <w:rFonts w:ascii="Arial" w:hAnsi="Arial" w:cs="Arial"/>
          <w:spacing w:val="-2"/>
          <w:sz w:val="20"/>
          <w:szCs w:val="20"/>
        </w:rPr>
      </w:pPr>
      <w:r w:rsidRPr="00A56DC8">
        <w:rPr>
          <w:rFonts w:ascii="Arial" w:hAnsi="Arial" w:cs="Arial"/>
          <w:spacing w:val="-2"/>
          <w:sz w:val="20"/>
          <w:szCs w:val="20"/>
        </w:rPr>
        <w:t>Trade creditors are recognised upon receipt of the goods or services ordered and are measured at the nominal amount i.e. agreed purchase/contract price, gross of applicable trade and other discounts. Amounts owing are unsecured.</w:t>
      </w:r>
    </w:p>
    <w:p w:rsidR="0009209A" w:rsidRPr="00DE475B" w:rsidRDefault="0009209A" w:rsidP="00F46536">
      <w:pPr>
        <w:pStyle w:val="ARheading3"/>
        <w:tabs>
          <w:tab w:val="left" w:pos="851"/>
        </w:tabs>
        <w:spacing w:before="120"/>
        <w:rPr>
          <w:color w:val="808080"/>
        </w:rPr>
      </w:pPr>
      <w:r w:rsidRPr="00DE475B">
        <w:rPr>
          <w:color w:val="808080"/>
        </w:rPr>
        <w:t>C6 Accrued employee benefits</w:t>
      </w:r>
    </w:p>
    <w:tbl>
      <w:tblPr>
        <w:tblpPr w:leftFromText="180" w:rightFromText="180" w:vertAnchor="text" w:horzAnchor="margin" w:tblpX="108" w:tblpY="113"/>
        <w:tblW w:w="8613" w:type="dxa"/>
        <w:tblLayout w:type="fixed"/>
        <w:tblLook w:val="0000" w:firstRow="0" w:lastRow="0" w:firstColumn="0" w:lastColumn="0" w:noHBand="0" w:noVBand="0"/>
      </w:tblPr>
      <w:tblGrid>
        <w:gridCol w:w="2071"/>
        <w:gridCol w:w="370"/>
        <w:gridCol w:w="318"/>
        <w:gridCol w:w="2078"/>
        <w:gridCol w:w="944"/>
        <w:gridCol w:w="944"/>
        <w:gridCol w:w="944"/>
        <w:gridCol w:w="944"/>
      </w:tblGrid>
      <w:tr w:rsidR="00920F10" w:rsidRPr="00DE475B" w:rsidTr="008F6CA0">
        <w:trPr>
          <w:trHeight w:val="255"/>
        </w:trPr>
        <w:tc>
          <w:tcPr>
            <w:tcW w:w="2441" w:type="dxa"/>
            <w:gridSpan w:val="2"/>
            <w:shd w:val="clear" w:color="auto" w:fill="auto"/>
            <w:vAlign w:val="bottom"/>
          </w:tcPr>
          <w:p w:rsidR="00920F10" w:rsidRPr="00DE475B" w:rsidRDefault="00920F10" w:rsidP="00920F10">
            <w:pPr>
              <w:rPr>
                <w:rFonts w:ascii="Arial" w:hAnsi="Arial" w:cs="Arial"/>
                <w:sz w:val="20"/>
                <w:szCs w:val="20"/>
              </w:rPr>
            </w:pPr>
            <w:r w:rsidRPr="00DE475B">
              <w:rPr>
                <w:rFonts w:ascii="Arial" w:hAnsi="Arial" w:cs="Arial"/>
                <w:sz w:val="20"/>
                <w:szCs w:val="20"/>
              </w:rPr>
              <w:t>Recreation leave</w:t>
            </w:r>
          </w:p>
        </w:tc>
        <w:tc>
          <w:tcPr>
            <w:tcW w:w="318" w:type="dxa"/>
            <w:shd w:val="clear" w:color="auto" w:fill="auto"/>
            <w:vAlign w:val="bottom"/>
          </w:tcPr>
          <w:p w:rsidR="00920F10" w:rsidRPr="00DE475B" w:rsidRDefault="00920F10" w:rsidP="00920F10">
            <w:pPr>
              <w:snapToGrid w:val="0"/>
              <w:rPr>
                <w:rFonts w:ascii="Arial" w:hAnsi="Arial" w:cs="Arial"/>
                <w:sz w:val="20"/>
                <w:szCs w:val="20"/>
              </w:rPr>
            </w:pPr>
          </w:p>
        </w:tc>
        <w:tc>
          <w:tcPr>
            <w:tcW w:w="2078" w:type="dxa"/>
            <w:shd w:val="clear" w:color="auto" w:fill="auto"/>
            <w:vAlign w:val="bottom"/>
          </w:tcPr>
          <w:p w:rsidR="00920F10" w:rsidRPr="00DE475B" w:rsidRDefault="00920F10" w:rsidP="00920F10">
            <w:pPr>
              <w:snapToGrid w:val="0"/>
              <w:rPr>
                <w:rFonts w:ascii="Arial" w:hAnsi="Arial" w:cs="Arial"/>
                <w:sz w:val="20"/>
                <w:szCs w:val="20"/>
              </w:rPr>
            </w:pPr>
          </w:p>
        </w:tc>
        <w:tc>
          <w:tcPr>
            <w:tcW w:w="944" w:type="dxa"/>
            <w:shd w:val="clear" w:color="auto" w:fill="auto"/>
            <w:vAlign w:val="bottom"/>
          </w:tcPr>
          <w:p w:rsidR="00920F10" w:rsidRPr="00DE475B" w:rsidRDefault="00920F10" w:rsidP="00920F10">
            <w:pPr>
              <w:jc w:val="right"/>
              <w:rPr>
                <w:rFonts w:ascii="Arial" w:hAnsi="Arial" w:cs="Arial"/>
                <w:sz w:val="20"/>
                <w:szCs w:val="20"/>
              </w:rPr>
            </w:pPr>
            <w:r>
              <w:rPr>
                <w:rFonts w:ascii="Arial" w:hAnsi="Arial" w:cs="Arial"/>
                <w:sz w:val="20"/>
                <w:szCs w:val="20"/>
              </w:rPr>
              <w:t>2,297</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sidRPr="00DE475B">
              <w:rPr>
                <w:rFonts w:ascii="Arial" w:hAnsi="Arial" w:cs="Arial"/>
                <w:sz w:val="20"/>
                <w:szCs w:val="20"/>
              </w:rPr>
              <w:t>2,287</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Pr>
                <w:rFonts w:ascii="Arial" w:hAnsi="Arial" w:cs="Arial"/>
                <w:sz w:val="20"/>
                <w:szCs w:val="20"/>
              </w:rPr>
              <w:t>2,297</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sidRPr="00DE475B">
              <w:rPr>
                <w:rFonts w:ascii="Arial" w:hAnsi="Arial" w:cs="Arial"/>
                <w:sz w:val="20"/>
                <w:szCs w:val="20"/>
              </w:rPr>
              <w:t>2,287</w:t>
            </w:r>
          </w:p>
        </w:tc>
      </w:tr>
      <w:tr w:rsidR="00920F10" w:rsidRPr="00DE475B" w:rsidTr="008F6CA0">
        <w:trPr>
          <w:trHeight w:val="255"/>
        </w:trPr>
        <w:tc>
          <w:tcPr>
            <w:tcW w:w="2441" w:type="dxa"/>
            <w:gridSpan w:val="2"/>
            <w:shd w:val="clear" w:color="auto" w:fill="auto"/>
            <w:vAlign w:val="bottom"/>
          </w:tcPr>
          <w:p w:rsidR="00920F10" w:rsidRPr="00DE475B" w:rsidRDefault="00920F10" w:rsidP="00920F10">
            <w:pPr>
              <w:rPr>
                <w:rFonts w:ascii="Arial" w:hAnsi="Arial" w:cs="Arial"/>
                <w:sz w:val="20"/>
                <w:szCs w:val="20"/>
              </w:rPr>
            </w:pPr>
            <w:r w:rsidRPr="00DE475B">
              <w:rPr>
                <w:rFonts w:ascii="Arial" w:hAnsi="Arial" w:cs="Arial"/>
                <w:sz w:val="20"/>
                <w:szCs w:val="20"/>
              </w:rPr>
              <w:t>Parental Leave</w:t>
            </w:r>
          </w:p>
        </w:tc>
        <w:tc>
          <w:tcPr>
            <w:tcW w:w="318" w:type="dxa"/>
            <w:shd w:val="clear" w:color="auto" w:fill="auto"/>
            <w:vAlign w:val="bottom"/>
          </w:tcPr>
          <w:p w:rsidR="00920F10" w:rsidRPr="00DE475B" w:rsidRDefault="00920F10" w:rsidP="00920F10">
            <w:pPr>
              <w:snapToGrid w:val="0"/>
              <w:rPr>
                <w:rFonts w:ascii="Arial" w:hAnsi="Arial" w:cs="Arial"/>
                <w:sz w:val="20"/>
                <w:szCs w:val="20"/>
              </w:rPr>
            </w:pPr>
          </w:p>
        </w:tc>
        <w:tc>
          <w:tcPr>
            <w:tcW w:w="2078" w:type="dxa"/>
            <w:shd w:val="clear" w:color="auto" w:fill="auto"/>
            <w:vAlign w:val="bottom"/>
          </w:tcPr>
          <w:p w:rsidR="00920F10" w:rsidRPr="00DE475B" w:rsidRDefault="00920F10" w:rsidP="00920F10">
            <w:pPr>
              <w:snapToGrid w:val="0"/>
              <w:rPr>
                <w:rFonts w:ascii="Arial" w:hAnsi="Arial" w:cs="Arial"/>
                <w:sz w:val="20"/>
                <w:szCs w:val="20"/>
              </w:rPr>
            </w:pPr>
          </w:p>
        </w:tc>
        <w:tc>
          <w:tcPr>
            <w:tcW w:w="944" w:type="dxa"/>
            <w:shd w:val="clear" w:color="auto" w:fill="auto"/>
            <w:vAlign w:val="bottom"/>
          </w:tcPr>
          <w:p w:rsidR="00920F10" w:rsidRPr="00DE475B" w:rsidRDefault="00920F10" w:rsidP="00920F10">
            <w:pPr>
              <w:jc w:val="right"/>
              <w:rPr>
                <w:rFonts w:ascii="Arial" w:hAnsi="Arial" w:cs="Arial"/>
                <w:sz w:val="20"/>
                <w:szCs w:val="20"/>
              </w:rPr>
            </w:pPr>
            <w:r>
              <w:rPr>
                <w:rFonts w:ascii="Arial" w:hAnsi="Arial" w:cs="Arial"/>
                <w:sz w:val="20"/>
                <w:szCs w:val="20"/>
              </w:rPr>
              <w:t>(59)</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sidRPr="00DE475B">
              <w:rPr>
                <w:rFonts w:ascii="Arial" w:hAnsi="Arial" w:cs="Arial"/>
                <w:sz w:val="20"/>
                <w:szCs w:val="20"/>
              </w:rPr>
              <w:t>1</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Pr>
                <w:rFonts w:ascii="Arial" w:hAnsi="Arial" w:cs="Arial"/>
                <w:sz w:val="20"/>
                <w:szCs w:val="20"/>
              </w:rPr>
              <w:t>(59)</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sidRPr="00DE475B">
              <w:rPr>
                <w:rFonts w:ascii="Arial" w:hAnsi="Arial" w:cs="Arial"/>
                <w:sz w:val="20"/>
                <w:szCs w:val="20"/>
              </w:rPr>
              <w:t>1</w:t>
            </w:r>
          </w:p>
        </w:tc>
      </w:tr>
      <w:tr w:rsidR="00920F10" w:rsidRPr="00DE475B" w:rsidTr="008F6CA0">
        <w:trPr>
          <w:trHeight w:val="255"/>
        </w:trPr>
        <w:tc>
          <w:tcPr>
            <w:tcW w:w="4837" w:type="dxa"/>
            <w:gridSpan w:val="4"/>
            <w:shd w:val="clear" w:color="auto" w:fill="auto"/>
            <w:vAlign w:val="bottom"/>
          </w:tcPr>
          <w:p w:rsidR="00920F10" w:rsidRPr="00DE475B" w:rsidRDefault="00920F10" w:rsidP="00920F10">
            <w:pPr>
              <w:rPr>
                <w:rFonts w:ascii="Arial" w:hAnsi="Arial" w:cs="Arial"/>
                <w:sz w:val="20"/>
                <w:szCs w:val="20"/>
              </w:rPr>
            </w:pPr>
            <w:r w:rsidRPr="00DE475B">
              <w:rPr>
                <w:rFonts w:ascii="Arial" w:hAnsi="Arial" w:cs="Arial"/>
                <w:sz w:val="20"/>
                <w:szCs w:val="20"/>
              </w:rPr>
              <w:t>Long service leave levy payable</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Pr>
                <w:rFonts w:ascii="Arial" w:hAnsi="Arial" w:cs="Arial"/>
                <w:sz w:val="20"/>
                <w:szCs w:val="20"/>
              </w:rPr>
              <w:t>121</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sidRPr="00DE475B">
              <w:rPr>
                <w:rFonts w:ascii="Arial" w:hAnsi="Arial" w:cs="Arial"/>
                <w:sz w:val="20"/>
                <w:szCs w:val="20"/>
              </w:rPr>
              <w:t>134</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Pr>
                <w:rFonts w:ascii="Arial" w:hAnsi="Arial" w:cs="Arial"/>
                <w:sz w:val="20"/>
                <w:szCs w:val="20"/>
              </w:rPr>
              <w:t>121</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sidRPr="00DE475B">
              <w:rPr>
                <w:rFonts w:ascii="Arial" w:hAnsi="Arial" w:cs="Arial"/>
                <w:sz w:val="20"/>
                <w:szCs w:val="20"/>
              </w:rPr>
              <w:t>134</w:t>
            </w:r>
          </w:p>
        </w:tc>
      </w:tr>
      <w:tr w:rsidR="00920F10" w:rsidRPr="00DE475B" w:rsidTr="008F6CA0">
        <w:trPr>
          <w:trHeight w:val="255"/>
        </w:trPr>
        <w:tc>
          <w:tcPr>
            <w:tcW w:w="4837" w:type="dxa"/>
            <w:gridSpan w:val="4"/>
            <w:shd w:val="clear" w:color="auto" w:fill="auto"/>
            <w:vAlign w:val="bottom"/>
          </w:tcPr>
          <w:p w:rsidR="00920F10" w:rsidRPr="00DE475B" w:rsidRDefault="00920F10" w:rsidP="00920F10">
            <w:pPr>
              <w:rPr>
                <w:rFonts w:ascii="Arial" w:hAnsi="Arial" w:cs="Arial"/>
                <w:sz w:val="20"/>
                <w:szCs w:val="20"/>
              </w:rPr>
            </w:pPr>
            <w:r w:rsidRPr="00DE475B">
              <w:rPr>
                <w:rFonts w:ascii="Arial" w:hAnsi="Arial" w:cs="Arial"/>
                <w:sz w:val="20"/>
                <w:szCs w:val="20"/>
              </w:rPr>
              <w:t>Wages outstanding</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Pr>
                <w:rFonts w:ascii="Arial" w:hAnsi="Arial" w:cs="Arial"/>
                <w:sz w:val="20"/>
                <w:szCs w:val="20"/>
              </w:rPr>
              <w:t>379</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sidRPr="00DE475B">
              <w:rPr>
                <w:rFonts w:ascii="Arial" w:hAnsi="Arial" w:cs="Arial"/>
                <w:sz w:val="20"/>
                <w:szCs w:val="20"/>
              </w:rPr>
              <w:t>310</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Pr>
                <w:rFonts w:ascii="Arial" w:hAnsi="Arial" w:cs="Arial"/>
                <w:sz w:val="20"/>
                <w:szCs w:val="20"/>
              </w:rPr>
              <w:t>379</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sidRPr="00DE475B">
              <w:rPr>
                <w:rFonts w:ascii="Arial" w:hAnsi="Arial" w:cs="Arial"/>
                <w:sz w:val="20"/>
                <w:szCs w:val="20"/>
              </w:rPr>
              <w:t>310</w:t>
            </w:r>
          </w:p>
        </w:tc>
      </w:tr>
      <w:tr w:rsidR="00920F10" w:rsidRPr="00DE475B" w:rsidTr="008F6CA0">
        <w:trPr>
          <w:trHeight w:val="255"/>
        </w:trPr>
        <w:tc>
          <w:tcPr>
            <w:tcW w:w="4837" w:type="dxa"/>
            <w:gridSpan w:val="4"/>
            <w:shd w:val="clear" w:color="auto" w:fill="auto"/>
            <w:vAlign w:val="bottom"/>
          </w:tcPr>
          <w:p w:rsidR="00920F10" w:rsidRPr="00DE475B" w:rsidRDefault="00920F10" w:rsidP="00920F10">
            <w:pPr>
              <w:rPr>
                <w:rFonts w:ascii="Arial" w:hAnsi="Arial" w:cs="Arial"/>
                <w:sz w:val="20"/>
                <w:szCs w:val="20"/>
              </w:rPr>
            </w:pPr>
            <w:r w:rsidRPr="00DE475B">
              <w:rPr>
                <w:rFonts w:ascii="Arial" w:hAnsi="Arial" w:cs="Arial"/>
                <w:sz w:val="20"/>
                <w:szCs w:val="20"/>
              </w:rPr>
              <w:t>Superannuation payable</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Pr>
                <w:rFonts w:ascii="Arial" w:hAnsi="Arial" w:cs="Arial"/>
                <w:sz w:val="20"/>
                <w:szCs w:val="20"/>
              </w:rPr>
              <w:t>8</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sidRPr="00DE475B">
              <w:rPr>
                <w:rFonts w:ascii="Arial" w:hAnsi="Arial" w:cs="Arial"/>
                <w:sz w:val="20"/>
                <w:szCs w:val="20"/>
              </w:rPr>
              <w:t>26</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Pr>
                <w:rFonts w:ascii="Arial" w:hAnsi="Arial" w:cs="Arial"/>
                <w:sz w:val="20"/>
                <w:szCs w:val="20"/>
              </w:rPr>
              <w:t>8</w:t>
            </w:r>
          </w:p>
        </w:tc>
        <w:tc>
          <w:tcPr>
            <w:tcW w:w="944" w:type="dxa"/>
            <w:shd w:val="clear" w:color="auto" w:fill="auto"/>
            <w:vAlign w:val="bottom"/>
          </w:tcPr>
          <w:p w:rsidR="00920F10" w:rsidRPr="00DE475B" w:rsidRDefault="00920F10" w:rsidP="00920F10">
            <w:pPr>
              <w:jc w:val="right"/>
              <w:rPr>
                <w:rFonts w:ascii="Arial" w:hAnsi="Arial" w:cs="Arial"/>
                <w:sz w:val="20"/>
                <w:szCs w:val="20"/>
              </w:rPr>
            </w:pPr>
            <w:r w:rsidRPr="00DE475B">
              <w:rPr>
                <w:rFonts w:ascii="Arial" w:hAnsi="Arial" w:cs="Arial"/>
                <w:sz w:val="20"/>
                <w:szCs w:val="20"/>
              </w:rPr>
              <w:t>26</w:t>
            </w:r>
          </w:p>
        </w:tc>
      </w:tr>
      <w:tr w:rsidR="00920F10" w:rsidRPr="00DE475B" w:rsidTr="008F6CA0">
        <w:trPr>
          <w:trHeight w:val="315"/>
        </w:trPr>
        <w:tc>
          <w:tcPr>
            <w:tcW w:w="2071" w:type="dxa"/>
            <w:shd w:val="clear" w:color="auto" w:fill="auto"/>
            <w:vAlign w:val="bottom"/>
          </w:tcPr>
          <w:p w:rsidR="00920F10" w:rsidRPr="00DE475B" w:rsidRDefault="00920F10" w:rsidP="00920F10">
            <w:pPr>
              <w:rPr>
                <w:rFonts w:ascii="Arial" w:hAnsi="Arial" w:cs="Arial"/>
                <w:sz w:val="20"/>
                <w:szCs w:val="20"/>
              </w:rPr>
            </w:pPr>
            <w:r w:rsidRPr="00DE475B">
              <w:rPr>
                <w:rFonts w:ascii="Arial" w:hAnsi="Arial" w:cs="Arial"/>
                <w:b/>
                <w:bCs/>
                <w:sz w:val="20"/>
                <w:szCs w:val="20"/>
              </w:rPr>
              <w:t>Total</w:t>
            </w:r>
          </w:p>
        </w:tc>
        <w:tc>
          <w:tcPr>
            <w:tcW w:w="370" w:type="dxa"/>
            <w:shd w:val="clear" w:color="auto" w:fill="auto"/>
            <w:vAlign w:val="bottom"/>
          </w:tcPr>
          <w:p w:rsidR="00920F10" w:rsidRPr="00DE475B" w:rsidRDefault="00920F10" w:rsidP="00920F10">
            <w:pPr>
              <w:snapToGrid w:val="0"/>
              <w:rPr>
                <w:rFonts w:ascii="Arial" w:hAnsi="Arial" w:cs="Arial"/>
                <w:sz w:val="20"/>
                <w:szCs w:val="20"/>
              </w:rPr>
            </w:pPr>
          </w:p>
        </w:tc>
        <w:tc>
          <w:tcPr>
            <w:tcW w:w="318" w:type="dxa"/>
            <w:shd w:val="clear" w:color="auto" w:fill="auto"/>
            <w:vAlign w:val="bottom"/>
          </w:tcPr>
          <w:p w:rsidR="00920F10" w:rsidRPr="00DE475B" w:rsidRDefault="00920F10" w:rsidP="00920F10">
            <w:pPr>
              <w:snapToGrid w:val="0"/>
              <w:rPr>
                <w:rFonts w:ascii="Arial" w:hAnsi="Arial" w:cs="Arial"/>
                <w:sz w:val="20"/>
                <w:szCs w:val="20"/>
              </w:rPr>
            </w:pPr>
          </w:p>
        </w:tc>
        <w:tc>
          <w:tcPr>
            <w:tcW w:w="2078" w:type="dxa"/>
            <w:shd w:val="clear" w:color="auto" w:fill="auto"/>
            <w:vAlign w:val="bottom"/>
          </w:tcPr>
          <w:p w:rsidR="00920F10" w:rsidRPr="00DE475B" w:rsidRDefault="00920F10" w:rsidP="00920F10">
            <w:pPr>
              <w:snapToGrid w:val="0"/>
              <w:rPr>
                <w:rFonts w:ascii="Arial" w:hAnsi="Arial" w:cs="Arial"/>
                <w:sz w:val="20"/>
                <w:szCs w:val="20"/>
              </w:rPr>
            </w:pPr>
          </w:p>
        </w:tc>
        <w:tc>
          <w:tcPr>
            <w:tcW w:w="944" w:type="dxa"/>
            <w:tcBorders>
              <w:top w:val="single" w:sz="8" w:space="0" w:color="000000"/>
              <w:bottom w:val="single" w:sz="12" w:space="0" w:color="000000"/>
            </w:tcBorders>
            <w:shd w:val="clear" w:color="auto" w:fill="auto"/>
            <w:vAlign w:val="bottom"/>
          </w:tcPr>
          <w:p w:rsidR="00920F10" w:rsidRPr="00DE475B" w:rsidRDefault="00920F10" w:rsidP="00920F10">
            <w:pPr>
              <w:jc w:val="right"/>
              <w:rPr>
                <w:rFonts w:ascii="Arial" w:hAnsi="Arial" w:cs="Arial"/>
                <w:sz w:val="20"/>
                <w:szCs w:val="20"/>
              </w:rPr>
            </w:pPr>
            <w:r>
              <w:rPr>
                <w:rFonts w:ascii="Arial" w:hAnsi="Arial" w:cs="Arial"/>
                <w:sz w:val="20"/>
                <w:szCs w:val="20"/>
              </w:rPr>
              <w:t>2,746</w:t>
            </w:r>
          </w:p>
        </w:tc>
        <w:tc>
          <w:tcPr>
            <w:tcW w:w="944" w:type="dxa"/>
            <w:tcBorders>
              <w:top w:val="single" w:sz="8" w:space="0" w:color="000000"/>
              <w:bottom w:val="single" w:sz="12" w:space="0" w:color="000000"/>
            </w:tcBorders>
            <w:shd w:val="clear" w:color="auto" w:fill="auto"/>
            <w:vAlign w:val="bottom"/>
          </w:tcPr>
          <w:p w:rsidR="00920F10" w:rsidRPr="00DE475B" w:rsidRDefault="00920F10" w:rsidP="00920F10">
            <w:pPr>
              <w:jc w:val="right"/>
              <w:rPr>
                <w:rFonts w:ascii="Arial" w:hAnsi="Arial" w:cs="Arial"/>
                <w:sz w:val="20"/>
                <w:szCs w:val="20"/>
              </w:rPr>
            </w:pPr>
            <w:r w:rsidRPr="00DE475B">
              <w:rPr>
                <w:rFonts w:ascii="Arial" w:hAnsi="Arial" w:cs="Arial"/>
                <w:sz w:val="20"/>
                <w:szCs w:val="20"/>
              </w:rPr>
              <w:t>2,758</w:t>
            </w:r>
          </w:p>
        </w:tc>
        <w:tc>
          <w:tcPr>
            <w:tcW w:w="944" w:type="dxa"/>
            <w:tcBorders>
              <w:top w:val="single" w:sz="8" w:space="0" w:color="000000"/>
              <w:bottom w:val="single" w:sz="12" w:space="0" w:color="000000"/>
            </w:tcBorders>
            <w:shd w:val="clear" w:color="auto" w:fill="auto"/>
            <w:vAlign w:val="bottom"/>
          </w:tcPr>
          <w:p w:rsidR="00920F10" w:rsidRPr="00DE475B" w:rsidRDefault="00920F10" w:rsidP="00920F10">
            <w:pPr>
              <w:jc w:val="right"/>
              <w:rPr>
                <w:rFonts w:ascii="Arial" w:hAnsi="Arial" w:cs="Arial"/>
                <w:sz w:val="20"/>
                <w:szCs w:val="20"/>
              </w:rPr>
            </w:pPr>
            <w:r>
              <w:rPr>
                <w:rFonts w:ascii="Arial" w:hAnsi="Arial" w:cs="Arial"/>
                <w:sz w:val="20"/>
                <w:szCs w:val="20"/>
              </w:rPr>
              <w:t>2,746</w:t>
            </w:r>
          </w:p>
        </w:tc>
        <w:tc>
          <w:tcPr>
            <w:tcW w:w="944" w:type="dxa"/>
            <w:tcBorders>
              <w:top w:val="single" w:sz="8" w:space="0" w:color="000000"/>
              <w:bottom w:val="single" w:sz="12" w:space="0" w:color="000000"/>
            </w:tcBorders>
            <w:shd w:val="clear" w:color="auto" w:fill="auto"/>
            <w:vAlign w:val="bottom"/>
          </w:tcPr>
          <w:p w:rsidR="00920F10" w:rsidRPr="00DE475B" w:rsidRDefault="00920F10" w:rsidP="00920F10">
            <w:pPr>
              <w:jc w:val="right"/>
              <w:rPr>
                <w:rFonts w:ascii="Arial" w:hAnsi="Arial" w:cs="Arial"/>
                <w:sz w:val="20"/>
                <w:szCs w:val="20"/>
              </w:rPr>
            </w:pPr>
            <w:r w:rsidRPr="00DE475B">
              <w:rPr>
                <w:rFonts w:ascii="Arial" w:hAnsi="Arial" w:cs="Arial"/>
                <w:sz w:val="20"/>
                <w:szCs w:val="20"/>
              </w:rPr>
              <w:t>2,758</w:t>
            </w:r>
          </w:p>
        </w:tc>
      </w:tr>
    </w:tbl>
    <w:p w:rsidR="0009209A" w:rsidRPr="00DE475B" w:rsidRDefault="0009209A" w:rsidP="0009209A">
      <w:pPr>
        <w:pStyle w:val="ARheading3"/>
        <w:tabs>
          <w:tab w:val="left" w:pos="851"/>
        </w:tabs>
        <w:rPr>
          <w:color w:val="808080"/>
          <w:sz w:val="16"/>
          <w:szCs w:val="16"/>
        </w:rPr>
      </w:pPr>
    </w:p>
    <w:p w:rsidR="00F46536" w:rsidRPr="00F46536" w:rsidRDefault="00F46536" w:rsidP="00F46536">
      <w:pPr>
        <w:suppressAutoHyphens w:val="0"/>
        <w:autoSpaceDE/>
        <w:rPr>
          <w:rFonts w:ascii="Arial" w:hAnsi="Arial" w:cs="Arial"/>
          <w:i/>
          <w:iCs/>
          <w:sz w:val="20"/>
          <w:szCs w:val="20"/>
        </w:rPr>
      </w:pPr>
      <w:r>
        <w:rPr>
          <w:rFonts w:ascii="Arial" w:hAnsi="Arial" w:cs="Arial"/>
          <w:i/>
          <w:iCs/>
          <w:sz w:val="20"/>
          <w:szCs w:val="20"/>
        </w:rPr>
        <w:t>Accounting Policy —</w:t>
      </w:r>
      <w:r w:rsidRPr="00F46536">
        <w:rPr>
          <w:rFonts w:ascii="Arial" w:hAnsi="Arial" w:cs="Arial"/>
          <w:i/>
          <w:iCs/>
          <w:sz w:val="20"/>
          <w:szCs w:val="20"/>
        </w:rPr>
        <w:t xml:space="preserve"> Accrued Employee Benefits</w:t>
      </w:r>
    </w:p>
    <w:p w:rsidR="00F46536" w:rsidRPr="00F46536" w:rsidRDefault="00F46536" w:rsidP="00F46536">
      <w:pPr>
        <w:spacing w:after="120"/>
        <w:rPr>
          <w:rFonts w:ascii="Arial" w:hAnsi="Arial" w:cs="Arial"/>
          <w:spacing w:val="-2"/>
          <w:sz w:val="20"/>
          <w:szCs w:val="20"/>
        </w:rPr>
      </w:pPr>
      <w:r w:rsidRPr="00F46536">
        <w:rPr>
          <w:rFonts w:ascii="Arial" w:hAnsi="Arial" w:cs="Arial"/>
          <w:spacing w:val="-2"/>
          <w:sz w:val="20"/>
          <w:szCs w:val="20"/>
        </w:rPr>
        <w:t xml:space="preserve">No provision for long service leave is recognised in the financial statements as the liability is held on whole-of-government basis and reported in those financial statements pursuant to </w:t>
      </w:r>
      <w:proofErr w:type="spellStart"/>
      <w:r w:rsidRPr="00F46536">
        <w:rPr>
          <w:rFonts w:ascii="Arial" w:hAnsi="Arial" w:cs="Arial"/>
          <w:spacing w:val="-2"/>
          <w:sz w:val="20"/>
          <w:szCs w:val="20"/>
        </w:rPr>
        <w:t>AASB</w:t>
      </w:r>
      <w:proofErr w:type="spellEnd"/>
      <w:r w:rsidRPr="00F46536">
        <w:rPr>
          <w:rFonts w:ascii="Arial" w:hAnsi="Arial" w:cs="Arial"/>
          <w:spacing w:val="-2"/>
          <w:sz w:val="20"/>
          <w:szCs w:val="20"/>
        </w:rPr>
        <w:t xml:space="preserve"> 1049 </w:t>
      </w:r>
      <w:r w:rsidRPr="00F46536">
        <w:rPr>
          <w:rFonts w:ascii="Arial" w:hAnsi="Arial" w:cs="Arial"/>
          <w:i/>
          <w:spacing w:val="-2"/>
          <w:sz w:val="20"/>
          <w:szCs w:val="20"/>
        </w:rPr>
        <w:t>Whole of Government and General Government Sector Financial Reporting</w:t>
      </w:r>
      <w:r w:rsidRPr="00F46536">
        <w:rPr>
          <w:rFonts w:ascii="Arial" w:hAnsi="Arial" w:cs="Arial"/>
          <w:spacing w:val="-2"/>
          <w:sz w:val="20"/>
          <w:szCs w:val="20"/>
        </w:rPr>
        <w:t>.</w:t>
      </w:r>
    </w:p>
    <w:p w:rsidR="0009209A" w:rsidRDefault="0009209A" w:rsidP="0079186F">
      <w:pPr>
        <w:pStyle w:val="ARheading3"/>
        <w:tabs>
          <w:tab w:val="left" w:pos="851"/>
        </w:tabs>
        <w:spacing w:before="120" w:after="120"/>
        <w:rPr>
          <w:color w:val="808080"/>
        </w:rPr>
      </w:pPr>
      <w:r w:rsidRPr="00DE475B">
        <w:rPr>
          <w:color w:val="808080"/>
        </w:rPr>
        <w:t>C7 Equity</w:t>
      </w:r>
    </w:p>
    <w:p w:rsidR="00ED705F" w:rsidRPr="00DE475B" w:rsidRDefault="00ED705F" w:rsidP="00652F6C">
      <w:pPr>
        <w:rPr>
          <w:rFonts w:ascii="Arial" w:hAnsi="Arial" w:cs="Arial"/>
          <w:spacing w:val="-4"/>
          <w:sz w:val="20"/>
          <w:szCs w:val="20"/>
        </w:rPr>
      </w:pPr>
      <w:r w:rsidRPr="00DE475B">
        <w:rPr>
          <w:rFonts w:ascii="Arial" w:hAnsi="Arial" w:cs="Arial"/>
          <w:b/>
          <w:bCs/>
          <w:sz w:val="20"/>
          <w:szCs w:val="20"/>
        </w:rPr>
        <w:t xml:space="preserve">C7-1 </w:t>
      </w:r>
      <w:r w:rsidRPr="00ED705F">
        <w:rPr>
          <w:rFonts w:ascii="Arial" w:hAnsi="Arial" w:cs="Arial"/>
          <w:b/>
          <w:bCs/>
          <w:color w:val="auto"/>
          <w:sz w:val="20"/>
          <w:szCs w:val="20"/>
          <w:lang w:eastAsia="en-AU"/>
        </w:rPr>
        <w:t>Contributed Equity</w:t>
      </w:r>
      <w:r w:rsidRPr="00DE475B">
        <w:rPr>
          <w:rFonts w:ascii="Arial" w:hAnsi="Arial" w:cs="Arial"/>
          <w:b/>
          <w:bCs/>
          <w:sz w:val="20"/>
          <w:szCs w:val="20"/>
        </w:rPr>
        <w:t xml:space="preserve"> </w:t>
      </w:r>
    </w:p>
    <w:p w:rsidR="00ED705F" w:rsidRPr="00ED705F" w:rsidRDefault="00ED705F" w:rsidP="00ED705F">
      <w:pPr>
        <w:suppressAutoHyphens w:val="0"/>
        <w:autoSpaceDE/>
        <w:rPr>
          <w:rFonts w:ascii="Arial" w:hAnsi="Arial" w:cs="Arial"/>
          <w:i/>
          <w:iCs/>
          <w:sz w:val="20"/>
          <w:szCs w:val="20"/>
        </w:rPr>
      </w:pPr>
      <w:r w:rsidRPr="00ED705F">
        <w:rPr>
          <w:rFonts w:ascii="Arial" w:hAnsi="Arial" w:cs="Arial"/>
          <w:i/>
          <w:iCs/>
          <w:sz w:val="20"/>
          <w:szCs w:val="20"/>
        </w:rPr>
        <w:t>Accounting Policy — Contributed Equity</w:t>
      </w:r>
    </w:p>
    <w:p w:rsidR="00ED705F" w:rsidRPr="00ED705F" w:rsidRDefault="00ED705F" w:rsidP="00ED705F">
      <w:pPr>
        <w:spacing w:after="40"/>
        <w:rPr>
          <w:rFonts w:ascii="Arial" w:hAnsi="Arial" w:cs="Arial"/>
          <w:spacing w:val="-4"/>
          <w:sz w:val="20"/>
          <w:szCs w:val="20"/>
        </w:rPr>
      </w:pPr>
      <w:r w:rsidRPr="00ED705F">
        <w:rPr>
          <w:rFonts w:ascii="Arial" w:hAnsi="Arial" w:cs="Arial"/>
          <w:spacing w:val="-4"/>
          <w:sz w:val="20"/>
          <w:szCs w:val="20"/>
        </w:rPr>
        <w:t xml:space="preserve">Interpretation 1038 </w:t>
      </w:r>
      <w:r w:rsidRPr="00ED705F">
        <w:rPr>
          <w:rFonts w:ascii="Arial" w:hAnsi="Arial" w:cs="Arial"/>
          <w:i/>
          <w:spacing w:val="-4"/>
          <w:sz w:val="20"/>
          <w:szCs w:val="20"/>
        </w:rPr>
        <w:t>Contributions by Owners Made to Wholly Owned Public Sector Entities</w:t>
      </w:r>
      <w:r w:rsidRPr="00ED705F">
        <w:rPr>
          <w:rFonts w:ascii="Arial" w:hAnsi="Arial" w:cs="Arial"/>
          <w:spacing w:val="-4"/>
          <w:sz w:val="20"/>
          <w:szCs w:val="20"/>
        </w:rPr>
        <w:t xml:space="preserve"> specifies the principles for recognising contributed equity by the Library Board. The following items are recognised as contributed equity by the Library Board during the reporting and comparative years:</w:t>
      </w:r>
    </w:p>
    <w:p w:rsidR="00ED705F" w:rsidRPr="00ED705F" w:rsidRDefault="00ED705F" w:rsidP="00ED705F">
      <w:pPr>
        <w:numPr>
          <w:ilvl w:val="0"/>
          <w:numId w:val="5"/>
        </w:numPr>
        <w:tabs>
          <w:tab w:val="left" w:pos="284"/>
          <w:tab w:val="left" w:pos="360"/>
        </w:tabs>
        <w:ind w:left="284" w:hanging="284"/>
        <w:rPr>
          <w:rFonts w:ascii="Arial" w:hAnsi="Arial" w:cs="Arial"/>
          <w:sz w:val="20"/>
          <w:szCs w:val="20"/>
        </w:rPr>
      </w:pPr>
      <w:r w:rsidRPr="00ED705F">
        <w:rPr>
          <w:rFonts w:ascii="Arial" w:hAnsi="Arial" w:cs="Arial"/>
          <w:sz w:val="20"/>
          <w:szCs w:val="20"/>
        </w:rPr>
        <w:t xml:space="preserve">Appropriations for equity adjustments </w:t>
      </w:r>
    </w:p>
    <w:p w:rsidR="00ED705F" w:rsidRPr="00ED705F" w:rsidRDefault="00ED705F" w:rsidP="00ED705F">
      <w:pPr>
        <w:numPr>
          <w:ilvl w:val="0"/>
          <w:numId w:val="5"/>
        </w:numPr>
        <w:tabs>
          <w:tab w:val="left" w:pos="284"/>
          <w:tab w:val="left" w:pos="360"/>
        </w:tabs>
        <w:ind w:left="284" w:hanging="284"/>
        <w:rPr>
          <w:rFonts w:ascii="Arial" w:hAnsi="Arial" w:cs="Arial"/>
          <w:color w:val="auto"/>
          <w:sz w:val="20"/>
          <w:szCs w:val="20"/>
          <w:lang w:eastAsia="en-AU"/>
        </w:rPr>
      </w:pPr>
      <w:r w:rsidRPr="00ED705F">
        <w:rPr>
          <w:rFonts w:ascii="Arial" w:hAnsi="Arial" w:cs="Arial"/>
          <w:sz w:val="20"/>
          <w:szCs w:val="20"/>
        </w:rPr>
        <w:t>Non-reciprocal transfers of assets and liabilities between wholly-owned Queensland State</w:t>
      </w:r>
      <w:r w:rsidRPr="00ED705F">
        <w:rPr>
          <w:rFonts w:ascii="Arial" w:hAnsi="Arial" w:cs="Arial"/>
          <w:color w:val="auto"/>
          <w:sz w:val="20"/>
          <w:szCs w:val="20"/>
          <w:lang w:eastAsia="en-AU"/>
        </w:rPr>
        <w:t xml:space="preserve"> Public Sector entities as a result of machinery-of-Government changes</w:t>
      </w:r>
      <w:r>
        <w:rPr>
          <w:rFonts w:ascii="Arial" w:hAnsi="Arial" w:cs="Arial"/>
          <w:color w:val="auto"/>
          <w:sz w:val="20"/>
          <w:szCs w:val="20"/>
          <w:lang w:eastAsia="en-AU"/>
        </w:rPr>
        <w:t>.</w:t>
      </w:r>
    </w:p>
    <w:p w:rsidR="00ED705F" w:rsidRPr="00ED705F" w:rsidRDefault="00ED705F" w:rsidP="00ED705F">
      <w:pPr>
        <w:suppressAutoHyphens w:val="0"/>
        <w:autoSpaceDE/>
        <w:rPr>
          <w:rFonts w:ascii="Arial" w:hAnsi="Arial" w:cs="Arial"/>
          <w:color w:val="auto"/>
          <w:sz w:val="20"/>
          <w:szCs w:val="20"/>
          <w:lang w:eastAsia="en-AU"/>
        </w:rPr>
      </w:pPr>
    </w:p>
    <w:p w:rsidR="00ED705F" w:rsidRPr="00DE475B" w:rsidRDefault="00ED705F" w:rsidP="0079186F">
      <w:pPr>
        <w:pStyle w:val="ARheading3"/>
        <w:tabs>
          <w:tab w:val="left" w:pos="851"/>
        </w:tabs>
        <w:spacing w:before="120" w:after="120"/>
        <w:rPr>
          <w:color w:val="808080"/>
        </w:rPr>
        <w:sectPr w:rsidR="00ED705F" w:rsidRPr="00DE475B" w:rsidSect="00B53922">
          <w:type w:val="continuous"/>
          <w:pgSz w:w="11906" w:h="16838"/>
          <w:pgMar w:top="1440" w:right="1701" w:bottom="1440" w:left="1701" w:header="680" w:footer="680" w:gutter="0"/>
          <w:cols w:space="720"/>
          <w:docGrid w:linePitch="360"/>
        </w:sectPr>
      </w:pPr>
    </w:p>
    <w:p w:rsidR="0009209A" w:rsidRPr="00DE475B" w:rsidRDefault="00ED705F" w:rsidP="00ED705F">
      <w:pPr>
        <w:spacing w:after="80"/>
        <w:rPr>
          <w:rFonts w:ascii="Arial" w:hAnsi="Arial" w:cs="Arial"/>
          <w:spacing w:val="-4"/>
          <w:sz w:val="20"/>
          <w:szCs w:val="20"/>
        </w:rPr>
      </w:pPr>
      <w:r>
        <w:rPr>
          <w:rFonts w:ascii="Arial" w:hAnsi="Arial" w:cs="Arial"/>
          <w:b/>
          <w:bCs/>
          <w:sz w:val="20"/>
          <w:szCs w:val="20"/>
        </w:rPr>
        <w:lastRenderedPageBreak/>
        <w:t>C7-2</w:t>
      </w:r>
      <w:r w:rsidR="0009209A" w:rsidRPr="00DE475B">
        <w:rPr>
          <w:rFonts w:ascii="Arial" w:hAnsi="Arial" w:cs="Arial"/>
          <w:b/>
          <w:bCs/>
          <w:sz w:val="20"/>
          <w:szCs w:val="20"/>
        </w:rPr>
        <w:t xml:space="preserve"> Asset </w:t>
      </w:r>
      <w:r w:rsidR="0009209A" w:rsidRPr="00DE475B">
        <w:rPr>
          <w:rFonts w:ascii="Arial" w:hAnsi="Arial" w:cs="Arial"/>
          <w:b/>
          <w:sz w:val="20"/>
          <w:szCs w:val="20"/>
        </w:rPr>
        <w:t>revaluation surplus by class</w:t>
      </w:r>
    </w:p>
    <w:tbl>
      <w:tblPr>
        <w:tblW w:w="8647" w:type="dxa"/>
        <w:tblInd w:w="108" w:type="dxa"/>
        <w:tblLayout w:type="fixed"/>
        <w:tblLook w:val="0000" w:firstRow="0" w:lastRow="0" w:firstColumn="0" w:lastColumn="0" w:noHBand="0" w:noVBand="0"/>
      </w:tblPr>
      <w:tblGrid>
        <w:gridCol w:w="3484"/>
        <w:gridCol w:w="202"/>
        <w:gridCol w:w="1701"/>
        <w:gridCol w:w="1984"/>
        <w:gridCol w:w="1276"/>
      </w:tblGrid>
      <w:tr w:rsidR="0009209A" w:rsidRPr="00DE475B" w:rsidTr="001A060A">
        <w:trPr>
          <w:trHeight w:val="240"/>
        </w:trPr>
        <w:tc>
          <w:tcPr>
            <w:tcW w:w="3686" w:type="dxa"/>
            <w:gridSpan w:val="2"/>
            <w:shd w:val="clear" w:color="auto" w:fill="auto"/>
            <w:vAlign w:val="bottom"/>
          </w:tcPr>
          <w:p w:rsidR="0009209A" w:rsidRPr="00DE475B" w:rsidRDefault="0009209A" w:rsidP="008F6CA0">
            <w:pPr>
              <w:snapToGrid w:val="0"/>
              <w:rPr>
                <w:rFonts w:ascii="Arial" w:hAnsi="Arial" w:cs="Arial"/>
                <w:sz w:val="20"/>
                <w:szCs w:val="20"/>
              </w:rPr>
            </w:pPr>
          </w:p>
        </w:tc>
        <w:tc>
          <w:tcPr>
            <w:tcW w:w="4961" w:type="dxa"/>
            <w:gridSpan w:val="3"/>
            <w:shd w:val="clear" w:color="auto" w:fill="auto"/>
          </w:tcPr>
          <w:p w:rsidR="0009209A" w:rsidRPr="00DE475B" w:rsidRDefault="0009209A" w:rsidP="008F6CA0">
            <w:pPr>
              <w:snapToGrid w:val="0"/>
              <w:jc w:val="center"/>
              <w:rPr>
                <w:rFonts w:ascii="Arial" w:hAnsi="Arial" w:cs="Arial"/>
                <w:b/>
                <w:bCs/>
                <w:sz w:val="20"/>
                <w:szCs w:val="20"/>
              </w:rPr>
            </w:pPr>
            <w:r w:rsidRPr="00DE475B">
              <w:rPr>
                <w:rFonts w:ascii="Arial" w:hAnsi="Arial" w:cs="Arial"/>
                <w:b/>
                <w:bCs/>
                <w:sz w:val="20"/>
                <w:szCs w:val="20"/>
              </w:rPr>
              <w:t>Economic and Parent Entity</w:t>
            </w:r>
          </w:p>
        </w:tc>
      </w:tr>
      <w:tr w:rsidR="0009209A" w:rsidRPr="00DE475B" w:rsidTr="001A060A">
        <w:trPr>
          <w:trHeight w:val="442"/>
        </w:trPr>
        <w:tc>
          <w:tcPr>
            <w:tcW w:w="3484" w:type="dxa"/>
            <w:shd w:val="clear" w:color="auto" w:fill="auto"/>
            <w:vAlign w:val="bottom"/>
          </w:tcPr>
          <w:p w:rsidR="0009209A" w:rsidRPr="00DE475B" w:rsidRDefault="0009209A" w:rsidP="008F6CA0">
            <w:pPr>
              <w:snapToGrid w:val="0"/>
              <w:rPr>
                <w:rFonts w:ascii="Arial" w:hAnsi="Arial" w:cs="Arial"/>
                <w:sz w:val="20"/>
                <w:szCs w:val="20"/>
              </w:rPr>
            </w:pPr>
          </w:p>
        </w:tc>
        <w:tc>
          <w:tcPr>
            <w:tcW w:w="1903" w:type="dxa"/>
            <w:gridSpan w:val="2"/>
            <w:shd w:val="clear" w:color="auto" w:fill="auto"/>
            <w:vAlign w:val="bottom"/>
          </w:tcPr>
          <w:p w:rsidR="0009209A" w:rsidRPr="00DE475B" w:rsidRDefault="0009209A" w:rsidP="008F6CA0">
            <w:pPr>
              <w:jc w:val="right"/>
              <w:rPr>
                <w:rFonts w:ascii="Arial" w:hAnsi="Arial" w:cs="Arial"/>
                <w:b/>
                <w:bCs/>
                <w:sz w:val="20"/>
                <w:szCs w:val="20"/>
              </w:rPr>
            </w:pPr>
            <w:r w:rsidRPr="00DE475B">
              <w:rPr>
                <w:rFonts w:ascii="Arial" w:hAnsi="Arial" w:cs="Arial"/>
                <w:b/>
                <w:bCs/>
                <w:sz w:val="20"/>
                <w:szCs w:val="20"/>
              </w:rPr>
              <w:t>Library Collections</w:t>
            </w:r>
          </w:p>
        </w:tc>
        <w:tc>
          <w:tcPr>
            <w:tcW w:w="1984" w:type="dxa"/>
            <w:shd w:val="clear" w:color="auto" w:fill="auto"/>
            <w:vAlign w:val="bottom"/>
          </w:tcPr>
          <w:p w:rsidR="0009209A" w:rsidRPr="00DE475B" w:rsidRDefault="0009209A" w:rsidP="008F6CA0">
            <w:pPr>
              <w:jc w:val="right"/>
              <w:rPr>
                <w:rFonts w:ascii="Arial" w:hAnsi="Arial" w:cs="Arial"/>
                <w:b/>
                <w:bCs/>
                <w:sz w:val="20"/>
                <w:szCs w:val="20"/>
              </w:rPr>
            </w:pPr>
            <w:r w:rsidRPr="00DE475B">
              <w:rPr>
                <w:rFonts w:ascii="Arial" w:hAnsi="Arial" w:cs="Arial"/>
                <w:b/>
                <w:bCs/>
                <w:sz w:val="20"/>
                <w:szCs w:val="20"/>
              </w:rPr>
              <w:t>Heritage and Cultural Assets</w:t>
            </w:r>
          </w:p>
        </w:tc>
        <w:tc>
          <w:tcPr>
            <w:tcW w:w="1276" w:type="dxa"/>
            <w:shd w:val="clear" w:color="auto" w:fill="auto"/>
            <w:vAlign w:val="bottom"/>
          </w:tcPr>
          <w:p w:rsidR="0009209A" w:rsidRPr="00DE475B" w:rsidRDefault="0009209A" w:rsidP="008F6CA0">
            <w:pPr>
              <w:jc w:val="right"/>
              <w:rPr>
                <w:rFonts w:ascii="Arial" w:hAnsi="Arial" w:cs="Arial"/>
                <w:sz w:val="20"/>
                <w:szCs w:val="20"/>
              </w:rPr>
            </w:pPr>
            <w:r w:rsidRPr="00DE475B">
              <w:rPr>
                <w:rFonts w:ascii="Arial" w:hAnsi="Arial" w:cs="Arial"/>
                <w:b/>
                <w:bCs/>
                <w:sz w:val="20"/>
                <w:szCs w:val="20"/>
              </w:rPr>
              <w:t>Total</w:t>
            </w:r>
          </w:p>
        </w:tc>
      </w:tr>
      <w:tr w:rsidR="0009209A" w:rsidRPr="00DE475B" w:rsidTr="001A060A">
        <w:trPr>
          <w:trHeight w:val="240"/>
        </w:trPr>
        <w:tc>
          <w:tcPr>
            <w:tcW w:w="3484" w:type="dxa"/>
            <w:shd w:val="clear" w:color="auto" w:fill="auto"/>
            <w:vAlign w:val="bottom"/>
          </w:tcPr>
          <w:p w:rsidR="0009209A" w:rsidRPr="00DE475B" w:rsidRDefault="0009209A" w:rsidP="008F6CA0">
            <w:pPr>
              <w:snapToGrid w:val="0"/>
              <w:jc w:val="center"/>
              <w:rPr>
                <w:rFonts w:ascii="Arial" w:hAnsi="Arial" w:cs="Arial"/>
                <w:b/>
                <w:bCs/>
                <w:sz w:val="20"/>
                <w:szCs w:val="20"/>
              </w:rPr>
            </w:pPr>
          </w:p>
        </w:tc>
        <w:tc>
          <w:tcPr>
            <w:tcW w:w="1903" w:type="dxa"/>
            <w:gridSpan w:val="2"/>
            <w:shd w:val="clear" w:color="auto" w:fill="auto"/>
            <w:vAlign w:val="bottom"/>
          </w:tcPr>
          <w:p w:rsidR="0009209A" w:rsidRPr="00DE475B" w:rsidRDefault="00ED705F" w:rsidP="008F6CA0">
            <w:pPr>
              <w:jc w:val="right"/>
              <w:rPr>
                <w:rFonts w:ascii="Arial" w:hAnsi="Arial" w:cs="Arial"/>
                <w:b/>
                <w:bCs/>
                <w:sz w:val="20"/>
                <w:szCs w:val="20"/>
              </w:rPr>
            </w:pPr>
            <w:r>
              <w:rPr>
                <w:rFonts w:ascii="Arial" w:hAnsi="Arial" w:cs="Arial"/>
                <w:b/>
                <w:bCs/>
                <w:sz w:val="20"/>
                <w:szCs w:val="20"/>
              </w:rPr>
              <w:t>2016</w:t>
            </w:r>
          </w:p>
        </w:tc>
        <w:tc>
          <w:tcPr>
            <w:tcW w:w="1984" w:type="dxa"/>
            <w:shd w:val="clear" w:color="auto" w:fill="auto"/>
            <w:vAlign w:val="bottom"/>
          </w:tcPr>
          <w:p w:rsidR="0009209A" w:rsidRPr="00DE475B" w:rsidRDefault="00ED705F" w:rsidP="008F6CA0">
            <w:pPr>
              <w:jc w:val="right"/>
              <w:rPr>
                <w:rFonts w:ascii="Arial" w:hAnsi="Arial" w:cs="Arial"/>
                <w:b/>
                <w:bCs/>
                <w:sz w:val="20"/>
                <w:szCs w:val="20"/>
              </w:rPr>
            </w:pPr>
            <w:r>
              <w:rPr>
                <w:rFonts w:ascii="Arial" w:hAnsi="Arial" w:cs="Arial"/>
                <w:b/>
                <w:bCs/>
                <w:sz w:val="20"/>
                <w:szCs w:val="20"/>
              </w:rPr>
              <w:t>2016</w:t>
            </w:r>
          </w:p>
        </w:tc>
        <w:tc>
          <w:tcPr>
            <w:tcW w:w="1276" w:type="dxa"/>
            <w:shd w:val="clear" w:color="auto" w:fill="auto"/>
            <w:vAlign w:val="bottom"/>
          </w:tcPr>
          <w:p w:rsidR="0009209A" w:rsidRPr="00DE475B" w:rsidRDefault="00ED705F" w:rsidP="008F6CA0">
            <w:pPr>
              <w:jc w:val="right"/>
              <w:rPr>
                <w:rFonts w:ascii="Arial" w:hAnsi="Arial" w:cs="Arial"/>
                <w:b/>
                <w:bCs/>
                <w:sz w:val="20"/>
                <w:szCs w:val="20"/>
              </w:rPr>
            </w:pPr>
            <w:r>
              <w:rPr>
                <w:rFonts w:ascii="Arial" w:hAnsi="Arial" w:cs="Arial"/>
                <w:b/>
                <w:bCs/>
                <w:sz w:val="20"/>
                <w:szCs w:val="20"/>
              </w:rPr>
              <w:t>2016</w:t>
            </w:r>
          </w:p>
        </w:tc>
      </w:tr>
      <w:tr w:rsidR="0009209A" w:rsidRPr="00DE475B" w:rsidTr="001A060A">
        <w:trPr>
          <w:trHeight w:val="240"/>
        </w:trPr>
        <w:tc>
          <w:tcPr>
            <w:tcW w:w="3484" w:type="dxa"/>
            <w:shd w:val="clear" w:color="auto" w:fill="auto"/>
            <w:vAlign w:val="bottom"/>
          </w:tcPr>
          <w:p w:rsidR="0009209A" w:rsidRPr="00DE475B" w:rsidRDefault="0009209A" w:rsidP="008F6CA0">
            <w:pPr>
              <w:snapToGrid w:val="0"/>
              <w:jc w:val="center"/>
              <w:rPr>
                <w:rFonts w:ascii="Arial" w:hAnsi="Arial" w:cs="Arial"/>
                <w:b/>
                <w:bCs/>
                <w:sz w:val="20"/>
                <w:szCs w:val="20"/>
              </w:rPr>
            </w:pPr>
          </w:p>
        </w:tc>
        <w:tc>
          <w:tcPr>
            <w:tcW w:w="1903" w:type="dxa"/>
            <w:gridSpan w:val="2"/>
            <w:shd w:val="clear" w:color="auto" w:fill="auto"/>
            <w:vAlign w:val="bottom"/>
          </w:tcPr>
          <w:p w:rsidR="0009209A" w:rsidRPr="00DE475B" w:rsidRDefault="0009209A" w:rsidP="008F6CA0">
            <w:pPr>
              <w:jc w:val="right"/>
              <w:rPr>
                <w:rFonts w:ascii="Arial" w:hAnsi="Arial" w:cs="Arial"/>
                <w:b/>
                <w:bCs/>
                <w:sz w:val="20"/>
                <w:szCs w:val="20"/>
              </w:rPr>
            </w:pPr>
            <w:r w:rsidRPr="00DE475B">
              <w:rPr>
                <w:rFonts w:ascii="Arial" w:hAnsi="Arial" w:cs="Arial"/>
                <w:b/>
                <w:bCs/>
                <w:sz w:val="20"/>
                <w:szCs w:val="20"/>
              </w:rPr>
              <w:t>$'000</w:t>
            </w:r>
          </w:p>
        </w:tc>
        <w:tc>
          <w:tcPr>
            <w:tcW w:w="1984" w:type="dxa"/>
            <w:shd w:val="clear" w:color="auto" w:fill="auto"/>
            <w:vAlign w:val="bottom"/>
          </w:tcPr>
          <w:p w:rsidR="0009209A" w:rsidRPr="00DE475B" w:rsidRDefault="0009209A" w:rsidP="008F6CA0">
            <w:pPr>
              <w:jc w:val="right"/>
              <w:rPr>
                <w:rFonts w:ascii="Arial" w:hAnsi="Arial" w:cs="Arial"/>
                <w:b/>
                <w:bCs/>
                <w:sz w:val="20"/>
                <w:szCs w:val="20"/>
              </w:rPr>
            </w:pPr>
            <w:r w:rsidRPr="00DE475B">
              <w:rPr>
                <w:rFonts w:ascii="Arial" w:hAnsi="Arial" w:cs="Arial"/>
                <w:b/>
                <w:bCs/>
                <w:sz w:val="20"/>
                <w:szCs w:val="20"/>
              </w:rPr>
              <w:t>$'000</w:t>
            </w:r>
          </w:p>
        </w:tc>
        <w:tc>
          <w:tcPr>
            <w:tcW w:w="1276" w:type="dxa"/>
            <w:shd w:val="clear" w:color="auto" w:fill="auto"/>
            <w:vAlign w:val="bottom"/>
          </w:tcPr>
          <w:p w:rsidR="0009209A" w:rsidRPr="00DE475B" w:rsidRDefault="0009209A" w:rsidP="008F6CA0">
            <w:pPr>
              <w:jc w:val="right"/>
              <w:rPr>
                <w:rFonts w:ascii="Arial" w:hAnsi="Arial" w:cs="Arial"/>
                <w:b/>
                <w:bCs/>
                <w:sz w:val="20"/>
                <w:szCs w:val="20"/>
              </w:rPr>
            </w:pPr>
            <w:r w:rsidRPr="00DE475B">
              <w:rPr>
                <w:rFonts w:ascii="Arial" w:hAnsi="Arial" w:cs="Arial"/>
                <w:b/>
                <w:bCs/>
                <w:sz w:val="20"/>
                <w:szCs w:val="20"/>
              </w:rPr>
              <w:t>$'000</w:t>
            </w:r>
          </w:p>
        </w:tc>
      </w:tr>
      <w:tr w:rsidR="00ED705F" w:rsidRPr="00DE475B" w:rsidTr="001A060A">
        <w:trPr>
          <w:trHeight w:val="255"/>
        </w:trPr>
        <w:tc>
          <w:tcPr>
            <w:tcW w:w="3484" w:type="dxa"/>
            <w:shd w:val="clear" w:color="auto" w:fill="auto"/>
            <w:vAlign w:val="bottom"/>
          </w:tcPr>
          <w:p w:rsidR="00ED705F" w:rsidRPr="00DE475B" w:rsidRDefault="001A060A" w:rsidP="008F6CA0">
            <w:pPr>
              <w:rPr>
                <w:rFonts w:ascii="Arial" w:hAnsi="Arial" w:cs="Arial"/>
                <w:sz w:val="20"/>
                <w:szCs w:val="20"/>
              </w:rPr>
            </w:pPr>
            <w:r>
              <w:rPr>
                <w:rFonts w:ascii="Arial" w:hAnsi="Arial" w:cs="Arial"/>
                <w:b/>
                <w:bCs/>
                <w:sz w:val="20"/>
                <w:szCs w:val="20"/>
              </w:rPr>
              <w:t>Balance 1 July 2015</w:t>
            </w:r>
          </w:p>
        </w:tc>
        <w:tc>
          <w:tcPr>
            <w:tcW w:w="1903" w:type="dxa"/>
            <w:gridSpan w:val="2"/>
            <w:shd w:val="clear" w:color="auto" w:fill="auto"/>
            <w:vAlign w:val="bottom"/>
          </w:tcPr>
          <w:p w:rsidR="00ED705F" w:rsidRPr="00DE475B" w:rsidRDefault="00ED705F" w:rsidP="00A2292F">
            <w:pPr>
              <w:jc w:val="right"/>
              <w:rPr>
                <w:rFonts w:ascii="Arial" w:hAnsi="Arial" w:cs="Arial"/>
                <w:sz w:val="20"/>
                <w:szCs w:val="20"/>
              </w:rPr>
            </w:pPr>
            <w:r w:rsidRPr="00DE475B">
              <w:rPr>
                <w:rFonts w:ascii="Arial" w:hAnsi="Arial" w:cs="Arial"/>
                <w:sz w:val="20"/>
                <w:szCs w:val="20"/>
              </w:rPr>
              <w:t>2,990</w:t>
            </w:r>
          </w:p>
        </w:tc>
        <w:tc>
          <w:tcPr>
            <w:tcW w:w="1984" w:type="dxa"/>
            <w:shd w:val="clear" w:color="auto" w:fill="auto"/>
            <w:vAlign w:val="bottom"/>
          </w:tcPr>
          <w:p w:rsidR="00ED705F" w:rsidRPr="00DE475B" w:rsidRDefault="00ED705F" w:rsidP="00A2292F">
            <w:pPr>
              <w:jc w:val="right"/>
              <w:rPr>
                <w:rFonts w:ascii="Arial" w:hAnsi="Arial" w:cs="Arial"/>
                <w:sz w:val="20"/>
                <w:szCs w:val="20"/>
              </w:rPr>
            </w:pPr>
            <w:r w:rsidRPr="00DE475B">
              <w:rPr>
                <w:rFonts w:ascii="Arial" w:hAnsi="Arial" w:cs="Arial"/>
                <w:sz w:val="20"/>
                <w:szCs w:val="20"/>
              </w:rPr>
              <w:t>52,369</w:t>
            </w:r>
          </w:p>
        </w:tc>
        <w:tc>
          <w:tcPr>
            <w:tcW w:w="1276" w:type="dxa"/>
            <w:shd w:val="clear" w:color="auto" w:fill="auto"/>
            <w:vAlign w:val="bottom"/>
          </w:tcPr>
          <w:p w:rsidR="00ED705F" w:rsidRPr="00DE475B" w:rsidRDefault="00ED705F" w:rsidP="00A2292F">
            <w:pPr>
              <w:jc w:val="right"/>
              <w:rPr>
                <w:rFonts w:ascii="Arial" w:hAnsi="Arial" w:cs="Arial"/>
                <w:bCs/>
                <w:sz w:val="20"/>
                <w:szCs w:val="20"/>
              </w:rPr>
            </w:pPr>
            <w:r w:rsidRPr="00DE475B">
              <w:rPr>
                <w:rFonts w:ascii="Arial" w:hAnsi="Arial" w:cs="Arial"/>
                <w:bCs/>
                <w:sz w:val="20"/>
                <w:szCs w:val="20"/>
              </w:rPr>
              <w:t>55,359</w:t>
            </w:r>
          </w:p>
        </w:tc>
      </w:tr>
      <w:tr w:rsidR="00ED705F" w:rsidRPr="00DE475B" w:rsidTr="001A060A">
        <w:trPr>
          <w:trHeight w:val="255"/>
        </w:trPr>
        <w:tc>
          <w:tcPr>
            <w:tcW w:w="3484" w:type="dxa"/>
            <w:shd w:val="clear" w:color="auto" w:fill="auto"/>
            <w:vAlign w:val="bottom"/>
          </w:tcPr>
          <w:p w:rsidR="00ED705F" w:rsidRPr="00DE475B" w:rsidRDefault="00ED705F" w:rsidP="008F6CA0">
            <w:pPr>
              <w:rPr>
                <w:rFonts w:ascii="Arial" w:hAnsi="Arial" w:cs="Arial"/>
                <w:sz w:val="20"/>
                <w:szCs w:val="20"/>
              </w:rPr>
            </w:pPr>
            <w:r w:rsidRPr="00DE475B">
              <w:rPr>
                <w:rFonts w:ascii="Arial" w:hAnsi="Arial" w:cs="Arial"/>
                <w:sz w:val="20"/>
                <w:szCs w:val="20"/>
              </w:rPr>
              <w:t>Revaluation increment/(decrement)</w:t>
            </w:r>
          </w:p>
        </w:tc>
        <w:tc>
          <w:tcPr>
            <w:tcW w:w="1903" w:type="dxa"/>
            <w:gridSpan w:val="2"/>
            <w:shd w:val="clear" w:color="auto" w:fill="auto"/>
            <w:vAlign w:val="bottom"/>
          </w:tcPr>
          <w:p w:rsidR="00ED705F" w:rsidRPr="00DE475B" w:rsidRDefault="00ED705F" w:rsidP="00A2292F">
            <w:pPr>
              <w:jc w:val="right"/>
              <w:rPr>
                <w:rFonts w:ascii="Arial" w:hAnsi="Arial" w:cs="Arial"/>
                <w:sz w:val="20"/>
                <w:szCs w:val="20"/>
              </w:rPr>
            </w:pPr>
            <w:r w:rsidRPr="00DE475B">
              <w:rPr>
                <w:rFonts w:ascii="Arial" w:hAnsi="Arial" w:cs="Arial"/>
                <w:sz w:val="20"/>
                <w:szCs w:val="20"/>
              </w:rPr>
              <w:t>214</w:t>
            </w:r>
          </w:p>
        </w:tc>
        <w:tc>
          <w:tcPr>
            <w:tcW w:w="1984" w:type="dxa"/>
            <w:shd w:val="clear" w:color="auto" w:fill="auto"/>
            <w:vAlign w:val="bottom"/>
          </w:tcPr>
          <w:p w:rsidR="00ED705F" w:rsidRPr="00DE475B" w:rsidRDefault="00ED705F" w:rsidP="00A2292F">
            <w:pPr>
              <w:jc w:val="right"/>
              <w:rPr>
                <w:rFonts w:ascii="Arial" w:hAnsi="Arial" w:cs="Arial"/>
                <w:sz w:val="20"/>
                <w:szCs w:val="20"/>
              </w:rPr>
            </w:pPr>
            <w:r w:rsidRPr="00DE475B">
              <w:rPr>
                <w:rFonts w:ascii="Arial" w:hAnsi="Arial" w:cs="Arial"/>
                <w:sz w:val="20"/>
                <w:szCs w:val="20"/>
              </w:rPr>
              <w:t>(867)</w:t>
            </w:r>
          </w:p>
        </w:tc>
        <w:tc>
          <w:tcPr>
            <w:tcW w:w="1276" w:type="dxa"/>
            <w:shd w:val="clear" w:color="auto" w:fill="auto"/>
            <w:vAlign w:val="bottom"/>
          </w:tcPr>
          <w:p w:rsidR="00ED705F" w:rsidRPr="00DE475B" w:rsidRDefault="00ED705F" w:rsidP="00A2292F">
            <w:pPr>
              <w:jc w:val="right"/>
              <w:rPr>
                <w:rFonts w:ascii="Arial" w:hAnsi="Arial" w:cs="Arial"/>
                <w:bCs/>
                <w:sz w:val="20"/>
                <w:szCs w:val="20"/>
              </w:rPr>
            </w:pPr>
            <w:r w:rsidRPr="00DE475B">
              <w:rPr>
                <w:rFonts w:ascii="Arial" w:hAnsi="Arial" w:cs="Arial"/>
                <w:bCs/>
                <w:sz w:val="20"/>
                <w:szCs w:val="20"/>
              </w:rPr>
              <w:t>(653)</w:t>
            </w:r>
          </w:p>
        </w:tc>
      </w:tr>
      <w:tr w:rsidR="00ED705F" w:rsidRPr="00DE475B" w:rsidTr="001A060A">
        <w:trPr>
          <w:trHeight w:val="255"/>
        </w:trPr>
        <w:tc>
          <w:tcPr>
            <w:tcW w:w="3484" w:type="dxa"/>
            <w:shd w:val="clear" w:color="auto" w:fill="auto"/>
            <w:vAlign w:val="bottom"/>
          </w:tcPr>
          <w:p w:rsidR="00ED705F" w:rsidRPr="00DE475B" w:rsidRDefault="00ED705F" w:rsidP="001A060A">
            <w:pPr>
              <w:rPr>
                <w:rFonts w:ascii="Arial" w:hAnsi="Arial" w:cs="Arial"/>
                <w:sz w:val="20"/>
                <w:szCs w:val="20"/>
              </w:rPr>
            </w:pPr>
            <w:r w:rsidRPr="00DE475B">
              <w:rPr>
                <w:rFonts w:ascii="Arial" w:hAnsi="Arial" w:cs="Arial"/>
                <w:b/>
                <w:bCs/>
                <w:sz w:val="20"/>
                <w:szCs w:val="20"/>
              </w:rPr>
              <w:t>Balance 30 June 201</w:t>
            </w:r>
            <w:r w:rsidR="001A060A">
              <w:rPr>
                <w:rFonts w:ascii="Arial" w:hAnsi="Arial" w:cs="Arial"/>
                <w:b/>
                <w:bCs/>
                <w:sz w:val="20"/>
                <w:szCs w:val="20"/>
              </w:rPr>
              <w:t>6</w:t>
            </w:r>
          </w:p>
        </w:tc>
        <w:tc>
          <w:tcPr>
            <w:tcW w:w="1903" w:type="dxa"/>
            <w:gridSpan w:val="2"/>
            <w:tcBorders>
              <w:top w:val="single" w:sz="8" w:space="0" w:color="000000"/>
              <w:bottom w:val="single" w:sz="8" w:space="0" w:color="000000"/>
            </w:tcBorders>
            <w:shd w:val="clear" w:color="auto" w:fill="auto"/>
            <w:vAlign w:val="bottom"/>
          </w:tcPr>
          <w:p w:rsidR="00ED705F" w:rsidRPr="00DE475B" w:rsidRDefault="00ED705F" w:rsidP="00A2292F">
            <w:pPr>
              <w:jc w:val="right"/>
              <w:rPr>
                <w:rFonts w:ascii="Arial" w:hAnsi="Arial" w:cs="Arial"/>
                <w:sz w:val="20"/>
                <w:szCs w:val="20"/>
              </w:rPr>
            </w:pPr>
            <w:r w:rsidRPr="00DE475B">
              <w:rPr>
                <w:rFonts w:ascii="Arial" w:hAnsi="Arial" w:cs="Arial"/>
                <w:sz w:val="20"/>
                <w:szCs w:val="20"/>
              </w:rPr>
              <w:t>3,204</w:t>
            </w:r>
          </w:p>
        </w:tc>
        <w:tc>
          <w:tcPr>
            <w:tcW w:w="1984" w:type="dxa"/>
            <w:tcBorders>
              <w:top w:val="single" w:sz="8" w:space="0" w:color="000000"/>
              <w:bottom w:val="single" w:sz="8" w:space="0" w:color="000000"/>
            </w:tcBorders>
            <w:shd w:val="clear" w:color="auto" w:fill="auto"/>
            <w:vAlign w:val="bottom"/>
          </w:tcPr>
          <w:p w:rsidR="00ED705F" w:rsidRPr="00DE475B" w:rsidRDefault="00ED705F" w:rsidP="00A2292F">
            <w:pPr>
              <w:jc w:val="right"/>
              <w:rPr>
                <w:rFonts w:ascii="Arial" w:hAnsi="Arial" w:cs="Arial"/>
                <w:sz w:val="20"/>
                <w:szCs w:val="20"/>
              </w:rPr>
            </w:pPr>
            <w:r w:rsidRPr="00DE475B">
              <w:rPr>
                <w:rFonts w:ascii="Arial" w:hAnsi="Arial" w:cs="Arial"/>
                <w:sz w:val="20"/>
                <w:szCs w:val="20"/>
              </w:rPr>
              <w:t>51,502</w:t>
            </w:r>
          </w:p>
        </w:tc>
        <w:tc>
          <w:tcPr>
            <w:tcW w:w="1276" w:type="dxa"/>
            <w:tcBorders>
              <w:top w:val="single" w:sz="8" w:space="0" w:color="000000"/>
              <w:bottom w:val="single" w:sz="8" w:space="0" w:color="000000"/>
            </w:tcBorders>
            <w:shd w:val="clear" w:color="auto" w:fill="auto"/>
            <w:vAlign w:val="bottom"/>
          </w:tcPr>
          <w:p w:rsidR="00ED705F" w:rsidRPr="00DE475B" w:rsidRDefault="00ED705F" w:rsidP="00A2292F">
            <w:pPr>
              <w:jc w:val="right"/>
              <w:rPr>
                <w:rFonts w:ascii="Arial" w:hAnsi="Arial" w:cs="Arial"/>
                <w:bCs/>
                <w:sz w:val="20"/>
                <w:szCs w:val="20"/>
              </w:rPr>
            </w:pPr>
            <w:r w:rsidRPr="00DE475B">
              <w:rPr>
                <w:rFonts w:ascii="Arial" w:hAnsi="Arial" w:cs="Arial"/>
                <w:bCs/>
                <w:sz w:val="20"/>
                <w:szCs w:val="20"/>
              </w:rPr>
              <w:t>54,706</w:t>
            </w:r>
          </w:p>
        </w:tc>
      </w:tr>
      <w:tr w:rsidR="00ED705F" w:rsidRPr="00DE475B" w:rsidTr="001A060A">
        <w:trPr>
          <w:trHeight w:val="255"/>
        </w:trPr>
        <w:tc>
          <w:tcPr>
            <w:tcW w:w="3484" w:type="dxa"/>
            <w:shd w:val="clear" w:color="auto" w:fill="auto"/>
            <w:vAlign w:val="bottom"/>
          </w:tcPr>
          <w:p w:rsidR="00ED705F" w:rsidRPr="00DE475B" w:rsidRDefault="00ED705F" w:rsidP="008F6CA0">
            <w:pPr>
              <w:rPr>
                <w:rFonts w:ascii="Arial" w:hAnsi="Arial" w:cs="Arial"/>
                <w:b/>
                <w:bCs/>
                <w:sz w:val="20"/>
                <w:szCs w:val="20"/>
              </w:rPr>
            </w:pPr>
          </w:p>
        </w:tc>
        <w:tc>
          <w:tcPr>
            <w:tcW w:w="1903" w:type="dxa"/>
            <w:gridSpan w:val="2"/>
            <w:tcBorders>
              <w:top w:val="single" w:sz="8" w:space="0" w:color="000000"/>
            </w:tcBorders>
            <w:shd w:val="clear" w:color="auto" w:fill="auto"/>
            <w:vAlign w:val="bottom"/>
          </w:tcPr>
          <w:p w:rsidR="00ED705F" w:rsidRPr="00DE475B" w:rsidRDefault="00ED705F" w:rsidP="008F6CA0">
            <w:pPr>
              <w:jc w:val="right"/>
              <w:rPr>
                <w:rFonts w:ascii="Arial" w:hAnsi="Arial" w:cs="Arial"/>
                <w:sz w:val="20"/>
                <w:szCs w:val="20"/>
              </w:rPr>
            </w:pPr>
          </w:p>
        </w:tc>
        <w:tc>
          <w:tcPr>
            <w:tcW w:w="1984" w:type="dxa"/>
            <w:tcBorders>
              <w:top w:val="single" w:sz="8" w:space="0" w:color="000000"/>
            </w:tcBorders>
            <w:shd w:val="clear" w:color="auto" w:fill="auto"/>
            <w:vAlign w:val="bottom"/>
          </w:tcPr>
          <w:p w:rsidR="00ED705F" w:rsidRPr="00DE475B" w:rsidRDefault="00ED705F" w:rsidP="008F6CA0">
            <w:pPr>
              <w:jc w:val="right"/>
              <w:rPr>
                <w:rFonts w:ascii="Arial" w:hAnsi="Arial" w:cs="Arial"/>
                <w:sz w:val="20"/>
                <w:szCs w:val="20"/>
              </w:rPr>
            </w:pPr>
          </w:p>
        </w:tc>
        <w:tc>
          <w:tcPr>
            <w:tcW w:w="1276" w:type="dxa"/>
            <w:tcBorders>
              <w:top w:val="single" w:sz="8" w:space="0" w:color="000000"/>
            </w:tcBorders>
            <w:shd w:val="clear" w:color="auto" w:fill="auto"/>
            <w:vAlign w:val="bottom"/>
          </w:tcPr>
          <w:p w:rsidR="00ED705F" w:rsidRPr="00DE475B" w:rsidRDefault="00ED705F" w:rsidP="008F6CA0">
            <w:pPr>
              <w:jc w:val="right"/>
              <w:rPr>
                <w:rFonts w:ascii="Arial" w:hAnsi="Arial" w:cs="Arial"/>
                <w:bCs/>
                <w:sz w:val="20"/>
                <w:szCs w:val="20"/>
              </w:rPr>
            </w:pPr>
          </w:p>
        </w:tc>
      </w:tr>
      <w:tr w:rsidR="00ED705F" w:rsidRPr="00DE475B" w:rsidTr="001A060A">
        <w:trPr>
          <w:trHeight w:val="255"/>
        </w:trPr>
        <w:tc>
          <w:tcPr>
            <w:tcW w:w="3484" w:type="dxa"/>
            <w:shd w:val="clear" w:color="auto" w:fill="auto"/>
            <w:vAlign w:val="bottom"/>
          </w:tcPr>
          <w:p w:rsidR="00ED705F" w:rsidRPr="00DE475B" w:rsidRDefault="00ED705F" w:rsidP="008F6CA0">
            <w:pPr>
              <w:snapToGrid w:val="0"/>
              <w:jc w:val="center"/>
              <w:rPr>
                <w:rFonts w:ascii="Arial" w:hAnsi="Arial" w:cs="Arial"/>
                <w:b/>
                <w:bCs/>
                <w:sz w:val="20"/>
                <w:szCs w:val="20"/>
              </w:rPr>
            </w:pPr>
          </w:p>
        </w:tc>
        <w:tc>
          <w:tcPr>
            <w:tcW w:w="1903" w:type="dxa"/>
            <w:gridSpan w:val="2"/>
            <w:shd w:val="clear" w:color="auto" w:fill="auto"/>
            <w:vAlign w:val="bottom"/>
          </w:tcPr>
          <w:p w:rsidR="00ED705F" w:rsidRPr="00DE475B" w:rsidRDefault="00ED705F" w:rsidP="008F6CA0">
            <w:pPr>
              <w:jc w:val="right"/>
              <w:rPr>
                <w:rFonts w:ascii="Arial" w:hAnsi="Arial" w:cs="Arial"/>
                <w:b/>
                <w:bCs/>
                <w:sz w:val="20"/>
                <w:szCs w:val="20"/>
              </w:rPr>
            </w:pPr>
            <w:r>
              <w:rPr>
                <w:rFonts w:ascii="Arial" w:hAnsi="Arial" w:cs="Arial"/>
                <w:b/>
                <w:bCs/>
                <w:sz w:val="20"/>
                <w:szCs w:val="20"/>
              </w:rPr>
              <w:t>2017</w:t>
            </w:r>
          </w:p>
        </w:tc>
        <w:tc>
          <w:tcPr>
            <w:tcW w:w="1984" w:type="dxa"/>
            <w:shd w:val="clear" w:color="auto" w:fill="auto"/>
            <w:vAlign w:val="bottom"/>
          </w:tcPr>
          <w:p w:rsidR="00ED705F" w:rsidRPr="00DE475B" w:rsidRDefault="00ED705F" w:rsidP="008F6CA0">
            <w:pPr>
              <w:jc w:val="right"/>
              <w:rPr>
                <w:rFonts w:ascii="Arial" w:hAnsi="Arial" w:cs="Arial"/>
                <w:b/>
                <w:bCs/>
                <w:sz w:val="20"/>
                <w:szCs w:val="20"/>
              </w:rPr>
            </w:pPr>
            <w:r>
              <w:rPr>
                <w:rFonts w:ascii="Arial" w:hAnsi="Arial" w:cs="Arial"/>
                <w:b/>
                <w:bCs/>
                <w:sz w:val="20"/>
                <w:szCs w:val="20"/>
              </w:rPr>
              <w:t>2017</w:t>
            </w:r>
          </w:p>
        </w:tc>
        <w:tc>
          <w:tcPr>
            <w:tcW w:w="1276" w:type="dxa"/>
            <w:shd w:val="clear" w:color="auto" w:fill="auto"/>
            <w:vAlign w:val="bottom"/>
          </w:tcPr>
          <w:p w:rsidR="00ED705F" w:rsidRPr="00DE475B" w:rsidRDefault="00ED705F" w:rsidP="008F6CA0">
            <w:pPr>
              <w:jc w:val="right"/>
              <w:rPr>
                <w:rFonts w:ascii="Arial" w:hAnsi="Arial" w:cs="Arial"/>
                <w:b/>
                <w:bCs/>
                <w:sz w:val="20"/>
                <w:szCs w:val="20"/>
              </w:rPr>
            </w:pPr>
            <w:r>
              <w:rPr>
                <w:rFonts w:ascii="Arial" w:hAnsi="Arial" w:cs="Arial"/>
                <w:b/>
                <w:bCs/>
                <w:sz w:val="20"/>
                <w:szCs w:val="20"/>
              </w:rPr>
              <w:t>2017</w:t>
            </w:r>
          </w:p>
        </w:tc>
      </w:tr>
      <w:tr w:rsidR="00ED705F" w:rsidRPr="00DE475B" w:rsidTr="001A060A">
        <w:trPr>
          <w:trHeight w:val="255"/>
        </w:trPr>
        <w:tc>
          <w:tcPr>
            <w:tcW w:w="3484" w:type="dxa"/>
            <w:shd w:val="clear" w:color="auto" w:fill="auto"/>
            <w:vAlign w:val="bottom"/>
          </w:tcPr>
          <w:p w:rsidR="00ED705F" w:rsidRPr="00DE475B" w:rsidRDefault="001A060A" w:rsidP="008F6CA0">
            <w:pPr>
              <w:rPr>
                <w:rFonts w:ascii="Arial" w:hAnsi="Arial" w:cs="Arial"/>
                <w:sz w:val="20"/>
                <w:szCs w:val="20"/>
              </w:rPr>
            </w:pPr>
            <w:r>
              <w:rPr>
                <w:rFonts w:ascii="Arial" w:hAnsi="Arial" w:cs="Arial"/>
                <w:b/>
                <w:bCs/>
                <w:sz w:val="20"/>
                <w:szCs w:val="20"/>
              </w:rPr>
              <w:t>Balance 1 July 2016</w:t>
            </w:r>
          </w:p>
        </w:tc>
        <w:tc>
          <w:tcPr>
            <w:tcW w:w="1903" w:type="dxa"/>
            <w:gridSpan w:val="2"/>
            <w:shd w:val="clear" w:color="auto" w:fill="auto"/>
            <w:vAlign w:val="bottom"/>
          </w:tcPr>
          <w:p w:rsidR="00ED705F" w:rsidRPr="00DE475B" w:rsidRDefault="00C176DC" w:rsidP="008F6CA0">
            <w:pPr>
              <w:jc w:val="right"/>
              <w:rPr>
                <w:rFonts w:ascii="Arial" w:hAnsi="Arial" w:cs="Arial"/>
                <w:sz w:val="20"/>
                <w:szCs w:val="20"/>
              </w:rPr>
            </w:pPr>
            <w:r>
              <w:rPr>
                <w:rFonts w:ascii="Arial" w:hAnsi="Arial" w:cs="Arial"/>
                <w:sz w:val="20"/>
                <w:szCs w:val="20"/>
              </w:rPr>
              <w:t>3,204</w:t>
            </w:r>
          </w:p>
        </w:tc>
        <w:tc>
          <w:tcPr>
            <w:tcW w:w="1984" w:type="dxa"/>
            <w:shd w:val="clear" w:color="auto" w:fill="auto"/>
            <w:vAlign w:val="bottom"/>
          </w:tcPr>
          <w:p w:rsidR="00ED705F" w:rsidRPr="00DE475B" w:rsidRDefault="00C176DC" w:rsidP="008F6CA0">
            <w:pPr>
              <w:jc w:val="right"/>
              <w:rPr>
                <w:rFonts w:ascii="Arial" w:hAnsi="Arial" w:cs="Arial"/>
                <w:sz w:val="20"/>
                <w:szCs w:val="20"/>
              </w:rPr>
            </w:pPr>
            <w:r>
              <w:rPr>
                <w:rFonts w:ascii="Arial" w:hAnsi="Arial" w:cs="Arial"/>
                <w:sz w:val="20"/>
                <w:szCs w:val="20"/>
              </w:rPr>
              <w:t>51,502</w:t>
            </w:r>
          </w:p>
        </w:tc>
        <w:tc>
          <w:tcPr>
            <w:tcW w:w="1276" w:type="dxa"/>
            <w:shd w:val="clear" w:color="auto" w:fill="auto"/>
            <w:vAlign w:val="bottom"/>
          </w:tcPr>
          <w:p w:rsidR="00ED705F" w:rsidRPr="00DE475B" w:rsidRDefault="00C176DC" w:rsidP="008F6CA0">
            <w:pPr>
              <w:jc w:val="right"/>
              <w:rPr>
                <w:rFonts w:ascii="Arial" w:hAnsi="Arial" w:cs="Arial"/>
                <w:bCs/>
                <w:sz w:val="20"/>
                <w:szCs w:val="20"/>
              </w:rPr>
            </w:pPr>
            <w:r>
              <w:rPr>
                <w:rFonts w:ascii="Arial" w:hAnsi="Arial" w:cs="Arial"/>
                <w:bCs/>
                <w:sz w:val="20"/>
                <w:szCs w:val="20"/>
              </w:rPr>
              <w:t>54,706</w:t>
            </w:r>
          </w:p>
        </w:tc>
      </w:tr>
      <w:tr w:rsidR="00ED705F" w:rsidRPr="00DE475B" w:rsidTr="001A060A">
        <w:trPr>
          <w:trHeight w:val="255"/>
        </w:trPr>
        <w:tc>
          <w:tcPr>
            <w:tcW w:w="3484" w:type="dxa"/>
            <w:shd w:val="clear" w:color="auto" w:fill="auto"/>
            <w:vAlign w:val="bottom"/>
          </w:tcPr>
          <w:p w:rsidR="00ED705F" w:rsidRPr="00DE475B" w:rsidRDefault="00ED705F" w:rsidP="008F6CA0">
            <w:pPr>
              <w:rPr>
                <w:rFonts w:ascii="Arial" w:hAnsi="Arial" w:cs="Arial"/>
                <w:sz w:val="20"/>
                <w:szCs w:val="20"/>
              </w:rPr>
            </w:pPr>
            <w:r w:rsidRPr="00DE475B">
              <w:rPr>
                <w:rFonts w:ascii="Arial" w:hAnsi="Arial" w:cs="Arial"/>
                <w:sz w:val="20"/>
                <w:szCs w:val="20"/>
              </w:rPr>
              <w:t>Revaluation increment/(decrement)</w:t>
            </w:r>
          </w:p>
        </w:tc>
        <w:tc>
          <w:tcPr>
            <w:tcW w:w="1903" w:type="dxa"/>
            <w:gridSpan w:val="2"/>
            <w:tcBorders>
              <w:bottom w:val="single" w:sz="12" w:space="0" w:color="000000"/>
            </w:tcBorders>
            <w:shd w:val="clear" w:color="auto" w:fill="auto"/>
            <w:vAlign w:val="bottom"/>
          </w:tcPr>
          <w:p w:rsidR="00ED705F" w:rsidRPr="00DE475B" w:rsidRDefault="00C176DC" w:rsidP="008F6CA0">
            <w:pPr>
              <w:jc w:val="right"/>
              <w:rPr>
                <w:rFonts w:ascii="Arial" w:hAnsi="Arial" w:cs="Arial"/>
                <w:sz w:val="20"/>
                <w:szCs w:val="20"/>
              </w:rPr>
            </w:pPr>
            <w:r>
              <w:rPr>
                <w:rFonts w:ascii="Arial" w:hAnsi="Arial" w:cs="Arial"/>
                <w:sz w:val="20"/>
                <w:szCs w:val="20"/>
              </w:rPr>
              <w:t>(338)</w:t>
            </w:r>
          </w:p>
        </w:tc>
        <w:tc>
          <w:tcPr>
            <w:tcW w:w="1984" w:type="dxa"/>
            <w:tcBorders>
              <w:bottom w:val="single" w:sz="12" w:space="0" w:color="000000"/>
            </w:tcBorders>
            <w:shd w:val="clear" w:color="auto" w:fill="auto"/>
            <w:vAlign w:val="bottom"/>
          </w:tcPr>
          <w:p w:rsidR="00ED705F" w:rsidRPr="00DE475B" w:rsidRDefault="00C176DC" w:rsidP="008F6CA0">
            <w:pPr>
              <w:jc w:val="right"/>
              <w:rPr>
                <w:rFonts w:ascii="Arial" w:hAnsi="Arial" w:cs="Arial"/>
                <w:sz w:val="20"/>
                <w:szCs w:val="20"/>
              </w:rPr>
            </w:pPr>
            <w:r>
              <w:rPr>
                <w:rFonts w:ascii="Arial" w:hAnsi="Arial" w:cs="Arial"/>
                <w:sz w:val="20"/>
                <w:szCs w:val="20"/>
              </w:rPr>
              <w:t>16,711</w:t>
            </w:r>
          </w:p>
        </w:tc>
        <w:tc>
          <w:tcPr>
            <w:tcW w:w="1276" w:type="dxa"/>
            <w:tcBorders>
              <w:bottom w:val="single" w:sz="12" w:space="0" w:color="000000"/>
            </w:tcBorders>
            <w:shd w:val="clear" w:color="auto" w:fill="auto"/>
            <w:vAlign w:val="bottom"/>
          </w:tcPr>
          <w:p w:rsidR="00ED705F" w:rsidRPr="00DE475B" w:rsidRDefault="00C176DC" w:rsidP="008F6CA0">
            <w:pPr>
              <w:jc w:val="right"/>
              <w:rPr>
                <w:rFonts w:ascii="Arial" w:hAnsi="Arial" w:cs="Arial"/>
                <w:bCs/>
                <w:sz w:val="20"/>
                <w:szCs w:val="20"/>
              </w:rPr>
            </w:pPr>
            <w:r>
              <w:rPr>
                <w:rFonts w:ascii="Arial" w:hAnsi="Arial" w:cs="Arial"/>
                <w:bCs/>
                <w:sz w:val="20"/>
                <w:szCs w:val="20"/>
              </w:rPr>
              <w:t>16,373</w:t>
            </w:r>
          </w:p>
        </w:tc>
      </w:tr>
      <w:tr w:rsidR="00ED705F" w:rsidRPr="00DE475B" w:rsidTr="001A060A">
        <w:trPr>
          <w:trHeight w:val="255"/>
        </w:trPr>
        <w:tc>
          <w:tcPr>
            <w:tcW w:w="3484" w:type="dxa"/>
            <w:shd w:val="clear" w:color="auto" w:fill="auto"/>
            <w:vAlign w:val="bottom"/>
          </w:tcPr>
          <w:p w:rsidR="00ED705F" w:rsidRPr="00DE475B" w:rsidRDefault="001A060A" w:rsidP="008F6CA0">
            <w:pPr>
              <w:rPr>
                <w:rFonts w:ascii="Arial" w:hAnsi="Arial" w:cs="Arial"/>
                <w:sz w:val="20"/>
                <w:szCs w:val="20"/>
              </w:rPr>
            </w:pPr>
            <w:r>
              <w:rPr>
                <w:rFonts w:ascii="Arial" w:hAnsi="Arial" w:cs="Arial"/>
                <w:b/>
                <w:bCs/>
                <w:sz w:val="20"/>
                <w:szCs w:val="20"/>
              </w:rPr>
              <w:t>Balance 30 June 2017</w:t>
            </w:r>
            <w:r w:rsidR="00ED705F" w:rsidRPr="00DE475B">
              <w:rPr>
                <w:rFonts w:ascii="Arial" w:hAnsi="Arial" w:cs="Arial"/>
                <w:color w:val="FFFFFF"/>
                <w:sz w:val="20"/>
                <w:szCs w:val="20"/>
              </w:rPr>
              <w:t>4</w:t>
            </w:r>
          </w:p>
        </w:tc>
        <w:tc>
          <w:tcPr>
            <w:tcW w:w="1903" w:type="dxa"/>
            <w:gridSpan w:val="2"/>
            <w:tcBorders>
              <w:top w:val="single" w:sz="12" w:space="0" w:color="000000"/>
              <w:bottom w:val="single" w:sz="12" w:space="0" w:color="000000"/>
            </w:tcBorders>
            <w:shd w:val="clear" w:color="auto" w:fill="auto"/>
            <w:vAlign w:val="bottom"/>
          </w:tcPr>
          <w:p w:rsidR="00ED705F" w:rsidRPr="00DE475B" w:rsidRDefault="00C176DC" w:rsidP="008F6CA0">
            <w:pPr>
              <w:jc w:val="right"/>
              <w:rPr>
                <w:rFonts w:ascii="Arial" w:hAnsi="Arial" w:cs="Arial"/>
                <w:sz w:val="20"/>
                <w:szCs w:val="20"/>
              </w:rPr>
            </w:pPr>
            <w:r>
              <w:rPr>
                <w:rFonts w:ascii="Arial" w:hAnsi="Arial" w:cs="Arial"/>
                <w:sz w:val="20"/>
                <w:szCs w:val="20"/>
              </w:rPr>
              <w:t>2,866</w:t>
            </w:r>
          </w:p>
        </w:tc>
        <w:tc>
          <w:tcPr>
            <w:tcW w:w="1984" w:type="dxa"/>
            <w:tcBorders>
              <w:top w:val="single" w:sz="12" w:space="0" w:color="000000"/>
              <w:bottom w:val="single" w:sz="12" w:space="0" w:color="000000"/>
            </w:tcBorders>
            <w:shd w:val="clear" w:color="auto" w:fill="auto"/>
            <w:vAlign w:val="bottom"/>
          </w:tcPr>
          <w:p w:rsidR="00ED705F" w:rsidRPr="00DE475B" w:rsidRDefault="00C176DC" w:rsidP="008F6CA0">
            <w:pPr>
              <w:jc w:val="right"/>
              <w:rPr>
                <w:rFonts w:ascii="Arial" w:hAnsi="Arial" w:cs="Arial"/>
                <w:sz w:val="20"/>
                <w:szCs w:val="20"/>
              </w:rPr>
            </w:pPr>
            <w:r>
              <w:rPr>
                <w:rFonts w:ascii="Arial" w:hAnsi="Arial" w:cs="Arial"/>
                <w:sz w:val="20"/>
                <w:szCs w:val="20"/>
              </w:rPr>
              <w:t>68,213</w:t>
            </w:r>
          </w:p>
        </w:tc>
        <w:tc>
          <w:tcPr>
            <w:tcW w:w="1276" w:type="dxa"/>
            <w:tcBorders>
              <w:top w:val="single" w:sz="12" w:space="0" w:color="000000"/>
              <w:bottom w:val="single" w:sz="12" w:space="0" w:color="000000"/>
            </w:tcBorders>
            <w:shd w:val="clear" w:color="auto" w:fill="auto"/>
            <w:vAlign w:val="bottom"/>
          </w:tcPr>
          <w:p w:rsidR="00ED705F" w:rsidRPr="00DE475B" w:rsidRDefault="00C176DC" w:rsidP="008F6CA0">
            <w:pPr>
              <w:jc w:val="right"/>
              <w:rPr>
                <w:rFonts w:ascii="Arial" w:hAnsi="Arial" w:cs="Arial"/>
                <w:bCs/>
                <w:sz w:val="20"/>
                <w:szCs w:val="20"/>
              </w:rPr>
            </w:pPr>
            <w:r>
              <w:rPr>
                <w:rFonts w:ascii="Arial" w:hAnsi="Arial" w:cs="Arial"/>
                <w:bCs/>
                <w:sz w:val="20"/>
                <w:szCs w:val="20"/>
              </w:rPr>
              <w:t>71,079</w:t>
            </w:r>
          </w:p>
        </w:tc>
      </w:tr>
    </w:tbl>
    <w:p w:rsidR="001A060A" w:rsidRDefault="001A060A" w:rsidP="00652F6C">
      <w:pPr>
        <w:pStyle w:val="ARbodytext"/>
        <w:spacing w:before="40"/>
        <w:rPr>
          <w:b/>
          <w:bCs/>
          <w:i/>
          <w:iCs/>
        </w:rPr>
      </w:pPr>
    </w:p>
    <w:p w:rsidR="00846805" w:rsidRPr="00DE475B" w:rsidRDefault="00846805" w:rsidP="00652F6C">
      <w:pPr>
        <w:pStyle w:val="ARbodytext"/>
        <w:spacing w:before="40"/>
        <w:rPr>
          <w:b/>
          <w:bCs/>
        </w:rPr>
      </w:pPr>
      <w:r w:rsidRPr="00DE475B">
        <w:rPr>
          <w:b/>
          <w:bCs/>
          <w:i/>
          <w:iCs/>
        </w:rPr>
        <w:lastRenderedPageBreak/>
        <w:t>Library Board of Queensland and controlled entities</w:t>
      </w:r>
    </w:p>
    <w:p w:rsidR="00846805" w:rsidRPr="00DE475B" w:rsidRDefault="00846805" w:rsidP="00846805">
      <w:pPr>
        <w:rPr>
          <w:rFonts w:ascii="Arial" w:hAnsi="Arial" w:cs="Arial"/>
          <w:b/>
          <w:bCs/>
          <w:sz w:val="20"/>
          <w:szCs w:val="20"/>
        </w:rPr>
      </w:pPr>
      <w:r w:rsidRPr="00DE475B">
        <w:rPr>
          <w:noProof/>
          <w:lang w:eastAsia="en-AU"/>
        </w:rPr>
        <mc:AlternateContent>
          <mc:Choice Requires="wps">
            <w:drawing>
              <wp:anchor distT="0" distB="0" distL="114300" distR="114300" simplePos="0" relativeHeight="251738112" behindDoc="0" locked="0" layoutInCell="1" allowOverlap="1" wp14:anchorId="1A2DE9A4" wp14:editId="6E6904A1">
                <wp:simplePos x="0" y="0"/>
                <wp:positionH relativeFrom="column">
                  <wp:posOffset>-66040</wp:posOffset>
                </wp:positionH>
                <wp:positionV relativeFrom="paragraph">
                  <wp:posOffset>-222250</wp:posOffset>
                </wp:positionV>
                <wp:extent cx="5573395" cy="0"/>
                <wp:effectExtent l="13970" t="9525" r="13335" b="9525"/>
                <wp:wrapNone/>
                <wp:docPr id="29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ERnAIAAHsFAAAOAAAAZHJzL2Uyb0RvYy54bWysVN9v2yAQfp+0/wHx7tqOnV9Wnal1nL10&#10;W6V22jMBHKNh8IDGqab97ztI4jXdyzQ1kSwO7o7v7vuO6w+HTqI9N1ZoVeL0KsGIK6qZULsSf33c&#10;RAuMrCOKEakVL/Ezt/jD6v2766Ev+ES3WjJuECRRthj6ErfO9UUcW9ryjtgr3XMFh402HXFgml3M&#10;DBkgeyfjSZLM4kEb1htNubWwuz4e4lXI3zScui9NY7lDssSAzYWvCd+t/8ara1LsDOlbQU8wyH+g&#10;6IhQcOmYak0cQU9G/JWqE9Roqxt3RXUX66YRlIcaoJo0eVXNQ0t6HmqB5th+bJN9u7T08/7eIMFK&#10;PFkCVYp0QNKdUBxN8sx3Z+htAU6Vuje+PnpQD/2dpt8tUrpqidrxgPLxuYfA1EfEFyHesD3csR0+&#10;aQY+5Mnp0KpDYzqfEpqADoGR55ERfnCIwuZ0Os+y5RQjej6LSXEO7I11H7nukF+UWALqkJjs76zz&#10;QEhxdvH3KL0RUgbCpUJDiZfZDCRBCcjO/giRVkvBvJf3t2a3raRBe+K1E36hPDh56dYJBwqWoivx&#10;YnQiRcsJqxUL1zki5HENkKTyyXnQ5hEnWAcHy7APhQfd/Fwmy3pRL/Ion8zqKE/W6+hmU+XRbJPO&#10;p+tsXVXr9JdHneZFKxjjygM/azjN/00jp2k6qm9U8diq+DJ76CmAvUR6s5km8zxbRPP5NIvyrE6i&#10;28Wmim6qdDab17fVbf0KaR2qt28DdmylR6WfgI2Hlg2ICS+KbLqcpBgMmPnJ/MgPInIHjxV1BiOj&#10;3Tfh2qBhrz6f44L4ReL/J+LH7MdGnDn01sjCqbY/rQLOz/yG0fDTcJyrrWbP9+Y8MjDhIej0Gvkn&#10;5KUN65dv5uo3AAAA//8DAFBLAwQUAAYACAAAACEA3tirZ+AAAAALAQAADwAAAGRycy9kb3ducmV2&#10;LnhtbEyPQUvDQBCF74L/YRnBi7SbmlhLzKaIIB4Eaaso3rbZMRvMzobdbRP/vSMIepuZ93jzvWo9&#10;uV4cMcTOk4LFPAOB1HjTUavg5fl+tgIRkyaje0+o4AsjrOvTk0qXxo+0xeMutYJDKJZagU1pKKWM&#10;jUWn49wPSKx9+OB04jW00gQ9crjr5WWWLaXTHfEHqwe8s9h87g5OwVMYu5jyothgen99eHyzmwu3&#10;Ver8bLq9AZFwSn9m+MFndKiZae8PZKLoFcwWWcFWHvIrLsWO1fI6B7H/vci6kv871N8AAAD//wMA&#10;UEsBAi0AFAAGAAgAAAAhALaDOJL+AAAA4QEAABMAAAAAAAAAAAAAAAAAAAAAAFtDb250ZW50X1R5&#10;cGVzXS54bWxQSwECLQAUAAYACAAAACEAOP0h/9YAAACUAQAACwAAAAAAAAAAAAAAAAAvAQAAX3Jl&#10;bHMvLnJlbHNQSwECLQAUAAYACAAAACEAgcbhEZwCAAB7BQAADgAAAAAAAAAAAAAAAAAuAgAAZHJz&#10;L2Uyb0RvYy54bWxQSwECLQAUAAYACAAAACEA3tirZ+AAAAALAQAADwAAAAAAAAAAAAAAAAD2BAAA&#10;ZHJzL2Rvd25yZXYueG1sUEsFBgAAAAAEAAQA8wAAAAMGAAAAAA==&#10;" strokeweight=".26mm">
                <v:stroke joinstyle="miter" endcap="square"/>
              </v:line>
            </w:pict>
          </mc:Fallback>
        </mc:AlternateContent>
      </w:r>
      <w:r w:rsidRPr="00DE475B">
        <w:rPr>
          <w:rFonts w:ascii="Arial" w:hAnsi="Arial" w:cs="Arial"/>
          <w:b/>
          <w:bCs/>
          <w:sz w:val="20"/>
          <w:szCs w:val="20"/>
        </w:rPr>
        <w:t>NOTES TO THE FINANCIAL STATEMENTS</w:t>
      </w:r>
    </w:p>
    <w:p w:rsidR="00846805" w:rsidRPr="00DE475B" w:rsidRDefault="00887874" w:rsidP="00846805">
      <w:r>
        <w:rPr>
          <w:rFonts w:ascii="Arial" w:hAnsi="Arial" w:cs="Arial"/>
          <w:b/>
          <w:bCs/>
          <w:sz w:val="20"/>
          <w:szCs w:val="20"/>
        </w:rPr>
        <w:t>For the year ended 30 June 2017</w:t>
      </w:r>
    </w:p>
    <w:p w:rsidR="00846805" w:rsidRPr="00DE475B" w:rsidRDefault="00846805" w:rsidP="00846805">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737088" behindDoc="0" locked="0" layoutInCell="1" allowOverlap="1" wp14:anchorId="4DE37C57" wp14:editId="2B25E628">
                <wp:simplePos x="0" y="0"/>
                <wp:positionH relativeFrom="column">
                  <wp:posOffset>-66040</wp:posOffset>
                </wp:positionH>
                <wp:positionV relativeFrom="paragraph">
                  <wp:posOffset>70485</wp:posOffset>
                </wp:positionV>
                <wp:extent cx="5573395" cy="0"/>
                <wp:effectExtent l="13970" t="13335" r="13335" b="5715"/>
                <wp:wrapNone/>
                <wp:docPr id="29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1emwIAAHsFAAAOAAAAZHJzL2Uyb0RvYy54bWysVE1v2zAMvQ/YfxB0d/2ZL6NO0TrOLt1W&#10;oB12VmQ5FiZLnqTGCYb+91FK4jXdZRiaAIYokdQj36Oub/adQDumDVeywPFVhBGTVNVcbgv87Wkd&#10;zDEylsiaCCVZgQ/M4Jvlxw/XQ5+zRLVK1EwjSCJNPvQFbq3t8zA0tGUdMVeqZxIOG6U7YsHU27DW&#10;ZIDsnQiTKJqGg9J1rxVlxsDu6niIlz5/0zBqvzaNYRaJAgM267/afzfuGy6vSb7VpG85PcEg/4Gi&#10;I1zCpWOqFbEEPWv+V6qOU62MauwVVV2omoZT5muAauLoTTWPLemZrwWaY/qxTeb90tIvuweNeF3g&#10;ZLHASJIOSLrnkqEkS1x3ht7k4FTKB+3qo3v52N8r+sMgqcqWyC3zKJ8OPQTGLiK8CHGG6eGOzfBZ&#10;1eBDnq3yrdo3unMpoQlo7xk5jIywvUUUNieTWZouJhjR81lI8nNgr439xFSH3KLAAlD7xGR3b6wD&#10;QvKzi7tHqjUXwhMuJBoKvEinIAlKQHbmp480SvDaeTl/o7ebUmi0I047/ufLg5PXbh23oGDBuwLP&#10;RyeSt4zUlaz9dZZwcVwDJCFdcua1ecQJ1t7C0u9D4V43vxbRoppX8yzIkmkVZNFqFdyuyyyYruPZ&#10;ZJWuynIVvzjUcZa3vK6ZdMDPGo6zf9PIaZqO6htVPLYqvMzuewpgL5HerifRLEvnwWw2SYMsraLg&#10;br4ug9synk5n1V15V71BWvnqzfuAHVvpUKlnYOOxrQdUcyeKdLJIYgwGzHwyO/KDiNjCY0Wtxkgr&#10;+53b1mvYqc/luCB+Hrn/ifgx+7ERZw6dNbJwqu1Pq4DzM79+NNw0HOdqo+rDgz6PDEy4Dzq9Ru4J&#10;eW3D+vWbufwNAAD//wMAUEsDBBQABgAIAAAAIQDwQGlx3gAAAAkBAAAPAAAAZHJzL2Rvd25yZXYu&#10;eG1sTI/BSsNAEIbvgu+wjOBF2k1sqCVmU0QQD4K0VRRv2+yYDWZnw+62iW/vSA96nPk//vmmWk+u&#10;F0cMsfOkIJ9nIJAabzpqFby+PMxWIGLSZHTvCRV8Y4R1fX5W6dL4kbZ43KVWcAnFUiuwKQ2llLGx&#10;6HSc+wGJs08fnE48hlaaoEcud728zrKldLojvmD1gPcWm6/dwSl4DmMX06IoNpg+3h6f3u3mym2V&#10;uryY7m5BJJzSHwy/+qwONTvt/YFMFL2CWZ4VjHKQ5yAYWC1vFiD2p4WsK/n/g/oHAAD//wMAUEsB&#10;Ai0AFAAGAAgAAAAhALaDOJL+AAAA4QEAABMAAAAAAAAAAAAAAAAAAAAAAFtDb250ZW50X1R5cGVz&#10;XS54bWxQSwECLQAUAAYACAAAACEAOP0h/9YAAACUAQAACwAAAAAAAAAAAAAAAAAvAQAAX3JlbHMv&#10;LnJlbHNQSwECLQAUAAYACAAAACEAqjvdXpsCAAB7BQAADgAAAAAAAAAAAAAAAAAuAgAAZHJzL2Uy&#10;b0RvYy54bWxQSwECLQAUAAYACAAAACEA8EBpcd4AAAAJAQAADwAAAAAAAAAAAAAAAAD1BAAAZHJz&#10;L2Rvd25yZXYueG1sUEsFBgAAAAAEAAQA8wAAAAAGAAAAAA==&#10;" strokeweight=".26mm">
                <v:stroke joinstyle="miter" endcap="square"/>
              </v:line>
            </w:pict>
          </mc:Fallback>
        </mc:AlternateContent>
      </w:r>
    </w:p>
    <w:p w:rsidR="00846805" w:rsidRPr="00DE475B" w:rsidRDefault="00846805" w:rsidP="00846805">
      <w:pPr>
        <w:pStyle w:val="ARheading3"/>
        <w:tabs>
          <w:tab w:val="left" w:pos="851"/>
        </w:tabs>
        <w:spacing w:after="120"/>
        <w:rPr>
          <w:color w:val="808080"/>
        </w:rPr>
        <w:sectPr w:rsidR="00846805" w:rsidRPr="00DE475B" w:rsidSect="00B53922">
          <w:headerReference w:type="default" r:id="rId65"/>
          <w:footerReference w:type="default" r:id="rId66"/>
          <w:type w:val="continuous"/>
          <w:pgSz w:w="11906" w:h="16838"/>
          <w:pgMar w:top="1440" w:right="1701" w:bottom="1440" w:left="1701" w:header="680" w:footer="680" w:gutter="0"/>
          <w:cols w:space="720"/>
          <w:docGrid w:linePitch="360"/>
        </w:sectPr>
      </w:pPr>
      <w:r>
        <w:rPr>
          <w:color w:val="808080"/>
        </w:rPr>
        <w:t>D1</w:t>
      </w:r>
      <w:r w:rsidRPr="00DE475B">
        <w:rPr>
          <w:color w:val="808080"/>
        </w:rPr>
        <w:t xml:space="preserve"> </w:t>
      </w:r>
      <w:r w:rsidRPr="00846805">
        <w:rPr>
          <w:color w:val="808080"/>
        </w:rPr>
        <w:t>Fair value measurement</w:t>
      </w:r>
    </w:p>
    <w:p w:rsidR="00846805" w:rsidRPr="00DE475B" w:rsidRDefault="00846805" w:rsidP="00652F6C">
      <w:pPr>
        <w:rPr>
          <w:rFonts w:ascii="Arial" w:hAnsi="Arial" w:cs="Arial"/>
          <w:b/>
          <w:bCs/>
          <w:sz w:val="20"/>
          <w:szCs w:val="20"/>
        </w:rPr>
        <w:sectPr w:rsidR="00846805" w:rsidRPr="00DE475B" w:rsidSect="00B53922">
          <w:type w:val="continuous"/>
          <w:pgSz w:w="11906" w:h="16838"/>
          <w:pgMar w:top="1440" w:right="1701" w:bottom="1440" w:left="1701" w:header="680" w:footer="680" w:gutter="0"/>
          <w:cols w:space="566"/>
          <w:docGrid w:linePitch="360"/>
        </w:sectPr>
      </w:pPr>
      <w:r>
        <w:rPr>
          <w:rFonts w:ascii="Arial" w:hAnsi="Arial" w:cs="Arial"/>
          <w:b/>
          <w:bCs/>
          <w:sz w:val="20"/>
          <w:szCs w:val="20"/>
        </w:rPr>
        <w:lastRenderedPageBreak/>
        <w:t xml:space="preserve">D1-1 </w:t>
      </w:r>
      <w:r w:rsidRPr="00846805">
        <w:rPr>
          <w:rFonts w:ascii="Arial" w:hAnsi="Arial" w:cs="Arial"/>
          <w:b/>
          <w:bCs/>
          <w:sz w:val="20"/>
          <w:szCs w:val="20"/>
        </w:rPr>
        <w:t xml:space="preserve">Accounting policies and </w:t>
      </w:r>
      <w:r>
        <w:rPr>
          <w:rFonts w:ascii="Arial" w:hAnsi="Arial" w:cs="Arial"/>
          <w:b/>
          <w:bCs/>
          <w:sz w:val="20"/>
          <w:szCs w:val="20"/>
        </w:rPr>
        <w:t>inputs</w:t>
      </w:r>
      <w:r w:rsidRPr="00846805">
        <w:rPr>
          <w:rFonts w:ascii="Arial" w:hAnsi="Arial" w:cs="Arial"/>
          <w:b/>
          <w:bCs/>
          <w:sz w:val="20"/>
          <w:szCs w:val="20"/>
        </w:rPr>
        <w:t xml:space="preserve"> for Fair Value</w:t>
      </w:r>
      <w:r>
        <w:rPr>
          <w:rFonts w:ascii="Arial" w:hAnsi="Arial" w:cs="Arial"/>
          <w:b/>
          <w:bCs/>
          <w:sz w:val="20"/>
          <w:szCs w:val="20"/>
        </w:rPr>
        <w:t>s</w:t>
      </w:r>
    </w:p>
    <w:p w:rsidR="00846805" w:rsidRPr="00DE475B" w:rsidRDefault="00C7322D" w:rsidP="00846805">
      <w:pPr>
        <w:rPr>
          <w:rFonts w:ascii="Arial" w:hAnsi="Arial" w:cs="Arial"/>
          <w:i/>
          <w:iCs/>
          <w:sz w:val="20"/>
          <w:szCs w:val="20"/>
        </w:rPr>
      </w:pPr>
      <w:r>
        <w:rPr>
          <w:rFonts w:ascii="Arial" w:hAnsi="Arial" w:cs="Arial"/>
          <w:i/>
          <w:iCs/>
          <w:sz w:val="20"/>
          <w:szCs w:val="20"/>
        </w:rPr>
        <w:lastRenderedPageBreak/>
        <w:t>What is fair value?</w:t>
      </w:r>
    </w:p>
    <w:p w:rsidR="00846805" w:rsidRPr="00DE475B" w:rsidRDefault="00846805" w:rsidP="00846805">
      <w:pPr>
        <w:spacing w:after="120"/>
        <w:rPr>
          <w:rFonts w:ascii="Arial" w:hAnsi="Arial" w:cs="Arial"/>
          <w:spacing w:val="-2"/>
          <w:sz w:val="20"/>
          <w:szCs w:val="20"/>
        </w:rPr>
      </w:pPr>
      <w:r w:rsidRPr="00DE475B">
        <w:rPr>
          <w:rFonts w:ascii="Arial" w:hAnsi="Arial" w:cs="Arial"/>
          <w:spacing w:val="-2"/>
          <w:sz w:val="20"/>
          <w:szCs w:val="20"/>
        </w:rPr>
        <w:t>Fair value is the price that would be received to sell an asset or paid to transfer a liability in an orderly transaction between market participants at the measurement date under current market conditions (i.e. an exit price) regardless of whether that price is directly derived from observable inputs or estimated using another valuation technique.</w:t>
      </w:r>
    </w:p>
    <w:p w:rsidR="00846805" w:rsidRPr="003409B0" w:rsidRDefault="00846805" w:rsidP="00846805">
      <w:pPr>
        <w:spacing w:after="120"/>
        <w:rPr>
          <w:rFonts w:ascii="Arial" w:hAnsi="Arial" w:cs="Arial"/>
          <w:sz w:val="20"/>
          <w:szCs w:val="20"/>
        </w:rPr>
      </w:pPr>
      <w:r w:rsidRPr="003409B0">
        <w:rPr>
          <w:rFonts w:ascii="Arial" w:hAnsi="Arial" w:cs="Arial"/>
          <w:sz w:val="20"/>
          <w:szCs w:val="20"/>
        </w:rPr>
        <w:t>Observable inputs are publicly available data that is relevant to the characteristics of the assets/liabilities being valued.</w:t>
      </w:r>
      <w:r w:rsidR="003409B0" w:rsidRPr="003409B0">
        <w:rPr>
          <w:rFonts w:ascii="Arial" w:hAnsi="Arial" w:cs="Arial"/>
          <w:sz w:val="20"/>
          <w:szCs w:val="20"/>
        </w:rPr>
        <w:t xml:space="preserve"> Observable inputs used by the Library Board include, but are not limited to, published sales data for heritage and cultural assets.  </w:t>
      </w:r>
    </w:p>
    <w:p w:rsidR="00846805" w:rsidRPr="00DE475B" w:rsidRDefault="00846805" w:rsidP="00846805">
      <w:pPr>
        <w:spacing w:after="120"/>
        <w:rPr>
          <w:rFonts w:ascii="Arial" w:hAnsi="Arial" w:cs="Arial"/>
          <w:sz w:val="20"/>
          <w:szCs w:val="20"/>
        </w:rPr>
      </w:pPr>
      <w:r w:rsidRPr="00DE475B">
        <w:rPr>
          <w:rFonts w:ascii="Arial" w:hAnsi="Arial" w:cs="Arial"/>
          <w:sz w:val="20"/>
          <w:szCs w:val="20"/>
        </w:rPr>
        <w:t>Unobservable inputs are data, assumptions and judgements that are not available publicly, but are relevant to the characteristics of the assets/liabilities being valued. Significant unobservable inputs used by State Library include, but are not limited to, subjective adjustments made to observable data to take account of the characteristics of the Library Board’s assets/liabilities and assessments of physical condition and remaining useful lives. Unobservable inputs are used to the extent that sufficient relevant and reliable observable inputs are not available for similar assets/liabilities.</w:t>
      </w:r>
    </w:p>
    <w:p w:rsidR="00846805" w:rsidRPr="00DE475B" w:rsidRDefault="00846805" w:rsidP="00846805">
      <w:pPr>
        <w:spacing w:after="120"/>
        <w:rPr>
          <w:rFonts w:ascii="Arial" w:hAnsi="Arial" w:cs="Arial"/>
          <w:sz w:val="20"/>
          <w:szCs w:val="20"/>
        </w:rPr>
      </w:pPr>
      <w:r w:rsidRPr="00DE475B">
        <w:rPr>
          <w:rFonts w:ascii="Arial" w:hAnsi="Arial" w:cs="Arial"/>
          <w:sz w:val="20"/>
          <w:szCs w:val="20"/>
        </w:rPr>
        <w:t xml:space="preserve">A fair value measurement of a non-financial asset takes into account a market participant’s ability to generate economic </w:t>
      </w:r>
      <w:r w:rsidRPr="00DE475B">
        <w:rPr>
          <w:rFonts w:ascii="Arial" w:hAnsi="Arial" w:cs="Arial"/>
          <w:sz w:val="20"/>
          <w:szCs w:val="20"/>
        </w:rPr>
        <w:lastRenderedPageBreak/>
        <w:t>benefits by using the asset in its highest and best use.</w:t>
      </w:r>
    </w:p>
    <w:p w:rsidR="00846805" w:rsidRPr="00DE475B" w:rsidRDefault="00846805" w:rsidP="00846805">
      <w:pPr>
        <w:rPr>
          <w:rFonts w:ascii="Arial" w:hAnsi="Arial" w:cs="Arial"/>
          <w:sz w:val="20"/>
          <w:szCs w:val="20"/>
        </w:rPr>
      </w:pPr>
      <w:r w:rsidRPr="00DE475B">
        <w:rPr>
          <w:rFonts w:ascii="Arial" w:hAnsi="Arial" w:cs="Arial"/>
          <w:i/>
          <w:iCs/>
          <w:sz w:val="20"/>
          <w:szCs w:val="20"/>
        </w:rPr>
        <w:t>Fair measurement hierarchy</w:t>
      </w:r>
    </w:p>
    <w:p w:rsidR="003409B0" w:rsidRDefault="003409B0" w:rsidP="003409B0">
      <w:pPr>
        <w:spacing w:after="120"/>
        <w:rPr>
          <w:rFonts w:ascii="Arial" w:hAnsi="Arial" w:cs="Arial"/>
          <w:sz w:val="20"/>
          <w:szCs w:val="20"/>
        </w:rPr>
      </w:pPr>
      <w:r w:rsidRPr="003409B0">
        <w:rPr>
          <w:rFonts w:ascii="Arial" w:hAnsi="Arial" w:cs="Arial"/>
          <w:sz w:val="20"/>
          <w:szCs w:val="20"/>
        </w:rPr>
        <w:t>Details of assets and liabilities measured under each category of fair value are set out in the tables at Note C4-3.</w:t>
      </w:r>
    </w:p>
    <w:p w:rsidR="00846805" w:rsidRPr="00DE475B" w:rsidRDefault="00846805" w:rsidP="00846805">
      <w:pPr>
        <w:spacing w:after="40"/>
        <w:rPr>
          <w:rFonts w:ascii="Arial" w:hAnsi="Arial" w:cs="Arial"/>
          <w:sz w:val="20"/>
          <w:szCs w:val="20"/>
        </w:rPr>
      </w:pPr>
      <w:r w:rsidRPr="00DE475B">
        <w:rPr>
          <w:rFonts w:ascii="Arial" w:hAnsi="Arial" w:cs="Arial"/>
          <w:sz w:val="20"/>
          <w:szCs w:val="20"/>
        </w:rPr>
        <w:t>All assets and liabilities of the Library Board for which fair value is measured or disclosed in the financial statements are categorised within the following fair value hierarchy, based on the data and assumptions used in the most recent specific appraisals:</w:t>
      </w:r>
    </w:p>
    <w:p w:rsidR="00846805" w:rsidRPr="00DE475B" w:rsidRDefault="00846805" w:rsidP="00846805">
      <w:pPr>
        <w:spacing w:after="40"/>
        <w:rPr>
          <w:rFonts w:ascii="Arial" w:hAnsi="Arial" w:cs="Arial"/>
          <w:sz w:val="20"/>
          <w:szCs w:val="20"/>
        </w:rPr>
      </w:pPr>
      <w:r w:rsidRPr="00DE475B">
        <w:rPr>
          <w:rFonts w:ascii="Arial" w:hAnsi="Arial" w:cs="Arial"/>
          <w:sz w:val="20"/>
          <w:szCs w:val="20"/>
        </w:rPr>
        <w:t>• level 1 — represents fair value measurements that reflect unadjusted quoted market prices in active markets for identical assets and liabilities</w:t>
      </w:r>
    </w:p>
    <w:p w:rsidR="00846805" w:rsidRPr="00DE475B" w:rsidRDefault="00846805" w:rsidP="00846805">
      <w:pPr>
        <w:spacing w:after="40"/>
        <w:rPr>
          <w:rFonts w:ascii="Arial" w:hAnsi="Arial" w:cs="Arial"/>
          <w:sz w:val="20"/>
          <w:szCs w:val="20"/>
        </w:rPr>
      </w:pPr>
      <w:r w:rsidRPr="00DE475B">
        <w:rPr>
          <w:rFonts w:ascii="Arial" w:hAnsi="Arial" w:cs="Arial"/>
          <w:sz w:val="20"/>
          <w:szCs w:val="20"/>
        </w:rPr>
        <w:t>• level 2 — represents fair value measurements that are substantially derived from inputs (other than quoted prices included within level 1) that are observable, either directly or indirectly</w:t>
      </w:r>
    </w:p>
    <w:p w:rsidR="00846805" w:rsidRPr="00DE475B" w:rsidRDefault="00846805" w:rsidP="00846805">
      <w:pPr>
        <w:spacing w:after="120"/>
        <w:rPr>
          <w:rFonts w:ascii="Arial" w:hAnsi="Arial" w:cs="Arial"/>
          <w:sz w:val="20"/>
          <w:szCs w:val="20"/>
        </w:rPr>
      </w:pPr>
      <w:r w:rsidRPr="00DE475B">
        <w:rPr>
          <w:rFonts w:ascii="Arial" w:hAnsi="Arial" w:cs="Arial"/>
          <w:sz w:val="20"/>
          <w:szCs w:val="20"/>
        </w:rPr>
        <w:t xml:space="preserve">• </w:t>
      </w:r>
      <w:proofErr w:type="gramStart"/>
      <w:r w:rsidRPr="00DE475B">
        <w:rPr>
          <w:rFonts w:ascii="Arial" w:hAnsi="Arial" w:cs="Arial"/>
          <w:sz w:val="20"/>
          <w:szCs w:val="20"/>
        </w:rPr>
        <w:t>level</w:t>
      </w:r>
      <w:proofErr w:type="gramEnd"/>
      <w:r w:rsidRPr="00DE475B">
        <w:rPr>
          <w:rFonts w:ascii="Arial" w:hAnsi="Arial" w:cs="Arial"/>
          <w:sz w:val="20"/>
          <w:szCs w:val="20"/>
        </w:rPr>
        <w:t xml:space="preserve"> 3 — represents fair value measurements that are substantially derived from unobservable inputs.</w:t>
      </w:r>
    </w:p>
    <w:p w:rsidR="00846805" w:rsidRPr="00DE475B" w:rsidRDefault="00846805" w:rsidP="00846805">
      <w:pPr>
        <w:spacing w:after="120"/>
        <w:rPr>
          <w:rFonts w:ascii="Arial" w:hAnsi="Arial" w:cs="Arial"/>
          <w:sz w:val="20"/>
          <w:szCs w:val="20"/>
        </w:rPr>
      </w:pPr>
      <w:r w:rsidRPr="00DE475B">
        <w:rPr>
          <w:rFonts w:ascii="Arial" w:hAnsi="Arial" w:cs="Arial"/>
          <w:sz w:val="20"/>
          <w:szCs w:val="20"/>
        </w:rPr>
        <w:t>None of the Library Board’s valuations of assets or liabilities are eligible for categorisation into level 1 or level 2 of the fair value hierarchy. There were no transfers of non-financial assets between fair value hierarchy levels during the period.</w:t>
      </w:r>
    </w:p>
    <w:p w:rsidR="00846805" w:rsidRPr="00DE475B" w:rsidRDefault="00846805" w:rsidP="00846805">
      <w:pPr>
        <w:spacing w:after="120"/>
        <w:rPr>
          <w:rFonts w:ascii="Arial" w:hAnsi="Arial" w:cs="Arial"/>
          <w:sz w:val="20"/>
          <w:szCs w:val="20"/>
        </w:rPr>
      </w:pPr>
      <w:r w:rsidRPr="00DE475B">
        <w:rPr>
          <w:rFonts w:ascii="Arial" w:hAnsi="Arial" w:cs="Arial"/>
          <w:sz w:val="20"/>
          <w:szCs w:val="20"/>
        </w:rPr>
        <w:t>More specific fair value information about the Library Board’s Property, Plant and Equipment is outlined in Note C4-1.</w:t>
      </w:r>
    </w:p>
    <w:p w:rsidR="00846805" w:rsidRPr="00DE475B" w:rsidRDefault="00846805" w:rsidP="00846805">
      <w:pPr>
        <w:spacing w:after="120"/>
        <w:rPr>
          <w:rFonts w:ascii="Arial" w:hAnsi="Arial" w:cs="Arial"/>
          <w:sz w:val="20"/>
          <w:szCs w:val="20"/>
        </w:rPr>
        <w:sectPr w:rsidR="00846805" w:rsidRPr="00DE475B" w:rsidSect="00B53922">
          <w:type w:val="continuous"/>
          <w:pgSz w:w="11906" w:h="16838"/>
          <w:pgMar w:top="1440" w:right="1701" w:bottom="1440" w:left="1701" w:header="680" w:footer="680" w:gutter="0"/>
          <w:cols w:num="2" w:space="566"/>
          <w:docGrid w:linePitch="360"/>
        </w:sectPr>
      </w:pPr>
    </w:p>
    <w:p w:rsidR="00B66465" w:rsidRDefault="00B66465">
      <w:pPr>
        <w:suppressAutoHyphens w:val="0"/>
        <w:autoSpaceDE/>
        <w:rPr>
          <w:rFonts w:ascii="Arial" w:hAnsi="Arial" w:cs="Arial"/>
          <w:b/>
          <w:bCs/>
          <w:sz w:val="20"/>
          <w:szCs w:val="20"/>
        </w:rPr>
      </w:pPr>
      <w:r>
        <w:rPr>
          <w:rFonts w:ascii="Arial" w:hAnsi="Arial" w:cs="Arial"/>
          <w:b/>
          <w:bCs/>
          <w:sz w:val="20"/>
          <w:szCs w:val="20"/>
        </w:rPr>
        <w:lastRenderedPageBreak/>
        <w:br w:type="page"/>
      </w:r>
    </w:p>
    <w:p w:rsidR="00B66465" w:rsidRPr="00DE475B" w:rsidRDefault="00B66465" w:rsidP="00B66465">
      <w:pPr>
        <w:pStyle w:val="ARbodytext"/>
        <w:rPr>
          <w:b/>
          <w:bCs/>
        </w:rPr>
      </w:pPr>
      <w:r w:rsidRPr="00DE475B">
        <w:rPr>
          <w:b/>
          <w:bCs/>
          <w:i/>
          <w:iCs/>
        </w:rPr>
        <w:lastRenderedPageBreak/>
        <w:t>Library Board of Queensland and controlled entities</w:t>
      </w:r>
    </w:p>
    <w:p w:rsidR="00B66465" w:rsidRPr="00DE475B" w:rsidRDefault="00B66465" w:rsidP="00B66465">
      <w:pPr>
        <w:rPr>
          <w:rFonts w:ascii="Arial" w:hAnsi="Arial" w:cs="Arial"/>
          <w:b/>
          <w:bCs/>
          <w:sz w:val="20"/>
          <w:szCs w:val="20"/>
        </w:rPr>
      </w:pPr>
      <w:r w:rsidRPr="00DE475B">
        <w:rPr>
          <w:noProof/>
          <w:lang w:eastAsia="en-AU"/>
        </w:rPr>
        <mc:AlternateContent>
          <mc:Choice Requires="wps">
            <w:drawing>
              <wp:anchor distT="0" distB="0" distL="114300" distR="114300" simplePos="0" relativeHeight="251741184" behindDoc="0" locked="0" layoutInCell="1" allowOverlap="1" wp14:anchorId="13F57A49" wp14:editId="4B60ED14">
                <wp:simplePos x="0" y="0"/>
                <wp:positionH relativeFrom="column">
                  <wp:posOffset>-66040</wp:posOffset>
                </wp:positionH>
                <wp:positionV relativeFrom="paragraph">
                  <wp:posOffset>-222250</wp:posOffset>
                </wp:positionV>
                <wp:extent cx="5573395" cy="0"/>
                <wp:effectExtent l="13970" t="9525" r="13335" b="9525"/>
                <wp:wrapNone/>
                <wp:docPr id="300"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VjmwIAAHsFAAAOAAAAZHJzL2Uyb0RvYy54bWysVN9v2yAQfp+0/wHx7tqOnV9Wnal1nL10&#10;W6V22jMBHKNh8IDGqab97ztI4jXdyzQ1kSwO7o7v7vuO6w+HTqI9N1ZoVeL0KsGIK6qZULsSf33c&#10;RAuMrCOKEakVL/Ezt/jD6v2766Ev+ES3WjJuECRRthj6ErfO9UUcW9ryjtgr3XMFh402HXFgml3M&#10;DBkgeyfjSZLM4kEb1htNubWwuz4e4lXI3zScui9NY7lDssSAzYWvCd+t/8ara1LsDOlbQU8wyH+g&#10;6IhQcOmYak0cQU9G/JWqE9Roqxt3RXUX66YRlIcaoJo0eVXNQ0t6HmqB5th+bJN9u7T08/7eIMFK&#10;nCXQH0U6IOlOKI4meea7M/S2AKdK3RtfHz2oh/5O0+8WKV21RO14QPn43ENg6iPiixBv2B7u2A6f&#10;NAMf8uR0aNWhMZ1PCU1Ah8DI88gIPzhEYXM6nWfZcooRPZ/FpDgH9sa6j1x3yC9KLAF1SEz2d9Z5&#10;IKQ4u/h7lN4IKQPhUqGhxMtsBiVTArKzP0Kk1VIw7+X9rdltK2nQnnjthF8oD05eunXCgYKl6Eq8&#10;GJ1I0XLCasXCdY4IeVwDJKl8ch60ecQJ1sHBMuxD4UE3P5fJsl7UizzKJ7M6ypP1OrrZVHk026Tz&#10;6TpbV9U6/eVRp3nRCsa48sDPGk7zf9PIaZqO6htVPLYqvsweegpgL5HebKbJPM8W0Xw+zaI8q5Po&#10;drGpopsqnc3m9W11W79CWofq7duAHVvpUeknYOOhZQNiwosimy4nKQYDZn4yP/KDiNzBY0Wdwcho&#10;9024NmjYq8/nuCB+kfj/ifgx+7ERZw69NbJwqu1Pq4DzM79hNPw0HOdqq9nzvTmPDEx4CDq9Rv4J&#10;eWnD+uWbufoNAAD//wMAUEsDBBQABgAIAAAAIQDe2Ktn4AAAAAsBAAAPAAAAZHJzL2Rvd25yZXYu&#10;eG1sTI9BS8NAEIXvgv9hGcGLtJuaWEvMpoggHgRpqyjettkxG8zOht1tE/+9Iwh6m5n3ePO9aj25&#10;XhwxxM6TgsU8A4HUeNNRq+Dl+X62AhGTJqN7T6jgCyOs69OTSpfGj7TF4y61gkMollqBTWkopYyN&#10;Rafj3A9IrH344HTiNbTSBD1yuOvlZZYtpdMd8QerB7yz2HzuDk7BUxi7mPKi2GB6f314fLObC7dV&#10;6vxsur0BkXBKf2b4wWd0qJlp7w9kougVzBZZwVYe8isuxY7V8joHsf+9yLqS/zvU3wAAAP//AwBQ&#10;SwECLQAUAAYACAAAACEAtoM4kv4AAADhAQAAEwAAAAAAAAAAAAAAAAAAAAAAW0NvbnRlbnRfVHlw&#10;ZXNdLnhtbFBLAQItABQABgAIAAAAIQA4/SH/1gAAAJQBAAALAAAAAAAAAAAAAAAAAC8BAABfcmVs&#10;cy8ucmVsc1BLAQItABQABgAIAAAAIQDO4nVjmwIAAHsFAAAOAAAAAAAAAAAAAAAAAC4CAABkcnMv&#10;ZTJvRG9jLnhtbFBLAQItABQABgAIAAAAIQDe2Ktn4AAAAAsBAAAPAAAAAAAAAAAAAAAAAPUEAABk&#10;cnMvZG93bnJldi54bWxQSwUGAAAAAAQABADzAAAAAgYAAAAA&#10;" strokeweight=".26mm">
                <v:stroke joinstyle="miter" endcap="square"/>
              </v:line>
            </w:pict>
          </mc:Fallback>
        </mc:AlternateContent>
      </w:r>
      <w:r w:rsidRPr="00DE475B">
        <w:rPr>
          <w:rFonts w:ascii="Arial" w:hAnsi="Arial" w:cs="Arial"/>
          <w:b/>
          <w:bCs/>
          <w:sz w:val="20"/>
          <w:szCs w:val="20"/>
        </w:rPr>
        <w:t>NOTES TO THE FINANCIAL STATEMENTS</w:t>
      </w:r>
    </w:p>
    <w:p w:rsidR="00B66465" w:rsidRPr="00DE475B" w:rsidRDefault="00887874" w:rsidP="00B66465">
      <w:r>
        <w:rPr>
          <w:rFonts w:ascii="Arial" w:hAnsi="Arial" w:cs="Arial"/>
          <w:b/>
          <w:bCs/>
          <w:sz w:val="20"/>
          <w:szCs w:val="20"/>
        </w:rPr>
        <w:t>For the year ended 30 June 2017</w:t>
      </w:r>
    </w:p>
    <w:p w:rsidR="00B66465" w:rsidRPr="00DE475B" w:rsidRDefault="00B66465" w:rsidP="00B66465">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740160" behindDoc="0" locked="0" layoutInCell="1" allowOverlap="1" wp14:anchorId="6073F8B2" wp14:editId="5C18BC19">
                <wp:simplePos x="0" y="0"/>
                <wp:positionH relativeFrom="column">
                  <wp:posOffset>-66040</wp:posOffset>
                </wp:positionH>
                <wp:positionV relativeFrom="paragraph">
                  <wp:posOffset>70485</wp:posOffset>
                </wp:positionV>
                <wp:extent cx="5573395" cy="0"/>
                <wp:effectExtent l="13970" t="13335" r="13335" b="5715"/>
                <wp:wrapNone/>
                <wp:docPr id="30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ksnAIAAHsFAAAOAAAAZHJzL2Uyb0RvYy54bWysVF1v2yAUfZ+0/4B4d23HzpdVZ2odZy/d&#10;Vqmd9kwAx2gYPKBxqmn/fReSeE33Mk1NJIuPy+Hce87l+sOhk2jPjRValTi9SjDiimom1K7EXx83&#10;0QIj64hiRGrFS/zMLf6wev/ueugLPtGtlowbBCDKFkNf4ta5vohjS1veEXule65gs9GmIw6mZhcz&#10;QwZA72Q8SZJZPGjDeqMptxZW18dNvAr4TcOp+9I0ljskSwzcXPia8N36b7y6JsXOkL4V9ESD/AeL&#10;jggFl45Qa+IIejLiL6hOUKOtbtwV1V2sm0ZQHnKAbNLkVTYPLel5yAWKY/uxTPbtYOnn/b1BgpU4&#10;S1KMFOlApDuhOJrkE1+dobcFBFXq3vj86EE99HeafrdI6aolascDy8fnHg6m/kR8ccRPbA93bIdP&#10;mkEMeXI6lOrQmM5DQhHQISjyPCrCDw5RWJxO51m2nGJEz3sxKc4He2PdR6475AcllsA6AJP9nXWe&#10;CCnOIf4epTdCyiC4VGgo8TKbgSUoAdvZH+Gk1VIwH+XjrdltK2nQnnjvhF9ID3ZehnXCgYOl6Eq8&#10;GINI0XLCasXCdY4IeRwDJak8OA/ePPKE2cHBMKxD4sE3P5fJsl7UizzKJ7M6ypP1OrrZVHk026Tz&#10;6TpbV9U6/eVZp3nRCsa48sTPHk7zf/PIqZuO7htdPJYqvkQPNQWyl0xvNtNknmeLaD6fZlGe1Ul0&#10;u9hU0U2Vzmbz+ra6rV8xrUP29m3IjqX0rPQTqPHQsgEx4U2RTZcT8DUT0POT+VEfROQOHivqDEZG&#10;u2/CtcHD3n0e40L4ReL/J+FH9GMhzhr62ajCKbc/pQLNz/qG1vDdcOyrrWbP9+bcMtDh4dDpNfJP&#10;yMs5jF++mavfAAAA//8DAFBLAwQUAAYACAAAACEA8EBpcd4AAAAJAQAADwAAAGRycy9kb3ducmV2&#10;LnhtbEyPwUrDQBCG74LvsIzgRdpNbKglZlNEEA+CtFUUb9vsmA1mZ8Putolv70gPepz5P/75plpP&#10;rhdHDLHzpCCfZyCQGm86ahW8vjzMViBi0mR07wkVfGOEdX1+VunS+JG2eNylVnAJxVIrsCkNpZSx&#10;seh0nPsBibNPH5xOPIZWmqBHLne9vM6ypXS6I75g9YD3Fpuv3cEpeA5jF9OiKDaYPt4en97t5spt&#10;lbq8mO5uQSSc0h8Mv/qsDjU77f2BTBS9glmeFYxykOcgGFgtbxYg9qeFrCv5/4P6BwAA//8DAFBL&#10;AQItABQABgAIAAAAIQC2gziS/gAAAOEBAAATAAAAAAAAAAAAAAAAAAAAAABbQ29udGVudF9UeXBl&#10;c10ueG1sUEsBAi0AFAAGAAgAAAAhADj9If/WAAAAlAEAAAsAAAAAAAAAAAAAAAAALwEAAF9yZWxz&#10;Ly5yZWxzUEsBAi0AFAAGAAgAAAAhAOUfSSycAgAAewUAAA4AAAAAAAAAAAAAAAAALgIAAGRycy9l&#10;Mm9Eb2MueG1sUEsBAi0AFAAGAAgAAAAhAPBAaXHeAAAACQEAAA8AAAAAAAAAAAAAAAAA9gQAAGRy&#10;cy9kb3ducmV2LnhtbFBLBQYAAAAABAAEAPMAAAABBgAAAAA=&#10;" strokeweight=".26mm">
                <v:stroke joinstyle="miter" endcap="square"/>
              </v:line>
            </w:pict>
          </mc:Fallback>
        </mc:AlternateContent>
      </w:r>
    </w:p>
    <w:p w:rsidR="00B66465" w:rsidRPr="00DE475B" w:rsidRDefault="00B66465" w:rsidP="00B66465">
      <w:pPr>
        <w:pStyle w:val="ARheading3"/>
        <w:tabs>
          <w:tab w:val="left" w:pos="851"/>
        </w:tabs>
        <w:spacing w:after="120"/>
        <w:rPr>
          <w:color w:val="808080"/>
        </w:rPr>
        <w:sectPr w:rsidR="00B66465" w:rsidRPr="00DE475B" w:rsidSect="00B53922">
          <w:footerReference w:type="default" r:id="rId67"/>
          <w:type w:val="continuous"/>
          <w:pgSz w:w="11906" w:h="16838"/>
          <w:pgMar w:top="1440" w:right="1701" w:bottom="1440" w:left="1701" w:header="680" w:footer="680" w:gutter="0"/>
          <w:cols w:space="720"/>
          <w:docGrid w:linePitch="360"/>
        </w:sectPr>
      </w:pPr>
      <w:r>
        <w:rPr>
          <w:color w:val="808080"/>
        </w:rPr>
        <w:t>D1</w:t>
      </w:r>
      <w:r w:rsidRPr="00DE475B">
        <w:rPr>
          <w:color w:val="808080"/>
        </w:rPr>
        <w:t xml:space="preserve"> </w:t>
      </w:r>
      <w:r w:rsidRPr="00846805">
        <w:rPr>
          <w:color w:val="808080"/>
        </w:rPr>
        <w:t>Fair value measurement</w:t>
      </w:r>
      <w:r>
        <w:rPr>
          <w:color w:val="808080"/>
        </w:rPr>
        <w:t xml:space="preserve"> (continued)</w:t>
      </w:r>
    </w:p>
    <w:p w:rsidR="0013184F" w:rsidRPr="00DE475B" w:rsidRDefault="0013184F" w:rsidP="0013184F">
      <w:pPr>
        <w:spacing w:after="120"/>
        <w:rPr>
          <w:rFonts w:ascii="Arial" w:hAnsi="Arial" w:cs="Arial"/>
          <w:b/>
          <w:bCs/>
          <w:sz w:val="20"/>
          <w:szCs w:val="20"/>
        </w:rPr>
        <w:sectPr w:rsidR="0013184F" w:rsidRPr="00DE475B" w:rsidSect="00B53922">
          <w:type w:val="continuous"/>
          <w:pgSz w:w="11906" w:h="16838"/>
          <w:pgMar w:top="1440" w:right="1701" w:bottom="1440" w:left="1701" w:header="680" w:footer="680" w:gutter="0"/>
          <w:cols w:space="566"/>
          <w:docGrid w:linePitch="360"/>
        </w:sectPr>
      </w:pPr>
      <w:r>
        <w:rPr>
          <w:rFonts w:ascii="Arial" w:hAnsi="Arial" w:cs="Arial"/>
          <w:b/>
          <w:bCs/>
          <w:sz w:val="20"/>
          <w:szCs w:val="20"/>
        </w:rPr>
        <w:lastRenderedPageBreak/>
        <w:t>D1-2 Basis</w:t>
      </w:r>
      <w:r w:rsidRPr="00846805">
        <w:rPr>
          <w:rFonts w:ascii="Arial" w:hAnsi="Arial" w:cs="Arial"/>
          <w:b/>
          <w:bCs/>
          <w:sz w:val="20"/>
          <w:szCs w:val="20"/>
        </w:rPr>
        <w:t xml:space="preserve"> for Fair Value</w:t>
      </w:r>
      <w:r>
        <w:rPr>
          <w:rFonts w:ascii="Arial" w:hAnsi="Arial" w:cs="Arial"/>
          <w:b/>
          <w:bCs/>
          <w:sz w:val="20"/>
          <w:szCs w:val="20"/>
        </w:rPr>
        <w:t>s of assets and liabilities</w:t>
      </w:r>
    </w:p>
    <w:tbl>
      <w:tblPr>
        <w:tblW w:w="8647" w:type="dxa"/>
        <w:tblInd w:w="108" w:type="dxa"/>
        <w:tblLayout w:type="fixed"/>
        <w:tblLook w:val="0000" w:firstRow="0" w:lastRow="0" w:firstColumn="0" w:lastColumn="0" w:noHBand="0" w:noVBand="0"/>
      </w:tblPr>
      <w:tblGrid>
        <w:gridCol w:w="3686"/>
        <w:gridCol w:w="4961"/>
      </w:tblGrid>
      <w:tr w:rsidR="00044A37" w:rsidRPr="00DE475B" w:rsidTr="002E4499">
        <w:trPr>
          <w:trHeight w:val="315"/>
        </w:trPr>
        <w:tc>
          <w:tcPr>
            <w:tcW w:w="3686" w:type="dxa"/>
            <w:shd w:val="clear" w:color="auto" w:fill="A6A6A6" w:themeFill="background1" w:themeFillShade="A6"/>
            <w:tcMar>
              <w:top w:w="28" w:type="dxa"/>
              <w:bottom w:w="28" w:type="dxa"/>
            </w:tcMar>
            <w:vAlign w:val="center"/>
          </w:tcPr>
          <w:p w:rsidR="00044A37" w:rsidRDefault="00044A37" w:rsidP="0013184F">
            <w:pPr>
              <w:rPr>
                <w:rFonts w:ascii="Arial" w:hAnsi="Arial" w:cs="Arial"/>
                <w:sz w:val="20"/>
                <w:szCs w:val="20"/>
              </w:rPr>
            </w:pPr>
            <w:r w:rsidRPr="00044A37">
              <w:rPr>
                <w:rFonts w:ascii="Arial" w:hAnsi="Arial" w:cs="Arial"/>
                <w:b/>
                <w:bCs/>
                <w:sz w:val="20"/>
                <w:szCs w:val="20"/>
              </w:rPr>
              <w:lastRenderedPageBreak/>
              <w:t>Heritage and Cultural Assets</w:t>
            </w:r>
          </w:p>
        </w:tc>
        <w:tc>
          <w:tcPr>
            <w:tcW w:w="4961" w:type="dxa"/>
            <w:shd w:val="clear" w:color="auto" w:fill="A6A6A6" w:themeFill="background1" w:themeFillShade="A6"/>
            <w:tcMar>
              <w:top w:w="28" w:type="dxa"/>
              <w:bottom w:w="28" w:type="dxa"/>
            </w:tcMar>
            <w:vAlign w:val="center"/>
          </w:tcPr>
          <w:p w:rsidR="00044A37" w:rsidRPr="0013184F" w:rsidRDefault="00044A37" w:rsidP="00B66465">
            <w:pPr>
              <w:snapToGrid w:val="0"/>
              <w:rPr>
                <w:rFonts w:ascii="Arial" w:hAnsi="Arial" w:cs="Arial"/>
                <w:sz w:val="20"/>
                <w:szCs w:val="20"/>
              </w:rPr>
            </w:pPr>
          </w:p>
        </w:tc>
      </w:tr>
      <w:tr w:rsidR="0013184F" w:rsidRPr="00DE475B" w:rsidTr="002E4499">
        <w:trPr>
          <w:trHeight w:val="315"/>
        </w:trPr>
        <w:tc>
          <w:tcPr>
            <w:tcW w:w="3686" w:type="dxa"/>
            <w:tcBorders>
              <w:bottom w:val="single" w:sz="8" w:space="0" w:color="000000"/>
            </w:tcBorders>
            <w:shd w:val="clear" w:color="auto" w:fill="auto"/>
            <w:tcMar>
              <w:top w:w="28" w:type="dxa"/>
              <w:bottom w:w="28" w:type="dxa"/>
            </w:tcMar>
            <w:vAlign w:val="center"/>
          </w:tcPr>
          <w:p w:rsidR="0013184F" w:rsidRPr="00DE475B" w:rsidRDefault="0013184F" w:rsidP="00044A37">
            <w:pPr>
              <w:spacing w:before="40"/>
              <w:rPr>
                <w:rFonts w:ascii="Arial" w:hAnsi="Arial" w:cs="Arial"/>
                <w:sz w:val="20"/>
                <w:szCs w:val="20"/>
              </w:rPr>
            </w:pPr>
            <w:r>
              <w:rPr>
                <w:rFonts w:ascii="Arial" w:hAnsi="Arial" w:cs="Arial"/>
                <w:sz w:val="20"/>
                <w:szCs w:val="20"/>
              </w:rPr>
              <w:t>Effective date of last s</w:t>
            </w:r>
            <w:r w:rsidRPr="0013184F">
              <w:rPr>
                <w:rFonts w:ascii="Arial" w:hAnsi="Arial" w:cs="Arial"/>
                <w:sz w:val="20"/>
                <w:szCs w:val="20"/>
              </w:rPr>
              <w:t xml:space="preserve">pecific </w:t>
            </w:r>
            <w:r>
              <w:rPr>
                <w:rFonts w:ascii="Arial" w:hAnsi="Arial" w:cs="Arial"/>
                <w:sz w:val="20"/>
                <w:szCs w:val="20"/>
              </w:rPr>
              <w:t>a</w:t>
            </w:r>
            <w:r w:rsidRPr="0013184F">
              <w:rPr>
                <w:rFonts w:ascii="Arial" w:hAnsi="Arial" w:cs="Arial"/>
                <w:sz w:val="20"/>
                <w:szCs w:val="20"/>
              </w:rPr>
              <w:t>ppraisal:</w:t>
            </w:r>
          </w:p>
        </w:tc>
        <w:tc>
          <w:tcPr>
            <w:tcW w:w="4961" w:type="dxa"/>
            <w:tcBorders>
              <w:bottom w:val="single" w:sz="8" w:space="0" w:color="000000"/>
            </w:tcBorders>
            <w:shd w:val="clear" w:color="auto" w:fill="auto"/>
            <w:tcMar>
              <w:top w:w="28" w:type="dxa"/>
              <w:bottom w:w="28" w:type="dxa"/>
            </w:tcMar>
            <w:vAlign w:val="center"/>
          </w:tcPr>
          <w:p w:rsidR="0013184F" w:rsidRPr="00DE475B" w:rsidRDefault="0013184F" w:rsidP="00044A37">
            <w:pPr>
              <w:snapToGrid w:val="0"/>
              <w:spacing w:before="40"/>
              <w:rPr>
                <w:rFonts w:ascii="Arial" w:hAnsi="Arial" w:cs="Arial"/>
                <w:sz w:val="20"/>
                <w:szCs w:val="20"/>
              </w:rPr>
            </w:pPr>
            <w:r w:rsidRPr="0013184F">
              <w:rPr>
                <w:rFonts w:ascii="Arial" w:hAnsi="Arial" w:cs="Arial"/>
                <w:sz w:val="20"/>
                <w:szCs w:val="20"/>
              </w:rPr>
              <w:t>30/06/2017</w:t>
            </w:r>
          </w:p>
        </w:tc>
      </w:tr>
      <w:tr w:rsidR="0013184F" w:rsidRPr="00DE475B" w:rsidTr="002E4499">
        <w:trPr>
          <w:trHeight w:val="315"/>
        </w:trPr>
        <w:tc>
          <w:tcPr>
            <w:tcW w:w="3686" w:type="dxa"/>
            <w:tcBorders>
              <w:top w:val="single" w:sz="8" w:space="0" w:color="000000"/>
              <w:bottom w:val="single" w:sz="8" w:space="0" w:color="000000"/>
            </w:tcBorders>
            <w:shd w:val="clear" w:color="auto" w:fill="auto"/>
            <w:tcMar>
              <w:top w:w="28" w:type="dxa"/>
              <w:bottom w:w="28" w:type="dxa"/>
            </w:tcMar>
            <w:vAlign w:val="center"/>
          </w:tcPr>
          <w:p w:rsidR="0013184F" w:rsidRPr="00DE475B" w:rsidRDefault="0013184F" w:rsidP="00A2292F">
            <w:pPr>
              <w:rPr>
                <w:rFonts w:ascii="Arial" w:hAnsi="Arial" w:cs="Arial"/>
                <w:sz w:val="20"/>
                <w:szCs w:val="20"/>
              </w:rPr>
            </w:pPr>
            <w:r>
              <w:rPr>
                <w:rFonts w:ascii="Arial" w:hAnsi="Arial" w:cs="Arial"/>
                <w:sz w:val="20"/>
                <w:szCs w:val="20"/>
              </w:rPr>
              <w:t>Valuation a</w:t>
            </w:r>
            <w:r w:rsidRPr="0013184F">
              <w:rPr>
                <w:rFonts w:ascii="Arial" w:hAnsi="Arial" w:cs="Arial"/>
                <w:sz w:val="20"/>
                <w:szCs w:val="20"/>
              </w:rPr>
              <w:t>pproach:</w:t>
            </w:r>
          </w:p>
        </w:tc>
        <w:tc>
          <w:tcPr>
            <w:tcW w:w="4961" w:type="dxa"/>
            <w:tcBorders>
              <w:top w:val="single" w:sz="8" w:space="0" w:color="000000"/>
              <w:bottom w:val="single" w:sz="8" w:space="0" w:color="000000"/>
            </w:tcBorders>
            <w:shd w:val="clear" w:color="auto" w:fill="auto"/>
            <w:tcMar>
              <w:top w:w="28" w:type="dxa"/>
              <w:bottom w:w="28" w:type="dxa"/>
            </w:tcMar>
            <w:vAlign w:val="center"/>
          </w:tcPr>
          <w:p w:rsidR="0013184F" w:rsidRPr="00DE475B" w:rsidRDefault="0013184F" w:rsidP="00B66465">
            <w:pPr>
              <w:rPr>
                <w:rFonts w:ascii="Arial" w:hAnsi="Arial" w:cs="Arial"/>
                <w:sz w:val="20"/>
                <w:szCs w:val="20"/>
              </w:rPr>
            </w:pPr>
            <w:r w:rsidRPr="0013184F">
              <w:rPr>
                <w:rFonts w:ascii="Arial" w:hAnsi="Arial" w:cs="Arial"/>
                <w:sz w:val="20"/>
                <w:szCs w:val="20"/>
              </w:rPr>
              <w:t>Market based assessment</w:t>
            </w:r>
          </w:p>
        </w:tc>
      </w:tr>
      <w:tr w:rsidR="0013184F" w:rsidRPr="00DE475B" w:rsidTr="00B53922">
        <w:trPr>
          <w:trHeight w:val="315"/>
        </w:trPr>
        <w:tc>
          <w:tcPr>
            <w:tcW w:w="3686" w:type="dxa"/>
            <w:tcBorders>
              <w:top w:val="single" w:sz="8" w:space="0" w:color="000000"/>
              <w:bottom w:val="single" w:sz="8" w:space="0" w:color="000000"/>
            </w:tcBorders>
            <w:shd w:val="clear" w:color="auto" w:fill="auto"/>
            <w:tcMar>
              <w:top w:w="28" w:type="dxa"/>
              <w:bottom w:w="28" w:type="dxa"/>
            </w:tcMar>
            <w:vAlign w:val="center"/>
          </w:tcPr>
          <w:p w:rsidR="0013184F" w:rsidRPr="00DE475B" w:rsidRDefault="0013184F" w:rsidP="00A2292F">
            <w:pPr>
              <w:rPr>
                <w:rFonts w:ascii="Arial" w:hAnsi="Arial" w:cs="Arial"/>
                <w:sz w:val="20"/>
                <w:szCs w:val="20"/>
              </w:rPr>
            </w:pPr>
            <w:r w:rsidRPr="0013184F">
              <w:rPr>
                <w:rFonts w:ascii="Arial" w:hAnsi="Arial" w:cs="Arial"/>
                <w:sz w:val="20"/>
                <w:szCs w:val="20"/>
              </w:rPr>
              <w:t>Inputs:</w:t>
            </w:r>
          </w:p>
        </w:tc>
        <w:tc>
          <w:tcPr>
            <w:tcW w:w="4961" w:type="dxa"/>
            <w:tcBorders>
              <w:top w:val="single" w:sz="8" w:space="0" w:color="000000"/>
              <w:bottom w:val="single" w:sz="8" w:space="0" w:color="000000"/>
            </w:tcBorders>
            <w:shd w:val="clear" w:color="auto" w:fill="auto"/>
            <w:tcMar>
              <w:top w:w="28" w:type="dxa"/>
              <w:bottom w:w="28" w:type="dxa"/>
            </w:tcMar>
            <w:vAlign w:val="center"/>
          </w:tcPr>
          <w:p w:rsidR="0013184F" w:rsidRPr="0013184F" w:rsidRDefault="0013184F" w:rsidP="0013184F">
            <w:pPr>
              <w:spacing w:before="40" w:after="120"/>
              <w:rPr>
                <w:rFonts w:ascii="Arial" w:hAnsi="Arial" w:cs="Arial"/>
                <w:sz w:val="20"/>
                <w:szCs w:val="20"/>
              </w:rPr>
            </w:pPr>
            <w:r w:rsidRPr="0013184F">
              <w:rPr>
                <w:rFonts w:ascii="Arial" w:hAnsi="Arial" w:cs="Arial"/>
                <w:sz w:val="20"/>
                <w:szCs w:val="20"/>
              </w:rPr>
              <w:t xml:space="preserve">The collection was valued using level 3 observable inputs. Auction records, International and Australian dealer's catalogues, book seller’s pricelists, and offerings on the Internet. PVS has subscription services to </w:t>
            </w:r>
            <w:proofErr w:type="spellStart"/>
            <w:r w:rsidRPr="0013184F">
              <w:rPr>
                <w:rFonts w:ascii="Arial" w:hAnsi="Arial" w:cs="Arial"/>
                <w:sz w:val="20"/>
                <w:szCs w:val="20"/>
              </w:rPr>
              <w:t>ABPC</w:t>
            </w:r>
            <w:proofErr w:type="spellEnd"/>
            <w:r w:rsidRPr="0013184F">
              <w:rPr>
                <w:rFonts w:ascii="Arial" w:hAnsi="Arial" w:cs="Arial"/>
                <w:sz w:val="20"/>
                <w:szCs w:val="20"/>
              </w:rPr>
              <w:t xml:space="preserve"> (American Book Price Current), Rare Book Hub, </w:t>
            </w:r>
            <w:proofErr w:type="spellStart"/>
            <w:r w:rsidRPr="0013184F">
              <w:rPr>
                <w:rFonts w:ascii="Arial" w:hAnsi="Arial" w:cs="Arial"/>
                <w:sz w:val="20"/>
                <w:szCs w:val="20"/>
              </w:rPr>
              <w:t>AASD</w:t>
            </w:r>
            <w:proofErr w:type="spellEnd"/>
            <w:r w:rsidRPr="0013184F">
              <w:rPr>
                <w:rFonts w:ascii="Arial" w:hAnsi="Arial" w:cs="Arial"/>
                <w:sz w:val="20"/>
                <w:szCs w:val="20"/>
              </w:rPr>
              <w:t xml:space="preserve"> (Australian Art Sales Digest), and </w:t>
            </w:r>
            <w:proofErr w:type="spellStart"/>
            <w:r w:rsidRPr="0013184F">
              <w:rPr>
                <w:rFonts w:ascii="Arial" w:hAnsi="Arial" w:cs="Arial"/>
                <w:sz w:val="20"/>
                <w:szCs w:val="20"/>
              </w:rPr>
              <w:t>Findlotsonline</w:t>
            </w:r>
            <w:proofErr w:type="spellEnd"/>
            <w:r w:rsidRPr="0013184F">
              <w:rPr>
                <w:rFonts w:ascii="Arial" w:hAnsi="Arial" w:cs="Arial"/>
                <w:sz w:val="20"/>
                <w:szCs w:val="20"/>
              </w:rPr>
              <w:t xml:space="preserve"> as well as a number of auction houses. Descriptions and notes for items </w:t>
            </w:r>
            <w:proofErr w:type="gramStart"/>
            <w:r w:rsidRPr="0013184F">
              <w:rPr>
                <w:rFonts w:ascii="Arial" w:hAnsi="Arial" w:cs="Arial"/>
                <w:sz w:val="20"/>
                <w:szCs w:val="20"/>
              </w:rPr>
              <w:t>was</w:t>
            </w:r>
            <w:proofErr w:type="gramEnd"/>
            <w:r w:rsidRPr="0013184F">
              <w:rPr>
                <w:rFonts w:ascii="Arial" w:hAnsi="Arial" w:cs="Arial"/>
                <w:sz w:val="20"/>
                <w:szCs w:val="20"/>
              </w:rPr>
              <w:t xml:space="preserve"> attained from </w:t>
            </w:r>
            <w:proofErr w:type="spellStart"/>
            <w:r w:rsidRPr="0013184F">
              <w:rPr>
                <w:rFonts w:ascii="Arial" w:hAnsi="Arial" w:cs="Arial"/>
                <w:sz w:val="20"/>
                <w:szCs w:val="20"/>
              </w:rPr>
              <w:t>SLQ’s</w:t>
            </w:r>
            <w:proofErr w:type="spellEnd"/>
            <w:r w:rsidRPr="0013184F">
              <w:rPr>
                <w:rFonts w:ascii="Arial" w:hAnsi="Arial" w:cs="Arial"/>
                <w:sz w:val="20"/>
                <w:szCs w:val="20"/>
              </w:rPr>
              <w:t xml:space="preserve"> One Search database.</w:t>
            </w:r>
          </w:p>
          <w:p w:rsidR="0013184F" w:rsidRPr="00DE475B" w:rsidRDefault="0013184F" w:rsidP="0013184F">
            <w:pPr>
              <w:spacing w:after="40"/>
              <w:rPr>
                <w:rFonts w:ascii="Arial" w:hAnsi="Arial" w:cs="Arial"/>
                <w:sz w:val="20"/>
                <w:szCs w:val="20"/>
              </w:rPr>
            </w:pPr>
            <w:r w:rsidRPr="0013184F">
              <w:rPr>
                <w:rFonts w:ascii="Arial" w:hAnsi="Arial" w:cs="Arial"/>
                <w:sz w:val="20"/>
                <w:szCs w:val="20"/>
              </w:rPr>
              <w:t>Where market prices could not be easily established the value was determined using the price of a similar asset.</w:t>
            </w:r>
          </w:p>
        </w:tc>
      </w:tr>
      <w:tr w:rsidR="0013184F" w:rsidRPr="00DE475B" w:rsidTr="00B53922">
        <w:trPr>
          <w:trHeight w:val="315"/>
        </w:trPr>
        <w:tc>
          <w:tcPr>
            <w:tcW w:w="3686" w:type="dxa"/>
            <w:tcBorders>
              <w:top w:val="single" w:sz="8" w:space="0" w:color="000000"/>
            </w:tcBorders>
            <w:shd w:val="clear" w:color="auto" w:fill="auto"/>
            <w:tcMar>
              <w:top w:w="28" w:type="dxa"/>
              <w:bottom w:w="28" w:type="dxa"/>
            </w:tcMar>
            <w:vAlign w:val="center"/>
          </w:tcPr>
          <w:p w:rsidR="0013184F" w:rsidRPr="00DE475B" w:rsidRDefault="0013184F" w:rsidP="00A2292F">
            <w:pPr>
              <w:rPr>
                <w:rFonts w:ascii="Arial" w:hAnsi="Arial" w:cs="Arial"/>
                <w:sz w:val="20"/>
                <w:szCs w:val="20"/>
              </w:rPr>
            </w:pPr>
            <w:r>
              <w:rPr>
                <w:rFonts w:ascii="Arial" w:hAnsi="Arial" w:cs="Arial"/>
                <w:sz w:val="20"/>
                <w:szCs w:val="20"/>
              </w:rPr>
              <w:t>Current year valuation a</w:t>
            </w:r>
            <w:r w:rsidRPr="0013184F">
              <w:rPr>
                <w:rFonts w:ascii="Arial" w:hAnsi="Arial" w:cs="Arial"/>
                <w:sz w:val="20"/>
                <w:szCs w:val="20"/>
              </w:rPr>
              <w:t>ctivity:</w:t>
            </w:r>
          </w:p>
        </w:tc>
        <w:tc>
          <w:tcPr>
            <w:tcW w:w="4961" w:type="dxa"/>
            <w:tcBorders>
              <w:top w:val="single" w:sz="8" w:space="0" w:color="000000"/>
            </w:tcBorders>
            <w:shd w:val="clear" w:color="auto" w:fill="auto"/>
            <w:tcMar>
              <w:top w:w="28" w:type="dxa"/>
              <w:bottom w:w="28" w:type="dxa"/>
            </w:tcMar>
            <w:vAlign w:val="center"/>
          </w:tcPr>
          <w:p w:rsidR="0013184F" w:rsidRDefault="0013184F" w:rsidP="00B66465">
            <w:pPr>
              <w:spacing w:before="40" w:after="40"/>
              <w:rPr>
                <w:rFonts w:ascii="Arial" w:hAnsi="Arial" w:cs="Arial"/>
                <w:sz w:val="20"/>
                <w:szCs w:val="20"/>
              </w:rPr>
            </w:pPr>
            <w:r w:rsidRPr="0013184F">
              <w:rPr>
                <w:rFonts w:ascii="Arial" w:hAnsi="Arial" w:cs="Arial"/>
                <w:sz w:val="20"/>
                <w:szCs w:val="20"/>
              </w:rPr>
              <w:t xml:space="preserve">An independent revaluation of the </w:t>
            </w:r>
            <w:proofErr w:type="spellStart"/>
            <w:r w:rsidRPr="0013184F">
              <w:rPr>
                <w:rFonts w:ascii="Arial" w:hAnsi="Arial" w:cs="Arial"/>
                <w:sz w:val="20"/>
                <w:szCs w:val="20"/>
              </w:rPr>
              <w:t>JOL</w:t>
            </w:r>
            <w:proofErr w:type="spellEnd"/>
            <w:r w:rsidRPr="0013184F">
              <w:rPr>
                <w:rFonts w:ascii="Arial" w:hAnsi="Arial" w:cs="Arial"/>
                <w:sz w:val="20"/>
                <w:szCs w:val="20"/>
              </w:rPr>
              <w:t xml:space="preserve"> and ALA collections was undertaken as at 30 June 2017 to determine the fair value of these assets. The revaluation was conducted by Pickles Valuation Services and was done in accordance with the reporting requirements of Queensland Treasury’s Non-Current Asset Policies for the Queensland Public Sector, </w:t>
            </w:r>
            <w:proofErr w:type="spellStart"/>
            <w:r w:rsidRPr="0013184F">
              <w:rPr>
                <w:rFonts w:ascii="Arial" w:hAnsi="Arial" w:cs="Arial"/>
                <w:sz w:val="20"/>
                <w:szCs w:val="20"/>
              </w:rPr>
              <w:t>NCAP</w:t>
            </w:r>
            <w:proofErr w:type="spellEnd"/>
            <w:r w:rsidRPr="0013184F">
              <w:rPr>
                <w:rFonts w:ascii="Arial" w:hAnsi="Arial" w:cs="Arial"/>
                <w:sz w:val="20"/>
                <w:szCs w:val="20"/>
              </w:rPr>
              <w:t xml:space="preserve"> 7 - Accounting for Library Collections Policy and </w:t>
            </w:r>
            <w:proofErr w:type="spellStart"/>
            <w:r w:rsidRPr="0013184F">
              <w:rPr>
                <w:rFonts w:ascii="Arial" w:hAnsi="Arial" w:cs="Arial"/>
                <w:sz w:val="20"/>
                <w:szCs w:val="20"/>
              </w:rPr>
              <w:t>NCAP</w:t>
            </w:r>
            <w:proofErr w:type="spellEnd"/>
            <w:r w:rsidRPr="0013184F">
              <w:rPr>
                <w:rFonts w:ascii="Arial" w:hAnsi="Arial" w:cs="Arial"/>
                <w:sz w:val="20"/>
                <w:szCs w:val="20"/>
              </w:rPr>
              <w:t xml:space="preserve"> 3 – Valuation of Assets; the Australian Accounting Standard Boards (</w:t>
            </w:r>
            <w:proofErr w:type="spellStart"/>
            <w:r w:rsidRPr="0013184F">
              <w:rPr>
                <w:rFonts w:ascii="Arial" w:hAnsi="Arial" w:cs="Arial"/>
                <w:sz w:val="20"/>
                <w:szCs w:val="20"/>
              </w:rPr>
              <w:t>AASB</w:t>
            </w:r>
            <w:proofErr w:type="spellEnd"/>
            <w:r w:rsidRPr="0013184F">
              <w:rPr>
                <w:rFonts w:ascii="Arial" w:hAnsi="Arial" w:cs="Arial"/>
                <w:sz w:val="20"/>
                <w:szCs w:val="20"/>
              </w:rPr>
              <w:t xml:space="preserve">) Standards </w:t>
            </w:r>
            <w:proofErr w:type="spellStart"/>
            <w:r w:rsidRPr="0013184F">
              <w:rPr>
                <w:rFonts w:ascii="Arial" w:hAnsi="Arial" w:cs="Arial"/>
                <w:sz w:val="20"/>
                <w:szCs w:val="20"/>
              </w:rPr>
              <w:t>AASB</w:t>
            </w:r>
            <w:proofErr w:type="spellEnd"/>
            <w:r w:rsidRPr="0013184F">
              <w:rPr>
                <w:rFonts w:ascii="Arial" w:hAnsi="Arial" w:cs="Arial"/>
                <w:sz w:val="20"/>
                <w:szCs w:val="20"/>
              </w:rPr>
              <w:t xml:space="preserve"> 13, </w:t>
            </w:r>
            <w:proofErr w:type="spellStart"/>
            <w:r w:rsidRPr="0013184F">
              <w:rPr>
                <w:rFonts w:ascii="Arial" w:hAnsi="Arial" w:cs="Arial"/>
                <w:sz w:val="20"/>
                <w:szCs w:val="20"/>
              </w:rPr>
              <w:t>AASB</w:t>
            </w:r>
            <w:proofErr w:type="spellEnd"/>
            <w:r w:rsidRPr="0013184F">
              <w:rPr>
                <w:rFonts w:ascii="Arial" w:hAnsi="Arial" w:cs="Arial"/>
                <w:sz w:val="20"/>
                <w:szCs w:val="20"/>
              </w:rPr>
              <w:t xml:space="preserve"> 116, </w:t>
            </w:r>
            <w:proofErr w:type="spellStart"/>
            <w:r w:rsidRPr="0013184F">
              <w:rPr>
                <w:rFonts w:ascii="Arial" w:hAnsi="Arial" w:cs="Arial"/>
                <w:sz w:val="20"/>
                <w:szCs w:val="20"/>
              </w:rPr>
              <w:t>AASB</w:t>
            </w:r>
            <w:proofErr w:type="spellEnd"/>
            <w:r w:rsidRPr="0013184F">
              <w:rPr>
                <w:rFonts w:ascii="Arial" w:hAnsi="Arial" w:cs="Arial"/>
                <w:sz w:val="20"/>
                <w:szCs w:val="20"/>
              </w:rPr>
              <w:t xml:space="preserve"> 136, and SLQ Accounting for Library Collections Policy.</w:t>
            </w:r>
          </w:p>
          <w:p w:rsidR="00B53922" w:rsidRPr="00DE475B" w:rsidRDefault="00B53922" w:rsidP="00B66465">
            <w:pPr>
              <w:spacing w:before="40" w:after="40"/>
              <w:rPr>
                <w:rFonts w:ascii="Arial" w:hAnsi="Arial" w:cs="Arial"/>
                <w:sz w:val="20"/>
                <w:szCs w:val="20"/>
              </w:rPr>
            </w:pPr>
          </w:p>
        </w:tc>
      </w:tr>
      <w:tr w:rsidR="0013184F" w:rsidRPr="00DE475B" w:rsidTr="002E4499">
        <w:trPr>
          <w:trHeight w:val="315"/>
        </w:trPr>
        <w:tc>
          <w:tcPr>
            <w:tcW w:w="3686" w:type="dxa"/>
            <w:shd w:val="clear" w:color="auto" w:fill="A6A6A6" w:themeFill="background1" w:themeFillShade="A6"/>
            <w:tcMar>
              <w:top w:w="28" w:type="dxa"/>
              <w:bottom w:w="28" w:type="dxa"/>
            </w:tcMar>
            <w:vAlign w:val="center"/>
          </w:tcPr>
          <w:p w:rsidR="0013184F" w:rsidRPr="00B66465" w:rsidRDefault="00B66465" w:rsidP="00A2292F">
            <w:pPr>
              <w:rPr>
                <w:rFonts w:ascii="Arial" w:hAnsi="Arial" w:cs="Arial"/>
                <w:i/>
                <w:iCs/>
                <w:sz w:val="20"/>
                <w:szCs w:val="20"/>
              </w:rPr>
            </w:pPr>
            <w:r w:rsidRPr="00044A37">
              <w:rPr>
                <w:rFonts w:ascii="Arial" w:hAnsi="Arial" w:cs="Arial"/>
                <w:b/>
                <w:bCs/>
                <w:sz w:val="20"/>
                <w:szCs w:val="20"/>
              </w:rPr>
              <w:t>Library Collections</w:t>
            </w:r>
          </w:p>
        </w:tc>
        <w:tc>
          <w:tcPr>
            <w:tcW w:w="4961" w:type="dxa"/>
            <w:shd w:val="clear" w:color="auto" w:fill="A6A6A6" w:themeFill="background1" w:themeFillShade="A6"/>
            <w:tcMar>
              <w:top w:w="28" w:type="dxa"/>
              <w:bottom w:w="28" w:type="dxa"/>
            </w:tcMar>
            <w:vAlign w:val="center"/>
          </w:tcPr>
          <w:p w:rsidR="0013184F" w:rsidRPr="00DE475B" w:rsidRDefault="0013184F" w:rsidP="00A2292F">
            <w:pPr>
              <w:jc w:val="center"/>
              <w:rPr>
                <w:rFonts w:ascii="Arial" w:hAnsi="Arial" w:cs="Arial"/>
                <w:sz w:val="20"/>
                <w:szCs w:val="20"/>
              </w:rPr>
            </w:pPr>
          </w:p>
        </w:tc>
      </w:tr>
      <w:tr w:rsidR="00B66465" w:rsidRPr="00DE475B" w:rsidTr="002E4499">
        <w:trPr>
          <w:trHeight w:val="315"/>
        </w:trPr>
        <w:tc>
          <w:tcPr>
            <w:tcW w:w="3686" w:type="dxa"/>
            <w:tcBorders>
              <w:bottom w:val="single" w:sz="8" w:space="0" w:color="000000"/>
            </w:tcBorders>
            <w:shd w:val="clear" w:color="auto" w:fill="auto"/>
            <w:tcMar>
              <w:top w:w="28" w:type="dxa"/>
              <w:bottom w:w="28" w:type="dxa"/>
            </w:tcMar>
            <w:vAlign w:val="center"/>
          </w:tcPr>
          <w:p w:rsidR="00B66465" w:rsidRPr="00DE475B" w:rsidRDefault="00B66465" w:rsidP="00044A37">
            <w:pPr>
              <w:spacing w:before="40"/>
              <w:rPr>
                <w:rFonts w:ascii="Arial" w:hAnsi="Arial" w:cs="Arial"/>
                <w:sz w:val="20"/>
                <w:szCs w:val="20"/>
              </w:rPr>
            </w:pPr>
            <w:r>
              <w:rPr>
                <w:rFonts w:ascii="Arial" w:hAnsi="Arial" w:cs="Arial"/>
                <w:sz w:val="20"/>
                <w:szCs w:val="20"/>
              </w:rPr>
              <w:t>Effective date of last s</w:t>
            </w:r>
            <w:r w:rsidRPr="0013184F">
              <w:rPr>
                <w:rFonts w:ascii="Arial" w:hAnsi="Arial" w:cs="Arial"/>
                <w:sz w:val="20"/>
                <w:szCs w:val="20"/>
              </w:rPr>
              <w:t xml:space="preserve">pecific </w:t>
            </w:r>
            <w:r>
              <w:rPr>
                <w:rFonts w:ascii="Arial" w:hAnsi="Arial" w:cs="Arial"/>
                <w:sz w:val="20"/>
                <w:szCs w:val="20"/>
              </w:rPr>
              <w:t>a</w:t>
            </w:r>
            <w:r w:rsidRPr="0013184F">
              <w:rPr>
                <w:rFonts w:ascii="Arial" w:hAnsi="Arial" w:cs="Arial"/>
                <w:sz w:val="20"/>
                <w:szCs w:val="20"/>
              </w:rPr>
              <w:t>ppraisal:</w:t>
            </w:r>
          </w:p>
        </w:tc>
        <w:tc>
          <w:tcPr>
            <w:tcW w:w="4961" w:type="dxa"/>
            <w:tcBorders>
              <w:bottom w:val="single" w:sz="8" w:space="0" w:color="000000"/>
            </w:tcBorders>
            <w:shd w:val="clear" w:color="auto" w:fill="auto"/>
            <w:tcMar>
              <w:top w:w="28" w:type="dxa"/>
              <w:bottom w:w="28" w:type="dxa"/>
            </w:tcMar>
            <w:vAlign w:val="center"/>
          </w:tcPr>
          <w:p w:rsidR="00B66465" w:rsidRPr="00DE475B" w:rsidRDefault="00B66465" w:rsidP="00044A37">
            <w:pPr>
              <w:spacing w:before="40"/>
              <w:rPr>
                <w:rFonts w:ascii="Arial" w:hAnsi="Arial" w:cs="Arial"/>
                <w:sz w:val="20"/>
                <w:szCs w:val="20"/>
              </w:rPr>
            </w:pPr>
            <w:r w:rsidRPr="0013184F">
              <w:rPr>
                <w:rFonts w:ascii="Arial" w:hAnsi="Arial" w:cs="Arial"/>
                <w:sz w:val="20"/>
                <w:szCs w:val="20"/>
              </w:rPr>
              <w:t>30/06/2017</w:t>
            </w:r>
          </w:p>
        </w:tc>
      </w:tr>
      <w:tr w:rsidR="00B66465" w:rsidRPr="00DE475B" w:rsidTr="002E4499">
        <w:trPr>
          <w:trHeight w:val="315"/>
        </w:trPr>
        <w:tc>
          <w:tcPr>
            <w:tcW w:w="3686" w:type="dxa"/>
            <w:tcBorders>
              <w:top w:val="single" w:sz="8" w:space="0" w:color="000000"/>
              <w:bottom w:val="single" w:sz="8" w:space="0" w:color="000000"/>
            </w:tcBorders>
            <w:shd w:val="clear" w:color="auto" w:fill="auto"/>
            <w:tcMar>
              <w:top w:w="28" w:type="dxa"/>
              <w:bottom w:w="28" w:type="dxa"/>
            </w:tcMar>
            <w:vAlign w:val="center"/>
          </w:tcPr>
          <w:p w:rsidR="00B66465" w:rsidRPr="00DE475B" w:rsidRDefault="00B66465" w:rsidP="00A2292F">
            <w:pPr>
              <w:rPr>
                <w:rFonts w:ascii="Arial" w:hAnsi="Arial" w:cs="Arial"/>
                <w:sz w:val="20"/>
                <w:szCs w:val="20"/>
              </w:rPr>
            </w:pPr>
            <w:r>
              <w:rPr>
                <w:rFonts w:ascii="Arial" w:hAnsi="Arial" w:cs="Arial"/>
                <w:sz w:val="20"/>
                <w:szCs w:val="20"/>
              </w:rPr>
              <w:t>Valuation a</w:t>
            </w:r>
            <w:r w:rsidRPr="0013184F">
              <w:rPr>
                <w:rFonts w:ascii="Arial" w:hAnsi="Arial" w:cs="Arial"/>
                <w:sz w:val="20"/>
                <w:szCs w:val="20"/>
              </w:rPr>
              <w:t>pproach:</w:t>
            </w:r>
          </w:p>
        </w:tc>
        <w:tc>
          <w:tcPr>
            <w:tcW w:w="4961" w:type="dxa"/>
            <w:tcBorders>
              <w:top w:val="single" w:sz="8" w:space="0" w:color="000000"/>
              <w:bottom w:val="single" w:sz="8" w:space="0" w:color="000000"/>
            </w:tcBorders>
            <w:shd w:val="clear" w:color="auto" w:fill="auto"/>
            <w:tcMar>
              <w:top w:w="28" w:type="dxa"/>
              <w:bottom w:w="28" w:type="dxa"/>
            </w:tcMar>
            <w:vAlign w:val="center"/>
          </w:tcPr>
          <w:p w:rsidR="00B66465" w:rsidRPr="00DE475B" w:rsidRDefault="00B66465" w:rsidP="00B66465">
            <w:pPr>
              <w:spacing w:before="40" w:after="40"/>
              <w:rPr>
                <w:rFonts w:ascii="Arial" w:hAnsi="Arial" w:cs="Arial"/>
                <w:b/>
                <w:sz w:val="20"/>
                <w:szCs w:val="20"/>
              </w:rPr>
            </w:pPr>
            <w:r w:rsidRPr="00B66465">
              <w:rPr>
                <w:rFonts w:ascii="Arial" w:hAnsi="Arial" w:cs="Arial"/>
                <w:sz w:val="20"/>
                <w:szCs w:val="20"/>
              </w:rPr>
              <w:t xml:space="preserve">Internal valuation based on purchase data collected as per </w:t>
            </w:r>
            <w:proofErr w:type="spellStart"/>
            <w:r w:rsidRPr="00B66465">
              <w:rPr>
                <w:rFonts w:ascii="Arial" w:hAnsi="Arial" w:cs="Arial"/>
                <w:sz w:val="20"/>
                <w:szCs w:val="20"/>
              </w:rPr>
              <w:t>NCAP</w:t>
            </w:r>
            <w:proofErr w:type="spellEnd"/>
            <w:r w:rsidRPr="00B66465">
              <w:rPr>
                <w:rFonts w:ascii="Arial" w:hAnsi="Arial" w:cs="Arial"/>
                <w:sz w:val="20"/>
                <w:szCs w:val="20"/>
              </w:rPr>
              <w:t xml:space="preserve"> 7</w:t>
            </w:r>
          </w:p>
        </w:tc>
      </w:tr>
      <w:tr w:rsidR="00B66465" w:rsidRPr="00DE475B" w:rsidTr="002E4499">
        <w:trPr>
          <w:trHeight w:val="315"/>
        </w:trPr>
        <w:tc>
          <w:tcPr>
            <w:tcW w:w="3686" w:type="dxa"/>
            <w:tcBorders>
              <w:top w:val="single" w:sz="8" w:space="0" w:color="000000"/>
              <w:bottom w:val="single" w:sz="8" w:space="0" w:color="000000"/>
            </w:tcBorders>
            <w:shd w:val="clear" w:color="auto" w:fill="auto"/>
            <w:tcMar>
              <w:top w:w="28" w:type="dxa"/>
              <w:bottom w:w="28" w:type="dxa"/>
            </w:tcMar>
            <w:vAlign w:val="center"/>
          </w:tcPr>
          <w:p w:rsidR="00B66465" w:rsidRPr="00DE475B" w:rsidRDefault="00B66465" w:rsidP="00A2292F">
            <w:pPr>
              <w:rPr>
                <w:rFonts w:ascii="Arial" w:hAnsi="Arial" w:cs="Arial"/>
                <w:sz w:val="20"/>
                <w:szCs w:val="20"/>
              </w:rPr>
            </w:pPr>
            <w:r w:rsidRPr="0013184F">
              <w:rPr>
                <w:rFonts w:ascii="Arial" w:hAnsi="Arial" w:cs="Arial"/>
                <w:sz w:val="20"/>
                <w:szCs w:val="20"/>
              </w:rPr>
              <w:t>Inputs:</w:t>
            </w:r>
          </w:p>
        </w:tc>
        <w:tc>
          <w:tcPr>
            <w:tcW w:w="4961" w:type="dxa"/>
            <w:tcBorders>
              <w:top w:val="single" w:sz="8" w:space="0" w:color="000000"/>
              <w:bottom w:val="single" w:sz="8" w:space="0" w:color="000000"/>
            </w:tcBorders>
            <w:shd w:val="clear" w:color="auto" w:fill="auto"/>
            <w:tcMar>
              <w:top w:w="28" w:type="dxa"/>
              <w:bottom w:w="28" w:type="dxa"/>
            </w:tcMar>
            <w:vAlign w:val="center"/>
          </w:tcPr>
          <w:p w:rsidR="00B66465" w:rsidRPr="00B66465" w:rsidRDefault="00B66465" w:rsidP="00B66465">
            <w:pPr>
              <w:spacing w:before="40" w:after="40"/>
              <w:rPr>
                <w:rFonts w:ascii="Arial" w:hAnsi="Arial" w:cs="Arial"/>
                <w:sz w:val="20"/>
                <w:szCs w:val="20"/>
              </w:rPr>
            </w:pPr>
            <w:r w:rsidRPr="00B66465">
              <w:rPr>
                <w:rFonts w:ascii="Arial" w:hAnsi="Arial" w:cs="Arial"/>
                <w:sz w:val="20"/>
                <w:szCs w:val="20"/>
              </w:rPr>
              <w:t>Purchase data over the past 5 years by category and sub-category along with collection counts.</w:t>
            </w:r>
          </w:p>
        </w:tc>
      </w:tr>
      <w:tr w:rsidR="00B66465" w:rsidRPr="00DE475B" w:rsidTr="002E4499">
        <w:trPr>
          <w:trHeight w:val="315"/>
        </w:trPr>
        <w:tc>
          <w:tcPr>
            <w:tcW w:w="3686" w:type="dxa"/>
            <w:tcBorders>
              <w:top w:val="single" w:sz="8" w:space="0" w:color="000000"/>
              <w:bottom w:val="single" w:sz="8" w:space="0" w:color="000000"/>
            </w:tcBorders>
            <w:shd w:val="clear" w:color="auto" w:fill="auto"/>
            <w:tcMar>
              <w:top w:w="28" w:type="dxa"/>
              <w:bottom w:w="28" w:type="dxa"/>
            </w:tcMar>
            <w:vAlign w:val="center"/>
          </w:tcPr>
          <w:p w:rsidR="00B66465" w:rsidRPr="00DE475B" w:rsidRDefault="00B66465" w:rsidP="00A2292F">
            <w:pPr>
              <w:rPr>
                <w:rFonts w:ascii="Arial" w:hAnsi="Arial" w:cs="Arial"/>
                <w:sz w:val="20"/>
                <w:szCs w:val="20"/>
              </w:rPr>
            </w:pPr>
            <w:r>
              <w:rPr>
                <w:rFonts w:ascii="Arial" w:hAnsi="Arial" w:cs="Arial"/>
                <w:sz w:val="20"/>
                <w:szCs w:val="20"/>
              </w:rPr>
              <w:t>Current year valuation a</w:t>
            </w:r>
            <w:r w:rsidRPr="0013184F">
              <w:rPr>
                <w:rFonts w:ascii="Arial" w:hAnsi="Arial" w:cs="Arial"/>
                <w:sz w:val="20"/>
                <w:szCs w:val="20"/>
              </w:rPr>
              <w:t>ctivity:</w:t>
            </w:r>
          </w:p>
        </w:tc>
        <w:tc>
          <w:tcPr>
            <w:tcW w:w="4961" w:type="dxa"/>
            <w:tcBorders>
              <w:top w:val="single" w:sz="8" w:space="0" w:color="000000"/>
              <w:bottom w:val="single" w:sz="8" w:space="0" w:color="000000"/>
            </w:tcBorders>
            <w:shd w:val="clear" w:color="auto" w:fill="auto"/>
            <w:tcMar>
              <w:top w:w="28" w:type="dxa"/>
              <w:bottom w:w="28" w:type="dxa"/>
            </w:tcMar>
            <w:vAlign w:val="center"/>
          </w:tcPr>
          <w:p w:rsidR="00B66465" w:rsidRPr="00B66465" w:rsidRDefault="00B66465" w:rsidP="00B66465">
            <w:pPr>
              <w:spacing w:before="40" w:after="40"/>
              <w:rPr>
                <w:rFonts w:ascii="Arial" w:hAnsi="Arial" w:cs="Arial"/>
                <w:sz w:val="20"/>
                <w:szCs w:val="20"/>
              </w:rPr>
            </w:pPr>
            <w:r w:rsidRPr="00B66465">
              <w:rPr>
                <w:rFonts w:ascii="Arial" w:hAnsi="Arial" w:cs="Arial"/>
                <w:sz w:val="20"/>
                <w:szCs w:val="20"/>
              </w:rPr>
              <w:t>Library Collections are valued on an annual basis by management in line with Queensland Treasury's Non-Current Asset Accounting Policies for the Queensland Public Sector. State Library uses acquisition records for the previous 5 years in calculating average purchase prices which are then applied to titles within the Library Collection.</w:t>
            </w:r>
          </w:p>
        </w:tc>
      </w:tr>
    </w:tbl>
    <w:p w:rsidR="0013184F" w:rsidRDefault="0013184F" w:rsidP="0013184F">
      <w:pPr>
        <w:spacing w:after="120"/>
        <w:rPr>
          <w:rFonts w:ascii="Arial" w:hAnsi="Arial" w:cs="Arial"/>
          <w:sz w:val="20"/>
          <w:szCs w:val="20"/>
        </w:rPr>
      </w:pPr>
    </w:p>
    <w:p w:rsidR="0013184F" w:rsidRDefault="0013184F" w:rsidP="0013184F">
      <w:pPr>
        <w:spacing w:after="120"/>
        <w:rPr>
          <w:rFonts w:ascii="Arial" w:hAnsi="Arial" w:cs="Arial"/>
          <w:sz w:val="20"/>
          <w:szCs w:val="20"/>
        </w:rPr>
      </w:pPr>
    </w:p>
    <w:p w:rsidR="0043063F" w:rsidRPr="00DE475B" w:rsidRDefault="0009209A" w:rsidP="0013184F">
      <w:pPr>
        <w:pStyle w:val="ARbodytext"/>
        <w:rPr>
          <w:b/>
          <w:bCs/>
        </w:rPr>
      </w:pPr>
      <w:r w:rsidRPr="00DE475B">
        <w:br w:type="page"/>
      </w:r>
      <w:r w:rsidR="0043063F" w:rsidRPr="00DE475B">
        <w:rPr>
          <w:b/>
          <w:bCs/>
          <w:i/>
          <w:iCs/>
        </w:rPr>
        <w:lastRenderedPageBreak/>
        <w:t>Library Board of Queensland and controlled entities</w:t>
      </w:r>
    </w:p>
    <w:p w:rsidR="0043063F" w:rsidRPr="00DE475B" w:rsidRDefault="00373FFE" w:rsidP="0043063F">
      <w:pPr>
        <w:rPr>
          <w:rFonts w:ascii="Arial" w:hAnsi="Arial" w:cs="Arial"/>
          <w:b/>
          <w:bCs/>
          <w:sz w:val="20"/>
          <w:szCs w:val="20"/>
        </w:rPr>
      </w:pPr>
      <w:r w:rsidRPr="00DE475B">
        <w:rPr>
          <w:noProof/>
          <w:lang w:eastAsia="en-AU"/>
        </w:rPr>
        <mc:AlternateContent>
          <mc:Choice Requires="wps">
            <w:drawing>
              <wp:anchor distT="0" distB="0" distL="114300" distR="114300" simplePos="0" relativeHeight="251652096" behindDoc="0" locked="0" layoutInCell="1" allowOverlap="1" wp14:anchorId="0E620D59" wp14:editId="62A6D71D">
                <wp:simplePos x="0" y="0"/>
                <wp:positionH relativeFrom="column">
                  <wp:posOffset>-66040</wp:posOffset>
                </wp:positionH>
                <wp:positionV relativeFrom="paragraph">
                  <wp:posOffset>-222250</wp:posOffset>
                </wp:positionV>
                <wp:extent cx="5573395" cy="0"/>
                <wp:effectExtent l="13970" t="9525" r="13335" b="9525"/>
                <wp:wrapNone/>
                <wp:docPr id="36"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N5nAIAAHoFAAAOAAAAZHJzL2Uyb0RvYy54bWysVE1v2zAMvQ/YfxB0d23Hdj6MOkXrOLt0&#10;W4F22FmR5ViYLHmSGicY+t9HKYnXdJdhaAIYokRSj3yPur7ZdwLtmDZcyQLHVxFGTFJVc7kt8Len&#10;dTDHyFgiayKUZAU+MINvlh8/XA99ziaqVaJmGkESafKhL3BrbZ+HoaEt64i5Uj2TcNgo3RELpt6G&#10;tSYDZO9EOImiaTgoXfdaUWYM7K6Oh3jp8zcNo/Zr0xhmkSgwYLP+q/13477h8prkW036ltMTDPIf&#10;KDrCJVw6ploRS9Cz5n+l6jjVyqjGXlHVhappOGW+Bqgmjt5U89iSnvlaoDmmH9tk3i8t/bJ70IjX&#10;BU6mGEnSAUf3XDI0STLXnKE3OfiU8kG78uhePvb3iv4wSKqyJXLLPMinQw+BsYsIL0KcYXq4YjN8&#10;VjX4kGerfKf2je5cSugB2ntCDiMhbG8Rhc0smyXJIsOIns9Ckp8De23sJ6Y65BYFFoDaJya7e2Md&#10;EJKfXdw9Uq25EJ5vIdFQ4EUyBUVQAqozP32kUYLXzsv5G73dlEKjHXHS8T9fHpy8duu4BQEL3hV4&#10;PjqRvGWkrmTtr7OEi+MaIAnpkjMvzSNOsPYWln4fCvey+bWIFtW8mqdBOplWQRqtVsHtukyD6Tqe&#10;ZatkVZar+MWhjtO85XXNpAN+lnCc/ptETsN0FN8o4rFV4WV231MAe4n0dp1FszSZB7NZlgRpUkXB&#10;3XxdBrdlPJ3OqrvyrnqDtPLVm/cBO7bSoVLPwMZjWw+o5k4USbaYxBgMGPnJ7MgPImILbxW1GiOt&#10;7HduW69hpz6X44L4eeT+J+LH7MdGnDl01sjCqbY/rQLOz/z60XDTcJyrjaoPD/o8MjDgPuj0GLkX&#10;5LUN69dP5vI3AAAA//8DAFBLAwQUAAYACAAAACEA3tirZ+AAAAALAQAADwAAAGRycy9kb3ducmV2&#10;LnhtbEyPQUvDQBCF74L/YRnBi7SbmlhLzKaIIB4Eaaso3rbZMRvMzobdbRP/vSMIepuZ93jzvWo9&#10;uV4cMcTOk4LFPAOB1HjTUavg5fl+tgIRkyaje0+o4AsjrOvTk0qXxo+0xeMutYJDKJZagU1pKKWM&#10;jUWn49wPSKx9+OB04jW00gQ9crjr5WWWLaXTHfEHqwe8s9h87g5OwVMYu5jyothgen99eHyzmwu3&#10;Ver8bLq9AZFwSn9m+MFndKiZae8PZKLoFcwWWcFWHvIrLsWO1fI6B7H/vci6kv871N8AAAD//wMA&#10;UEsBAi0AFAAGAAgAAAAhALaDOJL+AAAA4QEAABMAAAAAAAAAAAAAAAAAAAAAAFtDb250ZW50X1R5&#10;cGVzXS54bWxQSwECLQAUAAYACAAAACEAOP0h/9YAAACUAQAACwAAAAAAAAAAAAAAAAAvAQAAX3Jl&#10;bHMvLnJlbHNQSwECLQAUAAYACAAAACEAGLeDeZwCAAB6BQAADgAAAAAAAAAAAAAAAAAuAgAAZHJz&#10;L2Uyb0RvYy54bWxQSwECLQAUAAYACAAAACEA3tirZ+AAAAALAQAADwAAAAAAAAAAAAAAAAD2BAAA&#10;ZHJzL2Rvd25yZXYueG1sUEsFBgAAAAAEAAQA8wAAAAMGAAAAAA==&#10;" strokeweight=".26mm">
                <v:stroke joinstyle="miter" endcap="square"/>
              </v:line>
            </w:pict>
          </mc:Fallback>
        </mc:AlternateContent>
      </w:r>
      <w:r w:rsidR="0043063F" w:rsidRPr="00DE475B">
        <w:rPr>
          <w:rFonts w:ascii="Arial" w:hAnsi="Arial" w:cs="Arial"/>
          <w:b/>
          <w:bCs/>
          <w:sz w:val="20"/>
          <w:szCs w:val="20"/>
        </w:rPr>
        <w:t>NOTES TO THE FINANCIAL STATEMENTS</w:t>
      </w:r>
    </w:p>
    <w:p w:rsidR="0043063F" w:rsidRPr="00DE475B" w:rsidRDefault="00887874" w:rsidP="0043063F">
      <w:r>
        <w:rPr>
          <w:rFonts w:ascii="Arial" w:hAnsi="Arial" w:cs="Arial"/>
          <w:b/>
          <w:bCs/>
          <w:sz w:val="20"/>
          <w:szCs w:val="20"/>
        </w:rPr>
        <w:t>For the year ended 30 June 2017</w:t>
      </w:r>
    </w:p>
    <w:p w:rsidR="0043063F" w:rsidRPr="00DE475B" w:rsidRDefault="00373FFE" w:rsidP="0043063F">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651072" behindDoc="0" locked="0" layoutInCell="1" allowOverlap="1" wp14:anchorId="35974DD3" wp14:editId="08916CC6">
                <wp:simplePos x="0" y="0"/>
                <wp:positionH relativeFrom="column">
                  <wp:posOffset>-66040</wp:posOffset>
                </wp:positionH>
                <wp:positionV relativeFrom="paragraph">
                  <wp:posOffset>70485</wp:posOffset>
                </wp:positionV>
                <wp:extent cx="5573395" cy="0"/>
                <wp:effectExtent l="13970" t="13335" r="13335" b="5715"/>
                <wp:wrapNone/>
                <wp:docPr id="35"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5qqmgIAAHoFAAAOAAAAZHJzL2Uyb0RvYy54bWysVN9v2yAQfp+0/wHx7tqOnV9Wnal1nL10&#10;W6V22jMBHKNh8IDGqab97ztI4jXdyzQ1kSwO7o7v7vuO6w+HTqI9N1ZoVeL0KsGIK6qZULsSf33c&#10;RAuMrCOKEakVL/Ezt/jD6v2766Ev+ES3WjJuECRRthj6ErfO9UUcW9ryjtgr3XMFh402HXFgml3M&#10;DBkgeyfjSZLM4kEb1htNubWwuz4e4lXI3zScui9NY7lDssSAzYWvCd+t/8ara1LsDOlbQU8wyH+g&#10;6IhQcOmYak0cQU9G/JWqE9Roqxt3RXUX66YRlIcaoJo0eVXNQ0t6HmqB5th+bJN9u7T08/7eIMFK&#10;nE0xUqQDju6E4miS5b45Q28L8KnUvfHl0YN66O80/W6R0lVL1I4HkI/PPQSmPiK+CPGG7eGK7fBJ&#10;M/AhT06HTh0a0/mU0AN0CIQ8j4Twg0MUNqfTeZYtARg9n8WkOAf2xrqPXHfIL0osAXVITPZ31nkg&#10;pDi7+HuU3ggpA99SoaHEy2wGiqAEVGd/hEirpWDey/tbs9tW0qA98dIJv1AenLx064QDAUvRlXgx&#10;OpGi5YTVioXrHBHyuAZIUvnkPEjziBOsg4Nl2IfCg2x+LpNlvagXeZRPZnWUJ+t1dLOp8mi2SefT&#10;dbauqnX6y6NO86IVjHHlgZ8lnOb/JpHTMB3FN4p4bFV8mT30FMBeIr3ZTJN5ni2i+XyaRXlWJ9Ht&#10;YlNFN1U6m83r2+q2foW0DtXbtwE7ttKj0k/AxkPLBsSEF0U2XU5SDAaM/GR+5AcRuYO3ijqDkdHu&#10;m3Bt0LBXn89xQfwi8f8T8WP2YyPOHHprZOFU259WAednfsNo+Gk4ztVWs+d7cx4ZGPAQdHqM/Avy&#10;0ob1yydz9RsAAP//AwBQSwMEFAAGAAgAAAAhAPBAaXHeAAAACQEAAA8AAABkcnMvZG93bnJldi54&#10;bWxMj8FKw0AQhu+C77CM4EXaTWyoJWZTRBAPgrRVFG/b7JgNZmfD7raJb+9ID3qc+T/++aZaT64X&#10;Rwyx86Qgn2cgkBpvOmoVvL48zFYgYtJkdO8JFXxjhHV9flbp0viRtnjcpVZwCcVSK7ApDaWUsbHo&#10;dJz7AYmzTx+cTjyGVpqgRy53vbzOsqV0uiO+YPWA9xabr93BKXgOYxfToig2mD7eHp/e7ebKbZW6&#10;vJjubkEknNIfDL/6rA41O+39gUwUvYJZnhWMcpDnIBhYLW8WIPanhawr+f+D+gcAAP//AwBQSwEC&#10;LQAUAAYACAAAACEAtoM4kv4AAADhAQAAEwAAAAAAAAAAAAAAAAAAAAAAW0NvbnRlbnRfVHlwZXNd&#10;LnhtbFBLAQItABQABgAIAAAAIQA4/SH/1gAAAJQBAAALAAAAAAAAAAAAAAAAAC8BAABfcmVscy8u&#10;cmVsc1BLAQItABQABgAIAAAAIQB4a5qqmgIAAHoFAAAOAAAAAAAAAAAAAAAAAC4CAABkcnMvZTJv&#10;RG9jLnhtbFBLAQItABQABgAIAAAAIQDwQGlx3gAAAAkBAAAPAAAAAAAAAAAAAAAAAPQEAABkcnMv&#10;ZG93bnJldi54bWxQSwUGAAAAAAQABADzAAAA/wUAAAAA&#10;" strokeweight=".26mm">
                <v:stroke joinstyle="miter" endcap="square"/>
              </v:line>
            </w:pict>
          </mc:Fallback>
        </mc:AlternateContent>
      </w:r>
    </w:p>
    <w:p w:rsidR="005E6F4E" w:rsidRPr="00DE475B" w:rsidRDefault="00B66465" w:rsidP="005E6F4E">
      <w:pPr>
        <w:pStyle w:val="ARheading3"/>
        <w:widowControl w:val="0"/>
        <w:tabs>
          <w:tab w:val="left" w:pos="851"/>
        </w:tabs>
        <w:spacing w:after="120"/>
        <w:rPr>
          <w:color w:val="808080"/>
        </w:rPr>
        <w:sectPr w:rsidR="005E6F4E" w:rsidRPr="00DE475B" w:rsidSect="00B53922">
          <w:type w:val="continuous"/>
          <w:pgSz w:w="11906" w:h="16838"/>
          <w:pgMar w:top="1440" w:right="1701" w:bottom="1440" w:left="1701" w:header="680" w:footer="680" w:gutter="0"/>
          <w:cols w:space="720"/>
          <w:docGrid w:linePitch="360"/>
        </w:sectPr>
      </w:pPr>
      <w:r>
        <w:rPr>
          <w:color w:val="808080"/>
        </w:rPr>
        <w:t>D2</w:t>
      </w:r>
      <w:r w:rsidR="005E6F4E" w:rsidRPr="00DE475B">
        <w:rPr>
          <w:color w:val="808080"/>
        </w:rPr>
        <w:t xml:space="preserve"> Financial Risk Disclosures</w:t>
      </w:r>
    </w:p>
    <w:p w:rsidR="005E6F4E" w:rsidRPr="00DE475B" w:rsidRDefault="00B66465" w:rsidP="00652F6C">
      <w:pPr>
        <w:tabs>
          <w:tab w:val="left" w:pos="284"/>
          <w:tab w:val="left" w:pos="5878"/>
          <w:tab w:val="left" w:pos="8548"/>
          <w:tab w:val="left" w:pos="8770"/>
          <w:tab w:val="left" w:pos="10266"/>
          <w:tab w:val="left" w:pos="11702"/>
        </w:tabs>
        <w:rPr>
          <w:rFonts w:ascii="Arial" w:hAnsi="Arial" w:cs="Arial"/>
          <w:b/>
          <w:bCs/>
          <w:sz w:val="20"/>
          <w:szCs w:val="20"/>
        </w:rPr>
      </w:pPr>
      <w:r>
        <w:rPr>
          <w:rFonts w:ascii="Arial" w:hAnsi="Arial" w:cs="Arial"/>
          <w:b/>
          <w:bCs/>
          <w:sz w:val="20"/>
          <w:szCs w:val="20"/>
        </w:rPr>
        <w:lastRenderedPageBreak/>
        <w:t>D2</w:t>
      </w:r>
      <w:r w:rsidR="005E6F4E" w:rsidRPr="00DE475B">
        <w:rPr>
          <w:rFonts w:ascii="Arial" w:hAnsi="Arial" w:cs="Arial"/>
          <w:b/>
          <w:bCs/>
          <w:sz w:val="20"/>
          <w:szCs w:val="20"/>
        </w:rPr>
        <w:t xml:space="preserve">-1 Accounting policy </w:t>
      </w:r>
    </w:p>
    <w:p w:rsidR="005E6F4E" w:rsidRPr="00DE475B" w:rsidRDefault="005E6F4E" w:rsidP="005E6F4E">
      <w:pPr>
        <w:rPr>
          <w:rFonts w:ascii="Arial" w:hAnsi="Arial" w:cs="Arial"/>
          <w:sz w:val="20"/>
          <w:szCs w:val="20"/>
        </w:rPr>
      </w:pPr>
      <w:r w:rsidRPr="00DE475B">
        <w:rPr>
          <w:rFonts w:ascii="Arial" w:hAnsi="Arial" w:cs="Arial"/>
          <w:i/>
          <w:iCs/>
          <w:sz w:val="20"/>
          <w:szCs w:val="20"/>
        </w:rPr>
        <w:t>Recognition</w:t>
      </w:r>
      <w:r w:rsidRPr="00DE475B">
        <w:rPr>
          <w:rFonts w:ascii="Arial" w:hAnsi="Arial" w:cs="Arial"/>
          <w:sz w:val="20"/>
          <w:szCs w:val="20"/>
        </w:rPr>
        <w:t xml:space="preserve"> </w:t>
      </w:r>
    </w:p>
    <w:p w:rsidR="005E6F4E" w:rsidRPr="00DE475B" w:rsidRDefault="005E6F4E" w:rsidP="005E6F4E">
      <w:pPr>
        <w:spacing w:after="120"/>
        <w:rPr>
          <w:rFonts w:ascii="Arial" w:hAnsi="Arial" w:cs="Arial"/>
          <w:i/>
          <w:iCs/>
          <w:sz w:val="20"/>
          <w:szCs w:val="20"/>
        </w:rPr>
      </w:pPr>
      <w:r w:rsidRPr="00DE475B">
        <w:rPr>
          <w:rFonts w:ascii="Arial" w:hAnsi="Arial" w:cs="Arial"/>
          <w:sz w:val="20"/>
          <w:szCs w:val="20"/>
        </w:rPr>
        <w:t xml:space="preserve">Financial assets and financial liabilities are recognised in the Statement of Financial Position when </w:t>
      </w:r>
      <w:r w:rsidR="00515E83" w:rsidRPr="00DE475B">
        <w:rPr>
          <w:rFonts w:ascii="Arial" w:hAnsi="Arial" w:cs="Arial"/>
          <w:sz w:val="20"/>
          <w:szCs w:val="20"/>
        </w:rPr>
        <w:t>State</w:t>
      </w:r>
      <w:r w:rsidRPr="00DE475B">
        <w:rPr>
          <w:rFonts w:ascii="Arial" w:hAnsi="Arial" w:cs="Arial"/>
          <w:sz w:val="20"/>
          <w:szCs w:val="20"/>
        </w:rPr>
        <w:t xml:space="preserve"> Library becomes party to the contractual provisions of the financial instrument.</w:t>
      </w:r>
    </w:p>
    <w:p w:rsidR="005E6F4E" w:rsidRPr="00DE475B" w:rsidRDefault="005E6F4E" w:rsidP="005E6F4E">
      <w:pPr>
        <w:rPr>
          <w:rFonts w:ascii="Arial" w:hAnsi="Arial" w:cs="Arial"/>
          <w:sz w:val="20"/>
          <w:szCs w:val="20"/>
        </w:rPr>
      </w:pPr>
      <w:r w:rsidRPr="00DE475B">
        <w:rPr>
          <w:rFonts w:ascii="Arial" w:hAnsi="Arial" w:cs="Arial"/>
          <w:i/>
          <w:iCs/>
          <w:sz w:val="20"/>
          <w:szCs w:val="20"/>
        </w:rPr>
        <w:t>Classification</w:t>
      </w:r>
    </w:p>
    <w:p w:rsidR="005E6F4E" w:rsidRPr="00DE475B" w:rsidRDefault="005E6F4E" w:rsidP="005E6F4E">
      <w:pPr>
        <w:spacing w:after="40"/>
        <w:rPr>
          <w:rFonts w:ascii="Arial" w:hAnsi="Arial" w:cs="Arial"/>
          <w:sz w:val="20"/>
          <w:szCs w:val="20"/>
        </w:rPr>
      </w:pPr>
      <w:r w:rsidRPr="00DE475B">
        <w:rPr>
          <w:rFonts w:ascii="Arial" w:hAnsi="Arial" w:cs="Arial"/>
          <w:sz w:val="20"/>
          <w:szCs w:val="20"/>
        </w:rPr>
        <w:t>Financial instruments are classified and measured as follows:</w:t>
      </w:r>
    </w:p>
    <w:p w:rsidR="005E6F4E" w:rsidRPr="00DE475B" w:rsidRDefault="005E6F4E" w:rsidP="00337D67">
      <w:pPr>
        <w:numPr>
          <w:ilvl w:val="0"/>
          <w:numId w:val="5"/>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 xml:space="preserve">Receivables — held at amortised cost </w:t>
      </w:r>
    </w:p>
    <w:p w:rsidR="005E6F4E" w:rsidRPr="00DE475B" w:rsidRDefault="005E6F4E" w:rsidP="00337D67">
      <w:pPr>
        <w:numPr>
          <w:ilvl w:val="0"/>
          <w:numId w:val="5"/>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Pa</w:t>
      </w:r>
      <w:r w:rsidR="00F451D0">
        <w:rPr>
          <w:rFonts w:ascii="Arial" w:hAnsi="Arial" w:cs="Arial"/>
          <w:sz w:val="20"/>
          <w:szCs w:val="20"/>
        </w:rPr>
        <w:t>yables — held at amortised cost</w:t>
      </w:r>
    </w:p>
    <w:p w:rsidR="00515E83" w:rsidRPr="00DE475B" w:rsidRDefault="00515E83" w:rsidP="00337D67">
      <w:pPr>
        <w:numPr>
          <w:ilvl w:val="0"/>
          <w:numId w:val="5"/>
        </w:numPr>
        <w:tabs>
          <w:tab w:val="left" w:pos="284"/>
          <w:tab w:val="left" w:pos="360"/>
        </w:tabs>
        <w:spacing w:after="120"/>
        <w:ind w:left="284" w:hanging="284"/>
        <w:rPr>
          <w:rFonts w:ascii="Arial" w:hAnsi="Arial" w:cs="Arial"/>
          <w:sz w:val="20"/>
          <w:szCs w:val="20"/>
        </w:rPr>
      </w:pPr>
      <w:r w:rsidRPr="00DE475B">
        <w:rPr>
          <w:rFonts w:ascii="Arial" w:hAnsi="Arial" w:cs="Arial"/>
          <w:sz w:val="20"/>
          <w:szCs w:val="20"/>
        </w:rPr>
        <w:t>Cash and cash equivalents — fair value through profit and loss.</w:t>
      </w:r>
    </w:p>
    <w:p w:rsidR="00515E83" w:rsidRPr="00DE475B" w:rsidRDefault="00515E83" w:rsidP="005E6F4E">
      <w:pPr>
        <w:spacing w:after="120"/>
        <w:rPr>
          <w:rFonts w:ascii="Arial" w:hAnsi="Arial" w:cs="Arial"/>
          <w:sz w:val="20"/>
          <w:szCs w:val="20"/>
        </w:rPr>
      </w:pPr>
      <w:r w:rsidRPr="00DE475B">
        <w:rPr>
          <w:rFonts w:ascii="Arial" w:hAnsi="Arial" w:cs="Arial"/>
          <w:sz w:val="20"/>
          <w:szCs w:val="20"/>
        </w:rPr>
        <w:t>State</w:t>
      </w:r>
      <w:r w:rsidR="005E6F4E" w:rsidRPr="00DE475B">
        <w:rPr>
          <w:rFonts w:ascii="Arial" w:hAnsi="Arial" w:cs="Arial"/>
          <w:sz w:val="20"/>
          <w:szCs w:val="20"/>
        </w:rPr>
        <w:t xml:space="preserve"> Library does not enter into transactions for specula</w:t>
      </w:r>
      <w:r w:rsidRPr="00DE475B">
        <w:rPr>
          <w:rFonts w:ascii="Arial" w:hAnsi="Arial" w:cs="Arial"/>
          <w:sz w:val="20"/>
          <w:szCs w:val="20"/>
        </w:rPr>
        <w:t xml:space="preserve">tive purposes, </w:t>
      </w:r>
      <w:proofErr w:type="gramStart"/>
      <w:r w:rsidRPr="00DE475B">
        <w:rPr>
          <w:rFonts w:ascii="Arial" w:hAnsi="Arial" w:cs="Arial"/>
          <w:sz w:val="20"/>
          <w:szCs w:val="20"/>
        </w:rPr>
        <w:t>nor</w:t>
      </w:r>
      <w:proofErr w:type="gramEnd"/>
      <w:r w:rsidRPr="00DE475B">
        <w:rPr>
          <w:rFonts w:ascii="Arial" w:hAnsi="Arial" w:cs="Arial"/>
          <w:sz w:val="20"/>
          <w:szCs w:val="20"/>
        </w:rPr>
        <w:t xml:space="preserve"> for hedging.</w:t>
      </w:r>
    </w:p>
    <w:p w:rsidR="005E6F4E" w:rsidRPr="00DE475B" w:rsidRDefault="005E6F4E" w:rsidP="0054517E">
      <w:pPr>
        <w:spacing w:after="240"/>
        <w:rPr>
          <w:rFonts w:ascii="Arial" w:hAnsi="Arial" w:cs="Arial"/>
          <w:sz w:val="20"/>
          <w:szCs w:val="20"/>
        </w:rPr>
      </w:pPr>
      <w:r w:rsidRPr="00DE475B">
        <w:rPr>
          <w:rFonts w:ascii="Arial" w:hAnsi="Arial" w:cs="Arial"/>
          <w:spacing w:val="-2"/>
          <w:sz w:val="20"/>
          <w:szCs w:val="20"/>
        </w:rPr>
        <w:t xml:space="preserve">All other disclosures relating to the measurement and financial risk management of financial instruments held by </w:t>
      </w:r>
      <w:r w:rsidR="00515E83" w:rsidRPr="00DE475B">
        <w:rPr>
          <w:rFonts w:ascii="Arial" w:hAnsi="Arial" w:cs="Arial"/>
          <w:spacing w:val="-2"/>
          <w:sz w:val="20"/>
          <w:szCs w:val="20"/>
        </w:rPr>
        <w:t>State</w:t>
      </w:r>
      <w:r w:rsidRPr="00DE475B">
        <w:rPr>
          <w:rFonts w:ascii="Arial" w:hAnsi="Arial" w:cs="Arial"/>
          <w:spacing w:val="-2"/>
          <w:sz w:val="20"/>
          <w:szCs w:val="20"/>
        </w:rPr>
        <w:t xml:space="preserve"> Library are included in</w:t>
      </w:r>
      <w:r w:rsidR="00515E83" w:rsidRPr="00DE475B">
        <w:rPr>
          <w:rFonts w:ascii="Arial" w:hAnsi="Arial" w:cs="Arial"/>
          <w:spacing w:val="-2"/>
          <w:sz w:val="20"/>
          <w:szCs w:val="20"/>
        </w:rPr>
        <w:t xml:space="preserve"> this</w:t>
      </w:r>
      <w:r w:rsidRPr="00DE475B">
        <w:rPr>
          <w:rFonts w:ascii="Arial" w:hAnsi="Arial" w:cs="Arial"/>
          <w:spacing w:val="-2"/>
          <w:sz w:val="20"/>
          <w:szCs w:val="20"/>
        </w:rPr>
        <w:t xml:space="preserve"> Note.</w:t>
      </w:r>
    </w:p>
    <w:p w:rsidR="00D25526" w:rsidRPr="00DE475B" w:rsidRDefault="00EB26B2" w:rsidP="00652F6C">
      <w:pPr>
        <w:tabs>
          <w:tab w:val="left" w:pos="284"/>
          <w:tab w:val="left" w:pos="5878"/>
          <w:tab w:val="left" w:pos="8548"/>
          <w:tab w:val="left" w:pos="8770"/>
          <w:tab w:val="left" w:pos="10266"/>
          <w:tab w:val="left" w:pos="11702"/>
        </w:tabs>
        <w:rPr>
          <w:rFonts w:ascii="Arial" w:hAnsi="Arial" w:cs="Arial"/>
          <w:b/>
          <w:bCs/>
          <w:sz w:val="20"/>
          <w:szCs w:val="20"/>
        </w:rPr>
      </w:pPr>
      <w:r>
        <w:rPr>
          <w:rFonts w:ascii="Arial" w:hAnsi="Arial" w:cs="Arial"/>
          <w:b/>
          <w:bCs/>
          <w:sz w:val="20"/>
          <w:szCs w:val="20"/>
        </w:rPr>
        <w:t>D2</w:t>
      </w:r>
      <w:r w:rsidR="00D25526" w:rsidRPr="00DE475B">
        <w:rPr>
          <w:rFonts w:ascii="Arial" w:hAnsi="Arial" w:cs="Arial"/>
          <w:b/>
          <w:bCs/>
          <w:sz w:val="20"/>
          <w:szCs w:val="20"/>
        </w:rPr>
        <w:t>-2 Financial instrument categories</w:t>
      </w:r>
    </w:p>
    <w:p w:rsidR="00D25526" w:rsidRPr="00DE475B" w:rsidRDefault="00EB26B2" w:rsidP="00D25526">
      <w:pPr>
        <w:tabs>
          <w:tab w:val="left" w:pos="284"/>
          <w:tab w:val="left" w:pos="5878"/>
          <w:tab w:val="left" w:pos="8548"/>
          <w:tab w:val="left" w:pos="8770"/>
          <w:tab w:val="left" w:pos="10266"/>
          <w:tab w:val="left" w:pos="11702"/>
        </w:tabs>
        <w:spacing w:after="120"/>
        <w:rPr>
          <w:rFonts w:ascii="Arial" w:hAnsi="Arial" w:cs="Arial"/>
          <w:sz w:val="20"/>
          <w:szCs w:val="20"/>
        </w:rPr>
      </w:pPr>
      <w:r>
        <w:rPr>
          <w:rFonts w:ascii="Arial" w:hAnsi="Arial" w:cs="Arial"/>
          <w:sz w:val="20"/>
          <w:szCs w:val="20"/>
        </w:rPr>
        <w:t>State</w:t>
      </w:r>
      <w:r w:rsidR="00D25526" w:rsidRPr="00DE475B">
        <w:rPr>
          <w:rFonts w:ascii="Arial" w:hAnsi="Arial" w:cs="Arial"/>
          <w:sz w:val="20"/>
          <w:szCs w:val="20"/>
        </w:rPr>
        <w:t xml:space="preserve"> Library</w:t>
      </w:r>
      <w:r>
        <w:rPr>
          <w:rFonts w:ascii="Arial" w:hAnsi="Arial" w:cs="Arial"/>
          <w:sz w:val="20"/>
          <w:szCs w:val="20"/>
        </w:rPr>
        <w:t xml:space="preserve"> </w:t>
      </w:r>
      <w:r w:rsidR="00D25526" w:rsidRPr="00DE475B">
        <w:rPr>
          <w:rFonts w:ascii="Arial" w:hAnsi="Arial" w:cs="Arial"/>
          <w:sz w:val="20"/>
          <w:szCs w:val="20"/>
        </w:rPr>
        <w:t>has the following categories of financial assets and financial liabilities:</w:t>
      </w:r>
    </w:p>
    <w:tbl>
      <w:tblPr>
        <w:tblW w:w="8789" w:type="dxa"/>
        <w:tblLayout w:type="fixed"/>
        <w:tblCellMar>
          <w:left w:w="0" w:type="dxa"/>
          <w:right w:w="0" w:type="dxa"/>
        </w:tblCellMar>
        <w:tblLook w:val="0000" w:firstRow="0" w:lastRow="0" w:firstColumn="0" w:lastColumn="0" w:noHBand="0" w:noVBand="0"/>
      </w:tblPr>
      <w:tblGrid>
        <w:gridCol w:w="3786"/>
        <w:gridCol w:w="723"/>
        <w:gridCol w:w="1070"/>
        <w:gridCol w:w="1070"/>
        <w:gridCol w:w="1070"/>
        <w:gridCol w:w="1070"/>
      </w:tblGrid>
      <w:tr w:rsidR="00D25526" w:rsidRPr="00DE475B" w:rsidTr="00B91411">
        <w:trPr>
          <w:trHeight w:val="240"/>
        </w:trPr>
        <w:tc>
          <w:tcPr>
            <w:tcW w:w="3786" w:type="dxa"/>
            <w:shd w:val="clear" w:color="auto" w:fill="auto"/>
            <w:vAlign w:val="bottom"/>
          </w:tcPr>
          <w:p w:rsidR="00D25526" w:rsidRPr="00DE475B" w:rsidRDefault="00D25526" w:rsidP="00D25526">
            <w:pPr>
              <w:snapToGrid w:val="0"/>
              <w:rPr>
                <w:rFonts w:ascii="Arial" w:hAnsi="Arial" w:cs="Arial"/>
                <w:b/>
                <w:bCs/>
                <w:sz w:val="20"/>
                <w:szCs w:val="20"/>
              </w:rPr>
            </w:pPr>
          </w:p>
        </w:tc>
        <w:tc>
          <w:tcPr>
            <w:tcW w:w="723" w:type="dxa"/>
            <w:shd w:val="clear" w:color="auto" w:fill="auto"/>
            <w:vAlign w:val="bottom"/>
          </w:tcPr>
          <w:p w:rsidR="00D25526" w:rsidRPr="00DE475B" w:rsidRDefault="00D25526" w:rsidP="00D25526">
            <w:pPr>
              <w:snapToGrid w:val="0"/>
              <w:rPr>
                <w:rFonts w:ascii="Arial" w:hAnsi="Arial" w:cs="Arial"/>
                <w:b/>
                <w:bCs/>
                <w:sz w:val="20"/>
                <w:szCs w:val="20"/>
              </w:rPr>
            </w:pPr>
          </w:p>
        </w:tc>
        <w:tc>
          <w:tcPr>
            <w:tcW w:w="2140" w:type="dxa"/>
            <w:gridSpan w:val="2"/>
            <w:shd w:val="clear" w:color="auto" w:fill="auto"/>
            <w:tcMar>
              <w:right w:w="57" w:type="dxa"/>
            </w:tcMar>
            <w:vAlign w:val="bottom"/>
          </w:tcPr>
          <w:p w:rsidR="00D25526" w:rsidRPr="00DE475B" w:rsidRDefault="00D25526" w:rsidP="00D25526">
            <w:pPr>
              <w:jc w:val="right"/>
              <w:rPr>
                <w:rFonts w:ascii="Arial" w:hAnsi="Arial" w:cs="Arial"/>
                <w:b/>
                <w:bCs/>
                <w:sz w:val="20"/>
                <w:szCs w:val="20"/>
              </w:rPr>
            </w:pPr>
            <w:r w:rsidRPr="00DE475B">
              <w:rPr>
                <w:rFonts w:ascii="Arial" w:hAnsi="Arial" w:cs="Arial"/>
                <w:b/>
                <w:bCs/>
                <w:sz w:val="20"/>
                <w:szCs w:val="20"/>
              </w:rPr>
              <w:t>Economic Entity</w:t>
            </w:r>
          </w:p>
        </w:tc>
        <w:tc>
          <w:tcPr>
            <w:tcW w:w="2140" w:type="dxa"/>
            <w:gridSpan w:val="2"/>
            <w:shd w:val="clear" w:color="auto" w:fill="auto"/>
            <w:tcMar>
              <w:right w:w="57" w:type="dxa"/>
            </w:tcMar>
            <w:vAlign w:val="bottom"/>
          </w:tcPr>
          <w:p w:rsidR="00D25526" w:rsidRPr="00DE475B" w:rsidRDefault="00D25526" w:rsidP="00D25526">
            <w:pPr>
              <w:jc w:val="right"/>
              <w:rPr>
                <w:rFonts w:ascii="Arial" w:hAnsi="Arial" w:cs="Arial"/>
                <w:b/>
                <w:bCs/>
                <w:sz w:val="20"/>
                <w:szCs w:val="20"/>
              </w:rPr>
            </w:pPr>
            <w:r w:rsidRPr="00DE475B">
              <w:rPr>
                <w:rFonts w:ascii="Arial" w:hAnsi="Arial" w:cs="Arial"/>
                <w:b/>
                <w:bCs/>
                <w:sz w:val="20"/>
                <w:szCs w:val="20"/>
              </w:rPr>
              <w:t>Parent Entity</w:t>
            </w:r>
          </w:p>
        </w:tc>
      </w:tr>
      <w:tr w:rsidR="00D25526" w:rsidRPr="00DE475B" w:rsidTr="00B91411">
        <w:trPr>
          <w:trHeight w:val="240"/>
        </w:trPr>
        <w:tc>
          <w:tcPr>
            <w:tcW w:w="3786" w:type="dxa"/>
            <w:shd w:val="clear" w:color="auto" w:fill="auto"/>
            <w:vAlign w:val="bottom"/>
          </w:tcPr>
          <w:p w:rsidR="00D25526" w:rsidRPr="00DE475B" w:rsidRDefault="00D25526" w:rsidP="00D25526">
            <w:pPr>
              <w:snapToGrid w:val="0"/>
              <w:rPr>
                <w:rFonts w:ascii="Arial" w:hAnsi="Arial" w:cs="Arial"/>
                <w:b/>
                <w:bCs/>
                <w:sz w:val="20"/>
                <w:szCs w:val="20"/>
              </w:rPr>
            </w:pPr>
          </w:p>
        </w:tc>
        <w:tc>
          <w:tcPr>
            <w:tcW w:w="723" w:type="dxa"/>
            <w:shd w:val="clear" w:color="auto" w:fill="auto"/>
            <w:vAlign w:val="bottom"/>
          </w:tcPr>
          <w:p w:rsidR="00D25526" w:rsidRPr="00DE475B" w:rsidRDefault="00D25526" w:rsidP="00D25526">
            <w:pPr>
              <w:snapToGrid w:val="0"/>
              <w:jc w:val="center"/>
              <w:rPr>
                <w:rFonts w:ascii="Arial" w:hAnsi="Arial" w:cs="Arial"/>
                <w:b/>
                <w:bCs/>
                <w:sz w:val="20"/>
                <w:szCs w:val="20"/>
              </w:rPr>
            </w:pPr>
          </w:p>
        </w:tc>
        <w:tc>
          <w:tcPr>
            <w:tcW w:w="1070" w:type="dxa"/>
            <w:shd w:val="clear" w:color="auto" w:fill="auto"/>
            <w:tcMar>
              <w:right w:w="57" w:type="dxa"/>
            </w:tcMar>
            <w:vAlign w:val="center"/>
          </w:tcPr>
          <w:p w:rsidR="00D25526" w:rsidRPr="00DE475B" w:rsidRDefault="00EB26B2" w:rsidP="00D25526">
            <w:pPr>
              <w:jc w:val="right"/>
              <w:rPr>
                <w:rFonts w:ascii="Arial" w:hAnsi="Arial" w:cs="Arial"/>
                <w:b/>
                <w:bCs/>
                <w:sz w:val="20"/>
                <w:szCs w:val="20"/>
              </w:rPr>
            </w:pPr>
            <w:r>
              <w:rPr>
                <w:rFonts w:ascii="Arial" w:hAnsi="Arial" w:cs="Arial"/>
                <w:b/>
                <w:bCs/>
                <w:sz w:val="20"/>
                <w:szCs w:val="20"/>
              </w:rPr>
              <w:t>2017</w:t>
            </w:r>
          </w:p>
        </w:tc>
        <w:tc>
          <w:tcPr>
            <w:tcW w:w="1070" w:type="dxa"/>
            <w:shd w:val="clear" w:color="auto" w:fill="auto"/>
            <w:tcMar>
              <w:right w:w="57" w:type="dxa"/>
            </w:tcMar>
            <w:vAlign w:val="center"/>
          </w:tcPr>
          <w:p w:rsidR="00D25526" w:rsidRPr="00DE475B" w:rsidRDefault="00D25526" w:rsidP="00EB26B2">
            <w:pPr>
              <w:jc w:val="right"/>
              <w:rPr>
                <w:rFonts w:ascii="Arial" w:hAnsi="Arial" w:cs="Arial"/>
                <w:b/>
                <w:bCs/>
                <w:sz w:val="20"/>
                <w:szCs w:val="20"/>
              </w:rPr>
            </w:pPr>
            <w:r w:rsidRPr="00DE475B">
              <w:rPr>
                <w:rFonts w:ascii="Arial" w:hAnsi="Arial" w:cs="Arial"/>
                <w:b/>
                <w:bCs/>
                <w:sz w:val="20"/>
                <w:szCs w:val="20"/>
              </w:rPr>
              <w:t>201</w:t>
            </w:r>
            <w:r w:rsidR="00EB26B2">
              <w:rPr>
                <w:rFonts w:ascii="Arial" w:hAnsi="Arial" w:cs="Arial"/>
                <w:b/>
                <w:bCs/>
                <w:sz w:val="20"/>
                <w:szCs w:val="20"/>
              </w:rPr>
              <w:t>6</w:t>
            </w:r>
          </w:p>
        </w:tc>
        <w:tc>
          <w:tcPr>
            <w:tcW w:w="1070" w:type="dxa"/>
            <w:shd w:val="clear" w:color="auto" w:fill="auto"/>
            <w:tcMar>
              <w:right w:w="57" w:type="dxa"/>
            </w:tcMar>
            <w:vAlign w:val="center"/>
          </w:tcPr>
          <w:p w:rsidR="00D25526" w:rsidRPr="00DE475B" w:rsidRDefault="00D25526" w:rsidP="00EB26B2">
            <w:pPr>
              <w:jc w:val="right"/>
              <w:rPr>
                <w:rFonts w:ascii="Arial" w:hAnsi="Arial" w:cs="Arial"/>
                <w:b/>
                <w:bCs/>
                <w:sz w:val="20"/>
                <w:szCs w:val="20"/>
              </w:rPr>
            </w:pPr>
            <w:r w:rsidRPr="00DE475B">
              <w:rPr>
                <w:rFonts w:ascii="Arial" w:hAnsi="Arial" w:cs="Arial"/>
                <w:b/>
                <w:bCs/>
                <w:sz w:val="20"/>
                <w:szCs w:val="20"/>
              </w:rPr>
              <w:t>201</w:t>
            </w:r>
            <w:r w:rsidR="00EB26B2">
              <w:rPr>
                <w:rFonts w:ascii="Arial" w:hAnsi="Arial" w:cs="Arial"/>
                <w:b/>
                <w:bCs/>
                <w:sz w:val="20"/>
                <w:szCs w:val="20"/>
              </w:rPr>
              <w:t>7</w:t>
            </w:r>
          </w:p>
        </w:tc>
        <w:tc>
          <w:tcPr>
            <w:tcW w:w="1070" w:type="dxa"/>
            <w:shd w:val="clear" w:color="auto" w:fill="auto"/>
            <w:tcMar>
              <w:right w:w="57" w:type="dxa"/>
            </w:tcMar>
            <w:vAlign w:val="center"/>
          </w:tcPr>
          <w:p w:rsidR="00D25526" w:rsidRPr="00DE475B" w:rsidRDefault="00D25526" w:rsidP="00EB26B2">
            <w:pPr>
              <w:jc w:val="right"/>
              <w:rPr>
                <w:rFonts w:ascii="Arial" w:hAnsi="Arial" w:cs="Arial"/>
                <w:b/>
                <w:bCs/>
                <w:sz w:val="20"/>
                <w:szCs w:val="20"/>
              </w:rPr>
            </w:pPr>
            <w:r w:rsidRPr="00DE475B">
              <w:rPr>
                <w:rFonts w:ascii="Arial" w:hAnsi="Arial" w:cs="Arial"/>
                <w:b/>
                <w:bCs/>
                <w:sz w:val="20"/>
                <w:szCs w:val="20"/>
              </w:rPr>
              <w:t>201</w:t>
            </w:r>
            <w:r w:rsidR="00EB26B2">
              <w:rPr>
                <w:rFonts w:ascii="Arial" w:hAnsi="Arial" w:cs="Arial"/>
                <w:b/>
                <w:bCs/>
                <w:sz w:val="20"/>
                <w:szCs w:val="20"/>
              </w:rPr>
              <w:t>6</w:t>
            </w:r>
          </w:p>
        </w:tc>
      </w:tr>
      <w:tr w:rsidR="00D25526" w:rsidRPr="00DE475B" w:rsidTr="00B91411">
        <w:trPr>
          <w:trHeight w:val="240"/>
        </w:trPr>
        <w:tc>
          <w:tcPr>
            <w:tcW w:w="3786" w:type="dxa"/>
            <w:shd w:val="clear" w:color="auto" w:fill="auto"/>
            <w:vAlign w:val="bottom"/>
          </w:tcPr>
          <w:p w:rsidR="00D25526" w:rsidRPr="00DE475B" w:rsidRDefault="00D25526" w:rsidP="00D25526">
            <w:pPr>
              <w:snapToGrid w:val="0"/>
              <w:rPr>
                <w:rFonts w:ascii="Arial" w:hAnsi="Arial" w:cs="Arial"/>
                <w:b/>
                <w:bCs/>
                <w:sz w:val="20"/>
                <w:szCs w:val="20"/>
              </w:rPr>
            </w:pPr>
            <w:r w:rsidRPr="00DE475B">
              <w:rPr>
                <w:rFonts w:ascii="Arial" w:hAnsi="Arial" w:cs="Arial"/>
                <w:b/>
                <w:bCs/>
                <w:sz w:val="20"/>
                <w:szCs w:val="20"/>
              </w:rPr>
              <w:t>Category</w:t>
            </w:r>
          </w:p>
        </w:tc>
        <w:tc>
          <w:tcPr>
            <w:tcW w:w="723" w:type="dxa"/>
            <w:shd w:val="clear" w:color="auto" w:fill="auto"/>
            <w:vAlign w:val="bottom"/>
          </w:tcPr>
          <w:p w:rsidR="00D25526" w:rsidRPr="00DE475B" w:rsidRDefault="00D25526" w:rsidP="00D25526">
            <w:pPr>
              <w:jc w:val="center"/>
              <w:rPr>
                <w:rFonts w:ascii="Arial" w:hAnsi="Arial" w:cs="Arial"/>
                <w:b/>
                <w:bCs/>
                <w:sz w:val="20"/>
                <w:szCs w:val="20"/>
              </w:rPr>
            </w:pPr>
            <w:r w:rsidRPr="00DE475B">
              <w:rPr>
                <w:rFonts w:ascii="Arial" w:hAnsi="Arial" w:cs="Arial"/>
                <w:b/>
                <w:bCs/>
                <w:sz w:val="20"/>
                <w:szCs w:val="20"/>
              </w:rPr>
              <w:t>Note</w:t>
            </w:r>
          </w:p>
        </w:tc>
        <w:tc>
          <w:tcPr>
            <w:tcW w:w="1070" w:type="dxa"/>
            <w:shd w:val="clear" w:color="auto" w:fill="auto"/>
            <w:tcMar>
              <w:right w:w="57" w:type="dxa"/>
            </w:tcMar>
            <w:vAlign w:val="center"/>
          </w:tcPr>
          <w:p w:rsidR="00D25526" w:rsidRPr="00DE475B" w:rsidRDefault="00D25526" w:rsidP="00D25526">
            <w:pPr>
              <w:jc w:val="right"/>
              <w:rPr>
                <w:rFonts w:ascii="Arial" w:hAnsi="Arial" w:cs="Arial"/>
                <w:b/>
                <w:bCs/>
                <w:sz w:val="20"/>
                <w:szCs w:val="20"/>
              </w:rPr>
            </w:pPr>
            <w:r w:rsidRPr="00DE475B">
              <w:rPr>
                <w:rFonts w:ascii="Arial" w:hAnsi="Arial" w:cs="Arial"/>
                <w:b/>
                <w:bCs/>
                <w:sz w:val="20"/>
                <w:szCs w:val="20"/>
              </w:rPr>
              <w:t>$'000</w:t>
            </w:r>
          </w:p>
        </w:tc>
        <w:tc>
          <w:tcPr>
            <w:tcW w:w="1070" w:type="dxa"/>
            <w:shd w:val="clear" w:color="auto" w:fill="auto"/>
            <w:tcMar>
              <w:right w:w="57" w:type="dxa"/>
            </w:tcMar>
            <w:vAlign w:val="center"/>
          </w:tcPr>
          <w:p w:rsidR="00D25526" w:rsidRPr="00DE475B" w:rsidRDefault="00D25526" w:rsidP="00D25526">
            <w:pPr>
              <w:jc w:val="right"/>
              <w:rPr>
                <w:rFonts w:ascii="Arial" w:hAnsi="Arial" w:cs="Arial"/>
                <w:b/>
                <w:bCs/>
                <w:sz w:val="20"/>
                <w:szCs w:val="20"/>
              </w:rPr>
            </w:pPr>
            <w:r w:rsidRPr="00DE475B">
              <w:rPr>
                <w:rFonts w:ascii="Arial" w:hAnsi="Arial" w:cs="Arial"/>
                <w:b/>
                <w:bCs/>
                <w:sz w:val="20"/>
                <w:szCs w:val="20"/>
              </w:rPr>
              <w:t>$'000</w:t>
            </w:r>
          </w:p>
        </w:tc>
        <w:tc>
          <w:tcPr>
            <w:tcW w:w="1070" w:type="dxa"/>
            <w:shd w:val="clear" w:color="auto" w:fill="auto"/>
            <w:tcMar>
              <w:right w:w="57" w:type="dxa"/>
            </w:tcMar>
            <w:vAlign w:val="center"/>
          </w:tcPr>
          <w:p w:rsidR="00D25526" w:rsidRPr="00DE475B" w:rsidRDefault="00D25526" w:rsidP="00D25526">
            <w:pPr>
              <w:jc w:val="right"/>
              <w:rPr>
                <w:rFonts w:ascii="Arial" w:hAnsi="Arial" w:cs="Arial"/>
                <w:b/>
                <w:bCs/>
                <w:sz w:val="20"/>
                <w:szCs w:val="20"/>
              </w:rPr>
            </w:pPr>
            <w:r w:rsidRPr="00DE475B">
              <w:rPr>
                <w:rFonts w:ascii="Arial" w:hAnsi="Arial" w:cs="Arial"/>
                <w:b/>
                <w:bCs/>
                <w:sz w:val="20"/>
                <w:szCs w:val="20"/>
              </w:rPr>
              <w:t>$'000</w:t>
            </w:r>
          </w:p>
        </w:tc>
        <w:tc>
          <w:tcPr>
            <w:tcW w:w="1070" w:type="dxa"/>
            <w:shd w:val="clear" w:color="auto" w:fill="auto"/>
            <w:tcMar>
              <w:right w:w="57" w:type="dxa"/>
            </w:tcMar>
            <w:vAlign w:val="center"/>
          </w:tcPr>
          <w:p w:rsidR="00D25526" w:rsidRPr="00DE475B" w:rsidRDefault="00D25526" w:rsidP="00D25526">
            <w:pPr>
              <w:jc w:val="right"/>
              <w:rPr>
                <w:rFonts w:ascii="Arial" w:hAnsi="Arial" w:cs="Arial"/>
                <w:b/>
                <w:bCs/>
                <w:sz w:val="20"/>
                <w:szCs w:val="20"/>
              </w:rPr>
            </w:pPr>
            <w:r w:rsidRPr="00DE475B">
              <w:rPr>
                <w:rFonts w:ascii="Arial" w:hAnsi="Arial" w:cs="Arial"/>
                <w:b/>
                <w:bCs/>
                <w:sz w:val="20"/>
                <w:szCs w:val="20"/>
              </w:rPr>
              <w:t>$'000</w:t>
            </w:r>
          </w:p>
        </w:tc>
      </w:tr>
      <w:tr w:rsidR="00D25526" w:rsidRPr="00DE475B" w:rsidTr="00B91411">
        <w:trPr>
          <w:trHeight w:val="102"/>
        </w:trPr>
        <w:tc>
          <w:tcPr>
            <w:tcW w:w="3786" w:type="dxa"/>
            <w:shd w:val="clear" w:color="auto" w:fill="auto"/>
            <w:vAlign w:val="bottom"/>
          </w:tcPr>
          <w:p w:rsidR="00D25526" w:rsidRPr="00DE475B" w:rsidRDefault="00D25526" w:rsidP="00D25526">
            <w:pPr>
              <w:snapToGrid w:val="0"/>
              <w:rPr>
                <w:rFonts w:ascii="Arial" w:hAnsi="Arial" w:cs="Arial"/>
                <w:b/>
                <w:bCs/>
                <w:sz w:val="20"/>
                <w:szCs w:val="20"/>
              </w:rPr>
            </w:pPr>
          </w:p>
        </w:tc>
        <w:tc>
          <w:tcPr>
            <w:tcW w:w="723" w:type="dxa"/>
            <w:shd w:val="clear" w:color="auto" w:fill="auto"/>
            <w:vAlign w:val="bottom"/>
          </w:tcPr>
          <w:p w:rsidR="00D25526" w:rsidRPr="00DE475B" w:rsidRDefault="00D25526" w:rsidP="00D25526">
            <w:pPr>
              <w:snapToGrid w:val="0"/>
              <w:jc w:val="center"/>
              <w:rPr>
                <w:rFonts w:ascii="Arial" w:hAnsi="Arial" w:cs="Arial"/>
                <w:b/>
                <w:bCs/>
                <w:sz w:val="20"/>
                <w:szCs w:val="20"/>
              </w:rPr>
            </w:pPr>
          </w:p>
        </w:tc>
        <w:tc>
          <w:tcPr>
            <w:tcW w:w="1070" w:type="dxa"/>
            <w:shd w:val="clear" w:color="auto" w:fill="auto"/>
            <w:tcMar>
              <w:right w:w="57" w:type="dxa"/>
            </w:tcMar>
            <w:vAlign w:val="center"/>
          </w:tcPr>
          <w:p w:rsidR="00D25526" w:rsidRPr="00DE475B" w:rsidRDefault="00D25526" w:rsidP="00D25526">
            <w:pPr>
              <w:snapToGrid w:val="0"/>
              <w:jc w:val="right"/>
              <w:rPr>
                <w:rFonts w:ascii="Arial" w:hAnsi="Arial" w:cs="Arial"/>
                <w:b/>
                <w:bCs/>
                <w:sz w:val="20"/>
                <w:szCs w:val="20"/>
              </w:rPr>
            </w:pPr>
          </w:p>
        </w:tc>
        <w:tc>
          <w:tcPr>
            <w:tcW w:w="1070" w:type="dxa"/>
            <w:shd w:val="clear" w:color="auto" w:fill="auto"/>
            <w:tcMar>
              <w:right w:w="57" w:type="dxa"/>
            </w:tcMar>
            <w:vAlign w:val="center"/>
          </w:tcPr>
          <w:p w:rsidR="00D25526" w:rsidRPr="00DE475B" w:rsidRDefault="00D25526" w:rsidP="00D25526">
            <w:pPr>
              <w:snapToGrid w:val="0"/>
              <w:jc w:val="right"/>
              <w:rPr>
                <w:rFonts w:ascii="Arial" w:hAnsi="Arial" w:cs="Arial"/>
                <w:b/>
                <w:bCs/>
                <w:sz w:val="20"/>
                <w:szCs w:val="20"/>
              </w:rPr>
            </w:pPr>
          </w:p>
        </w:tc>
        <w:tc>
          <w:tcPr>
            <w:tcW w:w="1070" w:type="dxa"/>
            <w:shd w:val="clear" w:color="auto" w:fill="auto"/>
            <w:tcMar>
              <w:right w:w="57" w:type="dxa"/>
            </w:tcMar>
            <w:vAlign w:val="center"/>
          </w:tcPr>
          <w:p w:rsidR="00D25526" w:rsidRPr="00DE475B" w:rsidRDefault="00D25526" w:rsidP="00D25526">
            <w:pPr>
              <w:snapToGrid w:val="0"/>
              <w:jc w:val="right"/>
              <w:rPr>
                <w:rFonts w:ascii="Arial" w:hAnsi="Arial" w:cs="Arial"/>
                <w:b/>
                <w:bCs/>
                <w:sz w:val="20"/>
                <w:szCs w:val="20"/>
              </w:rPr>
            </w:pPr>
          </w:p>
        </w:tc>
        <w:tc>
          <w:tcPr>
            <w:tcW w:w="1070" w:type="dxa"/>
            <w:shd w:val="clear" w:color="auto" w:fill="auto"/>
            <w:tcMar>
              <w:right w:w="57" w:type="dxa"/>
            </w:tcMar>
            <w:vAlign w:val="center"/>
          </w:tcPr>
          <w:p w:rsidR="00D25526" w:rsidRPr="00DE475B" w:rsidRDefault="00D25526" w:rsidP="00D25526">
            <w:pPr>
              <w:snapToGrid w:val="0"/>
              <w:jc w:val="right"/>
              <w:rPr>
                <w:rFonts w:ascii="Arial" w:hAnsi="Arial" w:cs="Arial"/>
                <w:b/>
                <w:bCs/>
                <w:sz w:val="20"/>
                <w:szCs w:val="20"/>
              </w:rPr>
            </w:pPr>
          </w:p>
        </w:tc>
      </w:tr>
      <w:tr w:rsidR="00D25526" w:rsidRPr="00DE475B" w:rsidTr="00B91411">
        <w:trPr>
          <w:trHeight w:val="315"/>
        </w:trPr>
        <w:tc>
          <w:tcPr>
            <w:tcW w:w="3786" w:type="dxa"/>
            <w:shd w:val="clear" w:color="auto" w:fill="auto"/>
            <w:vAlign w:val="bottom"/>
          </w:tcPr>
          <w:p w:rsidR="00D25526" w:rsidRPr="00DE475B" w:rsidRDefault="00D25526" w:rsidP="00D25526">
            <w:pPr>
              <w:rPr>
                <w:rFonts w:ascii="Arial" w:hAnsi="Arial" w:cs="Arial"/>
                <w:b/>
                <w:bCs/>
                <w:sz w:val="20"/>
                <w:szCs w:val="20"/>
              </w:rPr>
            </w:pPr>
            <w:r w:rsidRPr="00DE475B">
              <w:rPr>
                <w:rFonts w:ascii="Arial" w:hAnsi="Arial" w:cs="Arial"/>
                <w:b/>
                <w:bCs/>
                <w:sz w:val="20"/>
                <w:szCs w:val="20"/>
              </w:rPr>
              <w:t>Financial Assets</w:t>
            </w:r>
          </w:p>
        </w:tc>
        <w:tc>
          <w:tcPr>
            <w:tcW w:w="723" w:type="dxa"/>
            <w:shd w:val="clear" w:color="auto" w:fill="auto"/>
            <w:vAlign w:val="bottom"/>
          </w:tcPr>
          <w:p w:rsidR="00D25526" w:rsidRPr="00DE475B" w:rsidRDefault="00D25526" w:rsidP="00D25526">
            <w:pPr>
              <w:snapToGrid w:val="0"/>
              <w:jc w:val="center"/>
              <w:rPr>
                <w:rFonts w:ascii="Arial" w:hAnsi="Arial" w:cs="Arial"/>
                <w:b/>
                <w:bCs/>
                <w:sz w:val="20"/>
                <w:szCs w:val="20"/>
              </w:rPr>
            </w:pPr>
          </w:p>
        </w:tc>
        <w:tc>
          <w:tcPr>
            <w:tcW w:w="1070" w:type="dxa"/>
            <w:shd w:val="clear" w:color="auto" w:fill="auto"/>
            <w:tcMar>
              <w:right w:w="57" w:type="dxa"/>
            </w:tcMar>
            <w:vAlign w:val="center"/>
          </w:tcPr>
          <w:p w:rsidR="00D25526" w:rsidRPr="00DE475B" w:rsidRDefault="00D25526" w:rsidP="00D25526">
            <w:pPr>
              <w:snapToGrid w:val="0"/>
              <w:jc w:val="right"/>
              <w:rPr>
                <w:rFonts w:ascii="Arial" w:hAnsi="Arial" w:cs="Arial"/>
                <w:sz w:val="20"/>
                <w:szCs w:val="20"/>
              </w:rPr>
            </w:pPr>
          </w:p>
        </w:tc>
        <w:tc>
          <w:tcPr>
            <w:tcW w:w="1070" w:type="dxa"/>
            <w:shd w:val="clear" w:color="auto" w:fill="auto"/>
            <w:tcMar>
              <w:right w:w="57" w:type="dxa"/>
            </w:tcMar>
            <w:vAlign w:val="center"/>
          </w:tcPr>
          <w:p w:rsidR="00D25526" w:rsidRPr="00DE475B" w:rsidRDefault="00D25526" w:rsidP="00D25526">
            <w:pPr>
              <w:snapToGrid w:val="0"/>
              <w:jc w:val="right"/>
              <w:rPr>
                <w:rFonts w:ascii="Arial" w:hAnsi="Arial" w:cs="Arial"/>
                <w:sz w:val="20"/>
                <w:szCs w:val="20"/>
              </w:rPr>
            </w:pPr>
          </w:p>
        </w:tc>
        <w:tc>
          <w:tcPr>
            <w:tcW w:w="1070" w:type="dxa"/>
            <w:shd w:val="clear" w:color="auto" w:fill="auto"/>
            <w:tcMar>
              <w:right w:w="57" w:type="dxa"/>
            </w:tcMar>
            <w:vAlign w:val="center"/>
          </w:tcPr>
          <w:p w:rsidR="00D25526" w:rsidRPr="00DE475B" w:rsidRDefault="00D25526" w:rsidP="00D25526">
            <w:pPr>
              <w:snapToGrid w:val="0"/>
              <w:jc w:val="right"/>
              <w:rPr>
                <w:rFonts w:ascii="Arial" w:hAnsi="Arial" w:cs="Arial"/>
                <w:sz w:val="20"/>
                <w:szCs w:val="20"/>
              </w:rPr>
            </w:pPr>
          </w:p>
        </w:tc>
        <w:tc>
          <w:tcPr>
            <w:tcW w:w="1070" w:type="dxa"/>
            <w:shd w:val="clear" w:color="auto" w:fill="auto"/>
            <w:tcMar>
              <w:right w:w="57" w:type="dxa"/>
            </w:tcMar>
            <w:vAlign w:val="center"/>
          </w:tcPr>
          <w:p w:rsidR="00D25526" w:rsidRPr="00DE475B" w:rsidRDefault="00D25526" w:rsidP="00D25526">
            <w:pPr>
              <w:snapToGrid w:val="0"/>
              <w:jc w:val="right"/>
              <w:rPr>
                <w:rFonts w:ascii="Arial" w:hAnsi="Arial" w:cs="Arial"/>
                <w:sz w:val="20"/>
                <w:szCs w:val="20"/>
              </w:rPr>
            </w:pPr>
          </w:p>
        </w:tc>
      </w:tr>
      <w:tr w:rsidR="00EB26B2" w:rsidRPr="00DE475B" w:rsidTr="00B91411">
        <w:trPr>
          <w:trHeight w:val="315"/>
        </w:trPr>
        <w:tc>
          <w:tcPr>
            <w:tcW w:w="3786" w:type="dxa"/>
            <w:shd w:val="clear" w:color="auto" w:fill="auto"/>
            <w:vAlign w:val="bottom"/>
          </w:tcPr>
          <w:p w:rsidR="00EB26B2" w:rsidRPr="00DE475B" w:rsidRDefault="00EB26B2" w:rsidP="00D25526">
            <w:pPr>
              <w:rPr>
                <w:rFonts w:ascii="Arial" w:hAnsi="Arial" w:cs="Arial"/>
                <w:b/>
                <w:bCs/>
                <w:sz w:val="20"/>
                <w:szCs w:val="20"/>
              </w:rPr>
            </w:pPr>
            <w:r w:rsidRPr="00DE475B">
              <w:rPr>
                <w:rFonts w:ascii="Arial" w:hAnsi="Arial" w:cs="Arial"/>
                <w:sz w:val="20"/>
                <w:szCs w:val="20"/>
              </w:rPr>
              <w:t>Cash and cash equivalents</w:t>
            </w:r>
          </w:p>
        </w:tc>
        <w:tc>
          <w:tcPr>
            <w:tcW w:w="723" w:type="dxa"/>
            <w:shd w:val="clear" w:color="auto" w:fill="auto"/>
            <w:vAlign w:val="bottom"/>
          </w:tcPr>
          <w:p w:rsidR="00EB26B2" w:rsidRPr="00DE475B" w:rsidRDefault="00EB26B2" w:rsidP="00D25526">
            <w:pPr>
              <w:jc w:val="center"/>
              <w:rPr>
                <w:rFonts w:ascii="Arial" w:hAnsi="Arial" w:cs="Arial"/>
                <w:sz w:val="20"/>
                <w:szCs w:val="20"/>
              </w:rPr>
            </w:pPr>
            <w:r w:rsidRPr="00DE475B">
              <w:rPr>
                <w:rFonts w:ascii="Arial" w:hAnsi="Arial" w:cs="Arial"/>
                <w:b/>
                <w:bCs/>
                <w:sz w:val="20"/>
                <w:szCs w:val="20"/>
              </w:rPr>
              <w:t>C1</w:t>
            </w:r>
          </w:p>
        </w:tc>
        <w:tc>
          <w:tcPr>
            <w:tcW w:w="1070" w:type="dxa"/>
            <w:shd w:val="clear" w:color="auto" w:fill="auto"/>
            <w:tcMar>
              <w:right w:w="57" w:type="dxa"/>
            </w:tcMar>
            <w:vAlign w:val="center"/>
          </w:tcPr>
          <w:p w:rsidR="00EB26B2" w:rsidRPr="00DE475B" w:rsidRDefault="001F6E07" w:rsidP="00B91411">
            <w:pPr>
              <w:jc w:val="right"/>
              <w:rPr>
                <w:rFonts w:ascii="Arial" w:hAnsi="Arial" w:cs="Arial"/>
                <w:sz w:val="20"/>
                <w:szCs w:val="20"/>
              </w:rPr>
            </w:pPr>
            <w:r>
              <w:rPr>
                <w:rFonts w:ascii="Arial" w:hAnsi="Arial" w:cs="Arial"/>
                <w:sz w:val="20"/>
                <w:szCs w:val="20"/>
              </w:rPr>
              <w:t>18,860</w:t>
            </w:r>
          </w:p>
        </w:tc>
        <w:tc>
          <w:tcPr>
            <w:tcW w:w="1070" w:type="dxa"/>
            <w:shd w:val="clear" w:color="auto" w:fill="auto"/>
            <w:tcMar>
              <w:right w:w="57" w:type="dxa"/>
            </w:tcMar>
            <w:vAlign w:val="center"/>
          </w:tcPr>
          <w:p w:rsidR="00EB26B2" w:rsidRPr="00DE475B" w:rsidRDefault="00EB26B2" w:rsidP="00A2292F">
            <w:pPr>
              <w:jc w:val="right"/>
              <w:rPr>
                <w:rFonts w:ascii="Arial" w:hAnsi="Arial" w:cs="Arial"/>
                <w:sz w:val="20"/>
                <w:szCs w:val="20"/>
              </w:rPr>
            </w:pPr>
            <w:r w:rsidRPr="00DE475B">
              <w:rPr>
                <w:rFonts w:ascii="Arial" w:hAnsi="Arial" w:cs="Arial"/>
                <w:sz w:val="20"/>
                <w:szCs w:val="20"/>
              </w:rPr>
              <w:t>16,920</w:t>
            </w:r>
          </w:p>
        </w:tc>
        <w:tc>
          <w:tcPr>
            <w:tcW w:w="1070" w:type="dxa"/>
            <w:shd w:val="clear" w:color="auto" w:fill="auto"/>
            <w:tcMar>
              <w:right w:w="57" w:type="dxa"/>
            </w:tcMar>
            <w:vAlign w:val="center"/>
          </w:tcPr>
          <w:p w:rsidR="00EB26B2" w:rsidRPr="00DE475B" w:rsidRDefault="001F6E07" w:rsidP="00A2292F">
            <w:pPr>
              <w:jc w:val="right"/>
              <w:rPr>
                <w:rFonts w:ascii="Arial" w:hAnsi="Arial" w:cs="Arial"/>
                <w:sz w:val="20"/>
                <w:szCs w:val="20"/>
              </w:rPr>
            </w:pPr>
            <w:r>
              <w:rPr>
                <w:rFonts w:ascii="Arial" w:hAnsi="Arial" w:cs="Arial"/>
                <w:sz w:val="20"/>
                <w:szCs w:val="20"/>
              </w:rPr>
              <w:t>12,893</w:t>
            </w:r>
          </w:p>
        </w:tc>
        <w:tc>
          <w:tcPr>
            <w:tcW w:w="1070" w:type="dxa"/>
            <w:shd w:val="clear" w:color="auto" w:fill="auto"/>
            <w:tcMar>
              <w:right w:w="57" w:type="dxa"/>
            </w:tcMar>
            <w:vAlign w:val="center"/>
          </w:tcPr>
          <w:p w:rsidR="00EB26B2" w:rsidRPr="00DE475B" w:rsidRDefault="00EB26B2" w:rsidP="00A2292F">
            <w:pPr>
              <w:jc w:val="right"/>
              <w:rPr>
                <w:rFonts w:ascii="Arial" w:hAnsi="Arial" w:cs="Arial"/>
                <w:sz w:val="20"/>
                <w:szCs w:val="20"/>
              </w:rPr>
            </w:pPr>
            <w:r w:rsidRPr="00DE475B">
              <w:rPr>
                <w:rFonts w:ascii="Arial" w:hAnsi="Arial" w:cs="Arial"/>
                <w:sz w:val="20"/>
                <w:szCs w:val="20"/>
              </w:rPr>
              <w:t>11,217</w:t>
            </w:r>
          </w:p>
        </w:tc>
      </w:tr>
      <w:tr w:rsidR="00EB26B2" w:rsidRPr="00DE475B" w:rsidTr="00B91411">
        <w:trPr>
          <w:trHeight w:val="315"/>
        </w:trPr>
        <w:tc>
          <w:tcPr>
            <w:tcW w:w="3786" w:type="dxa"/>
            <w:shd w:val="clear" w:color="auto" w:fill="auto"/>
            <w:vAlign w:val="bottom"/>
          </w:tcPr>
          <w:p w:rsidR="00EB26B2" w:rsidRPr="00DE475B" w:rsidRDefault="00EB26B2" w:rsidP="00D25526">
            <w:pPr>
              <w:rPr>
                <w:rFonts w:ascii="Arial" w:hAnsi="Arial" w:cs="Arial"/>
                <w:b/>
                <w:bCs/>
                <w:sz w:val="20"/>
                <w:szCs w:val="20"/>
              </w:rPr>
            </w:pPr>
            <w:r w:rsidRPr="00DE475B">
              <w:rPr>
                <w:rFonts w:ascii="Arial" w:hAnsi="Arial" w:cs="Arial"/>
                <w:sz w:val="20"/>
                <w:szCs w:val="20"/>
              </w:rPr>
              <w:t>Receivables</w:t>
            </w:r>
          </w:p>
        </w:tc>
        <w:tc>
          <w:tcPr>
            <w:tcW w:w="723" w:type="dxa"/>
            <w:shd w:val="clear" w:color="auto" w:fill="auto"/>
            <w:vAlign w:val="bottom"/>
          </w:tcPr>
          <w:p w:rsidR="00EB26B2" w:rsidRPr="00DE475B" w:rsidRDefault="00EB26B2" w:rsidP="00D25526">
            <w:pPr>
              <w:jc w:val="center"/>
              <w:rPr>
                <w:rFonts w:ascii="Arial" w:hAnsi="Arial" w:cs="Arial"/>
                <w:sz w:val="20"/>
                <w:szCs w:val="20"/>
              </w:rPr>
            </w:pPr>
            <w:r w:rsidRPr="00DE475B">
              <w:rPr>
                <w:rFonts w:ascii="Arial" w:hAnsi="Arial" w:cs="Arial"/>
                <w:b/>
                <w:bCs/>
                <w:sz w:val="20"/>
                <w:szCs w:val="20"/>
              </w:rPr>
              <w:t>C2</w:t>
            </w:r>
          </w:p>
        </w:tc>
        <w:tc>
          <w:tcPr>
            <w:tcW w:w="1070" w:type="dxa"/>
            <w:shd w:val="clear" w:color="auto" w:fill="auto"/>
            <w:tcMar>
              <w:right w:w="57" w:type="dxa"/>
            </w:tcMar>
            <w:vAlign w:val="center"/>
          </w:tcPr>
          <w:p w:rsidR="00EB26B2" w:rsidRPr="00DE475B" w:rsidRDefault="001F6E07" w:rsidP="00D25526">
            <w:pPr>
              <w:jc w:val="right"/>
              <w:rPr>
                <w:rFonts w:ascii="Arial" w:hAnsi="Arial" w:cs="Arial"/>
                <w:sz w:val="20"/>
                <w:szCs w:val="20"/>
              </w:rPr>
            </w:pPr>
            <w:r>
              <w:rPr>
                <w:rFonts w:ascii="Arial" w:hAnsi="Arial" w:cs="Arial"/>
                <w:sz w:val="20"/>
                <w:szCs w:val="20"/>
              </w:rPr>
              <w:t>1,034</w:t>
            </w:r>
          </w:p>
        </w:tc>
        <w:tc>
          <w:tcPr>
            <w:tcW w:w="1070" w:type="dxa"/>
            <w:shd w:val="clear" w:color="auto" w:fill="auto"/>
            <w:tcMar>
              <w:right w:w="57" w:type="dxa"/>
            </w:tcMar>
            <w:vAlign w:val="center"/>
          </w:tcPr>
          <w:p w:rsidR="00EB26B2" w:rsidRPr="00DE475B" w:rsidRDefault="00EB26B2" w:rsidP="00A2292F">
            <w:pPr>
              <w:jc w:val="right"/>
              <w:rPr>
                <w:rFonts w:ascii="Arial" w:hAnsi="Arial" w:cs="Arial"/>
                <w:sz w:val="20"/>
                <w:szCs w:val="20"/>
              </w:rPr>
            </w:pPr>
            <w:r w:rsidRPr="00DE475B">
              <w:rPr>
                <w:rFonts w:ascii="Arial" w:hAnsi="Arial" w:cs="Arial"/>
                <w:sz w:val="20"/>
                <w:szCs w:val="20"/>
              </w:rPr>
              <w:t>1,524</w:t>
            </w:r>
          </w:p>
        </w:tc>
        <w:tc>
          <w:tcPr>
            <w:tcW w:w="1070" w:type="dxa"/>
            <w:shd w:val="clear" w:color="auto" w:fill="auto"/>
            <w:tcMar>
              <w:right w:w="57" w:type="dxa"/>
            </w:tcMar>
            <w:vAlign w:val="center"/>
          </w:tcPr>
          <w:p w:rsidR="00EB26B2" w:rsidRPr="00DE475B" w:rsidRDefault="001F6E07" w:rsidP="00A2292F">
            <w:pPr>
              <w:jc w:val="right"/>
              <w:rPr>
                <w:rFonts w:ascii="Arial" w:hAnsi="Arial" w:cs="Arial"/>
                <w:sz w:val="20"/>
                <w:szCs w:val="20"/>
              </w:rPr>
            </w:pPr>
            <w:r>
              <w:rPr>
                <w:rFonts w:ascii="Arial" w:hAnsi="Arial" w:cs="Arial"/>
                <w:sz w:val="20"/>
                <w:szCs w:val="20"/>
              </w:rPr>
              <w:t>1,252</w:t>
            </w:r>
          </w:p>
        </w:tc>
        <w:tc>
          <w:tcPr>
            <w:tcW w:w="1070" w:type="dxa"/>
            <w:shd w:val="clear" w:color="auto" w:fill="auto"/>
            <w:tcMar>
              <w:right w:w="57" w:type="dxa"/>
            </w:tcMar>
            <w:vAlign w:val="center"/>
          </w:tcPr>
          <w:p w:rsidR="00EB26B2" w:rsidRPr="00DE475B" w:rsidRDefault="00EB26B2" w:rsidP="00A2292F">
            <w:pPr>
              <w:jc w:val="right"/>
              <w:rPr>
                <w:rFonts w:ascii="Arial" w:hAnsi="Arial" w:cs="Arial"/>
                <w:sz w:val="20"/>
                <w:szCs w:val="20"/>
              </w:rPr>
            </w:pPr>
            <w:r w:rsidRPr="00DE475B">
              <w:rPr>
                <w:rFonts w:ascii="Arial" w:hAnsi="Arial" w:cs="Arial"/>
                <w:sz w:val="20"/>
                <w:szCs w:val="20"/>
              </w:rPr>
              <w:t>1,620</w:t>
            </w:r>
          </w:p>
        </w:tc>
      </w:tr>
      <w:tr w:rsidR="00EB26B2" w:rsidRPr="00DE475B" w:rsidTr="00B91411">
        <w:trPr>
          <w:trHeight w:val="102"/>
        </w:trPr>
        <w:tc>
          <w:tcPr>
            <w:tcW w:w="3786" w:type="dxa"/>
            <w:shd w:val="clear" w:color="auto" w:fill="auto"/>
            <w:vAlign w:val="bottom"/>
          </w:tcPr>
          <w:p w:rsidR="00EB26B2" w:rsidRPr="00DE475B" w:rsidRDefault="00EB26B2" w:rsidP="00D25526">
            <w:pPr>
              <w:snapToGrid w:val="0"/>
              <w:rPr>
                <w:rFonts w:ascii="Arial" w:hAnsi="Arial" w:cs="Arial"/>
                <w:b/>
                <w:bCs/>
                <w:sz w:val="20"/>
                <w:szCs w:val="20"/>
              </w:rPr>
            </w:pPr>
          </w:p>
        </w:tc>
        <w:tc>
          <w:tcPr>
            <w:tcW w:w="723" w:type="dxa"/>
            <w:shd w:val="clear" w:color="auto" w:fill="auto"/>
            <w:vAlign w:val="bottom"/>
          </w:tcPr>
          <w:p w:rsidR="00EB26B2" w:rsidRPr="00DE475B" w:rsidRDefault="00EB26B2" w:rsidP="00D25526">
            <w:pPr>
              <w:snapToGrid w:val="0"/>
              <w:jc w:val="center"/>
              <w:rPr>
                <w:rFonts w:ascii="Arial" w:hAnsi="Arial" w:cs="Arial"/>
                <w:b/>
                <w:bCs/>
                <w:sz w:val="20"/>
                <w:szCs w:val="20"/>
              </w:rPr>
            </w:pPr>
          </w:p>
        </w:tc>
        <w:tc>
          <w:tcPr>
            <w:tcW w:w="1070" w:type="dxa"/>
            <w:tcBorders>
              <w:bottom w:val="single" w:sz="4" w:space="0" w:color="000000"/>
            </w:tcBorders>
            <w:shd w:val="clear" w:color="auto" w:fill="auto"/>
            <w:tcMar>
              <w:right w:w="57" w:type="dxa"/>
            </w:tcMar>
            <w:vAlign w:val="center"/>
          </w:tcPr>
          <w:p w:rsidR="00EB26B2" w:rsidRPr="00DE475B" w:rsidRDefault="00EB26B2" w:rsidP="00D25526">
            <w:pPr>
              <w:jc w:val="right"/>
              <w:rPr>
                <w:rFonts w:ascii="Arial" w:hAnsi="Arial" w:cs="Arial"/>
                <w:sz w:val="20"/>
                <w:szCs w:val="20"/>
              </w:rPr>
            </w:pPr>
          </w:p>
        </w:tc>
        <w:tc>
          <w:tcPr>
            <w:tcW w:w="1070" w:type="dxa"/>
            <w:tcBorders>
              <w:bottom w:val="single" w:sz="4" w:space="0" w:color="000000"/>
            </w:tcBorders>
            <w:shd w:val="clear" w:color="auto" w:fill="auto"/>
            <w:tcMar>
              <w:right w:w="57" w:type="dxa"/>
            </w:tcMar>
            <w:vAlign w:val="center"/>
          </w:tcPr>
          <w:p w:rsidR="00EB26B2" w:rsidRPr="00DE475B" w:rsidRDefault="00EB26B2" w:rsidP="00A2292F">
            <w:pPr>
              <w:jc w:val="right"/>
              <w:rPr>
                <w:rFonts w:ascii="Arial" w:hAnsi="Arial" w:cs="Arial"/>
                <w:sz w:val="20"/>
                <w:szCs w:val="20"/>
              </w:rPr>
            </w:pPr>
            <w:r w:rsidRPr="00DE475B">
              <w:rPr>
                <w:rFonts w:ascii="Arial" w:hAnsi="Arial" w:cs="Arial"/>
                <w:sz w:val="20"/>
                <w:szCs w:val="20"/>
              </w:rPr>
              <w:t> </w:t>
            </w:r>
          </w:p>
        </w:tc>
        <w:tc>
          <w:tcPr>
            <w:tcW w:w="1070" w:type="dxa"/>
            <w:tcBorders>
              <w:bottom w:val="single" w:sz="4" w:space="0" w:color="000000"/>
            </w:tcBorders>
            <w:shd w:val="clear" w:color="auto" w:fill="auto"/>
            <w:tcMar>
              <w:right w:w="57" w:type="dxa"/>
            </w:tcMar>
            <w:vAlign w:val="center"/>
          </w:tcPr>
          <w:p w:rsidR="00EB26B2" w:rsidRPr="00DE475B" w:rsidRDefault="00EB26B2" w:rsidP="00A2292F">
            <w:pPr>
              <w:jc w:val="right"/>
              <w:rPr>
                <w:rFonts w:ascii="Arial" w:hAnsi="Arial" w:cs="Arial"/>
                <w:sz w:val="20"/>
                <w:szCs w:val="20"/>
              </w:rPr>
            </w:pPr>
          </w:p>
        </w:tc>
        <w:tc>
          <w:tcPr>
            <w:tcW w:w="1070" w:type="dxa"/>
            <w:tcBorders>
              <w:bottom w:val="single" w:sz="4" w:space="0" w:color="000000"/>
            </w:tcBorders>
            <w:shd w:val="clear" w:color="auto" w:fill="auto"/>
            <w:tcMar>
              <w:right w:w="57" w:type="dxa"/>
            </w:tcMar>
            <w:vAlign w:val="center"/>
          </w:tcPr>
          <w:p w:rsidR="00EB26B2" w:rsidRPr="00DE475B" w:rsidRDefault="00EB26B2" w:rsidP="00A2292F">
            <w:pPr>
              <w:jc w:val="right"/>
              <w:rPr>
                <w:rFonts w:ascii="Arial" w:hAnsi="Arial" w:cs="Arial"/>
                <w:sz w:val="20"/>
                <w:szCs w:val="20"/>
              </w:rPr>
            </w:pPr>
          </w:p>
        </w:tc>
      </w:tr>
      <w:tr w:rsidR="00EB26B2" w:rsidRPr="00DE475B" w:rsidTr="00B91411">
        <w:trPr>
          <w:trHeight w:val="315"/>
        </w:trPr>
        <w:tc>
          <w:tcPr>
            <w:tcW w:w="3786" w:type="dxa"/>
            <w:shd w:val="clear" w:color="auto" w:fill="auto"/>
            <w:vAlign w:val="bottom"/>
          </w:tcPr>
          <w:p w:rsidR="00EB26B2" w:rsidRPr="00DE475B" w:rsidRDefault="00EB26B2" w:rsidP="00D25526">
            <w:pPr>
              <w:rPr>
                <w:rFonts w:ascii="Arial" w:hAnsi="Arial" w:cs="Arial"/>
                <w:b/>
                <w:bCs/>
                <w:sz w:val="20"/>
                <w:szCs w:val="20"/>
              </w:rPr>
            </w:pPr>
            <w:r w:rsidRPr="00DE475B">
              <w:rPr>
                <w:rFonts w:ascii="Arial" w:hAnsi="Arial" w:cs="Arial"/>
                <w:b/>
                <w:bCs/>
                <w:sz w:val="20"/>
                <w:szCs w:val="20"/>
              </w:rPr>
              <w:t>Total</w:t>
            </w:r>
          </w:p>
        </w:tc>
        <w:tc>
          <w:tcPr>
            <w:tcW w:w="723" w:type="dxa"/>
            <w:shd w:val="clear" w:color="auto" w:fill="auto"/>
            <w:vAlign w:val="bottom"/>
          </w:tcPr>
          <w:p w:rsidR="00EB26B2" w:rsidRPr="00DE475B" w:rsidRDefault="00EB26B2" w:rsidP="00D25526">
            <w:pPr>
              <w:snapToGrid w:val="0"/>
              <w:jc w:val="center"/>
              <w:rPr>
                <w:rFonts w:ascii="Arial" w:hAnsi="Arial" w:cs="Arial"/>
                <w:b/>
                <w:bCs/>
                <w:sz w:val="20"/>
                <w:szCs w:val="20"/>
              </w:rPr>
            </w:pPr>
          </w:p>
        </w:tc>
        <w:tc>
          <w:tcPr>
            <w:tcW w:w="1070" w:type="dxa"/>
            <w:tcBorders>
              <w:bottom w:val="single" w:sz="12" w:space="0" w:color="000000"/>
            </w:tcBorders>
            <w:shd w:val="clear" w:color="auto" w:fill="auto"/>
            <w:tcMar>
              <w:right w:w="57" w:type="dxa"/>
            </w:tcMar>
            <w:vAlign w:val="center"/>
          </w:tcPr>
          <w:p w:rsidR="00EB26B2" w:rsidRPr="00DE475B" w:rsidRDefault="001F6E07" w:rsidP="00B91411">
            <w:pPr>
              <w:jc w:val="right"/>
              <w:rPr>
                <w:rFonts w:ascii="Arial" w:hAnsi="Arial" w:cs="Arial"/>
                <w:b/>
                <w:bCs/>
                <w:sz w:val="20"/>
                <w:szCs w:val="20"/>
              </w:rPr>
            </w:pPr>
            <w:r>
              <w:rPr>
                <w:rFonts w:ascii="Arial" w:hAnsi="Arial" w:cs="Arial"/>
                <w:b/>
                <w:bCs/>
                <w:sz w:val="20"/>
                <w:szCs w:val="20"/>
              </w:rPr>
              <w:t>19,894</w:t>
            </w:r>
          </w:p>
        </w:tc>
        <w:tc>
          <w:tcPr>
            <w:tcW w:w="1070" w:type="dxa"/>
            <w:tcBorders>
              <w:bottom w:val="single" w:sz="12" w:space="0" w:color="000000"/>
            </w:tcBorders>
            <w:shd w:val="clear" w:color="auto" w:fill="auto"/>
            <w:tcMar>
              <w:right w:w="57" w:type="dxa"/>
            </w:tcMar>
            <w:vAlign w:val="center"/>
          </w:tcPr>
          <w:p w:rsidR="00EB26B2" w:rsidRPr="00DE475B" w:rsidRDefault="00EB26B2" w:rsidP="00A2292F">
            <w:pPr>
              <w:jc w:val="right"/>
              <w:rPr>
                <w:rFonts w:ascii="Arial" w:hAnsi="Arial" w:cs="Arial"/>
                <w:b/>
                <w:bCs/>
                <w:sz w:val="20"/>
                <w:szCs w:val="20"/>
              </w:rPr>
            </w:pPr>
            <w:r w:rsidRPr="00DE475B">
              <w:rPr>
                <w:rFonts w:ascii="Arial" w:hAnsi="Arial" w:cs="Arial"/>
                <w:b/>
                <w:bCs/>
                <w:sz w:val="20"/>
                <w:szCs w:val="20"/>
              </w:rPr>
              <w:t>18,444</w:t>
            </w:r>
          </w:p>
        </w:tc>
        <w:tc>
          <w:tcPr>
            <w:tcW w:w="1070" w:type="dxa"/>
            <w:tcBorders>
              <w:bottom w:val="single" w:sz="12" w:space="0" w:color="000000"/>
            </w:tcBorders>
            <w:shd w:val="clear" w:color="auto" w:fill="auto"/>
            <w:tcMar>
              <w:right w:w="57" w:type="dxa"/>
            </w:tcMar>
            <w:vAlign w:val="center"/>
          </w:tcPr>
          <w:p w:rsidR="00EB26B2" w:rsidRPr="00DE475B" w:rsidRDefault="001F6E07" w:rsidP="00A2292F">
            <w:pPr>
              <w:jc w:val="right"/>
              <w:rPr>
                <w:rFonts w:ascii="Arial" w:hAnsi="Arial" w:cs="Arial"/>
                <w:b/>
                <w:bCs/>
                <w:sz w:val="20"/>
                <w:szCs w:val="20"/>
              </w:rPr>
            </w:pPr>
            <w:r>
              <w:rPr>
                <w:rFonts w:ascii="Arial" w:hAnsi="Arial" w:cs="Arial"/>
                <w:b/>
                <w:bCs/>
                <w:sz w:val="20"/>
                <w:szCs w:val="20"/>
              </w:rPr>
              <w:t>14,145</w:t>
            </w:r>
          </w:p>
        </w:tc>
        <w:tc>
          <w:tcPr>
            <w:tcW w:w="1070" w:type="dxa"/>
            <w:tcBorders>
              <w:bottom w:val="single" w:sz="12" w:space="0" w:color="000000"/>
            </w:tcBorders>
            <w:shd w:val="clear" w:color="auto" w:fill="auto"/>
            <w:tcMar>
              <w:right w:w="57" w:type="dxa"/>
            </w:tcMar>
            <w:vAlign w:val="center"/>
          </w:tcPr>
          <w:p w:rsidR="00EB26B2" w:rsidRPr="00DE475B" w:rsidRDefault="00EB26B2" w:rsidP="00A2292F">
            <w:pPr>
              <w:jc w:val="right"/>
              <w:rPr>
                <w:rFonts w:ascii="Arial" w:hAnsi="Arial" w:cs="Arial"/>
                <w:b/>
                <w:bCs/>
                <w:sz w:val="20"/>
                <w:szCs w:val="20"/>
              </w:rPr>
            </w:pPr>
            <w:r w:rsidRPr="00DE475B">
              <w:rPr>
                <w:rFonts w:ascii="Arial" w:hAnsi="Arial" w:cs="Arial"/>
                <w:b/>
                <w:bCs/>
                <w:sz w:val="20"/>
                <w:szCs w:val="20"/>
              </w:rPr>
              <w:t>12,837</w:t>
            </w:r>
          </w:p>
        </w:tc>
      </w:tr>
      <w:tr w:rsidR="00EB26B2" w:rsidRPr="00DE475B" w:rsidTr="00B91411">
        <w:trPr>
          <w:trHeight w:val="102"/>
        </w:trPr>
        <w:tc>
          <w:tcPr>
            <w:tcW w:w="3786" w:type="dxa"/>
            <w:shd w:val="clear" w:color="auto" w:fill="auto"/>
            <w:vAlign w:val="bottom"/>
          </w:tcPr>
          <w:p w:rsidR="00EB26B2" w:rsidRPr="00DE475B" w:rsidRDefault="00EB26B2" w:rsidP="00D25526">
            <w:pPr>
              <w:snapToGrid w:val="0"/>
              <w:rPr>
                <w:rFonts w:ascii="Arial" w:hAnsi="Arial" w:cs="Arial"/>
                <w:b/>
                <w:bCs/>
                <w:sz w:val="20"/>
                <w:szCs w:val="20"/>
              </w:rPr>
            </w:pPr>
          </w:p>
        </w:tc>
        <w:tc>
          <w:tcPr>
            <w:tcW w:w="723" w:type="dxa"/>
            <w:shd w:val="clear" w:color="auto" w:fill="auto"/>
            <w:vAlign w:val="bottom"/>
          </w:tcPr>
          <w:p w:rsidR="00EB26B2" w:rsidRPr="00DE475B" w:rsidRDefault="00EB26B2" w:rsidP="00D25526">
            <w:pPr>
              <w:snapToGrid w:val="0"/>
              <w:jc w:val="center"/>
              <w:rPr>
                <w:rFonts w:ascii="Arial" w:hAnsi="Arial" w:cs="Arial"/>
                <w:b/>
                <w:bCs/>
                <w:sz w:val="20"/>
                <w:szCs w:val="20"/>
              </w:rPr>
            </w:pPr>
          </w:p>
        </w:tc>
        <w:tc>
          <w:tcPr>
            <w:tcW w:w="1070" w:type="dxa"/>
            <w:shd w:val="clear" w:color="auto" w:fill="auto"/>
            <w:tcMar>
              <w:right w:w="57" w:type="dxa"/>
            </w:tcMar>
            <w:vAlign w:val="center"/>
          </w:tcPr>
          <w:p w:rsidR="00EB26B2" w:rsidRPr="00DE475B" w:rsidRDefault="00EB26B2" w:rsidP="00D25526">
            <w:pPr>
              <w:snapToGrid w:val="0"/>
              <w:jc w:val="right"/>
              <w:rPr>
                <w:rFonts w:ascii="Arial" w:hAnsi="Arial" w:cs="Arial"/>
                <w:sz w:val="20"/>
                <w:szCs w:val="20"/>
              </w:rPr>
            </w:pPr>
          </w:p>
        </w:tc>
        <w:tc>
          <w:tcPr>
            <w:tcW w:w="1070" w:type="dxa"/>
            <w:shd w:val="clear" w:color="auto" w:fill="auto"/>
            <w:tcMar>
              <w:right w:w="57" w:type="dxa"/>
            </w:tcMar>
            <w:vAlign w:val="center"/>
          </w:tcPr>
          <w:p w:rsidR="00EB26B2" w:rsidRPr="00DE475B" w:rsidRDefault="00EB26B2" w:rsidP="00A2292F">
            <w:pPr>
              <w:snapToGrid w:val="0"/>
              <w:jc w:val="right"/>
              <w:rPr>
                <w:rFonts w:ascii="Arial" w:hAnsi="Arial" w:cs="Arial"/>
                <w:sz w:val="20"/>
                <w:szCs w:val="20"/>
              </w:rPr>
            </w:pPr>
          </w:p>
        </w:tc>
        <w:tc>
          <w:tcPr>
            <w:tcW w:w="1070" w:type="dxa"/>
            <w:tcBorders>
              <w:top w:val="single" w:sz="12" w:space="0" w:color="000000"/>
            </w:tcBorders>
            <w:shd w:val="clear" w:color="auto" w:fill="auto"/>
            <w:tcMar>
              <w:right w:w="57" w:type="dxa"/>
            </w:tcMar>
            <w:vAlign w:val="center"/>
          </w:tcPr>
          <w:p w:rsidR="00EB26B2" w:rsidRPr="00DE475B" w:rsidRDefault="00EB26B2" w:rsidP="00A2292F">
            <w:pPr>
              <w:snapToGrid w:val="0"/>
              <w:jc w:val="right"/>
              <w:rPr>
                <w:rFonts w:ascii="Arial" w:hAnsi="Arial" w:cs="Arial"/>
                <w:sz w:val="20"/>
                <w:szCs w:val="20"/>
              </w:rPr>
            </w:pPr>
          </w:p>
        </w:tc>
        <w:tc>
          <w:tcPr>
            <w:tcW w:w="1070" w:type="dxa"/>
            <w:tcBorders>
              <w:top w:val="single" w:sz="12" w:space="0" w:color="000000"/>
            </w:tcBorders>
            <w:shd w:val="clear" w:color="auto" w:fill="auto"/>
            <w:tcMar>
              <w:right w:w="57" w:type="dxa"/>
            </w:tcMar>
            <w:vAlign w:val="center"/>
          </w:tcPr>
          <w:p w:rsidR="00EB26B2" w:rsidRPr="00DE475B" w:rsidRDefault="00EB26B2" w:rsidP="00A2292F">
            <w:pPr>
              <w:snapToGrid w:val="0"/>
              <w:jc w:val="right"/>
              <w:rPr>
                <w:rFonts w:ascii="Arial" w:hAnsi="Arial" w:cs="Arial"/>
                <w:sz w:val="20"/>
                <w:szCs w:val="20"/>
              </w:rPr>
            </w:pPr>
          </w:p>
        </w:tc>
      </w:tr>
      <w:tr w:rsidR="00EB26B2" w:rsidRPr="00DE475B" w:rsidTr="00B91411">
        <w:trPr>
          <w:trHeight w:val="315"/>
        </w:trPr>
        <w:tc>
          <w:tcPr>
            <w:tcW w:w="3786" w:type="dxa"/>
            <w:shd w:val="clear" w:color="auto" w:fill="auto"/>
            <w:vAlign w:val="bottom"/>
          </w:tcPr>
          <w:p w:rsidR="00EB26B2" w:rsidRPr="00DE475B" w:rsidRDefault="00EB26B2" w:rsidP="00D25526">
            <w:pPr>
              <w:rPr>
                <w:rFonts w:ascii="Arial" w:hAnsi="Arial" w:cs="Arial"/>
                <w:b/>
                <w:bCs/>
                <w:sz w:val="20"/>
                <w:szCs w:val="20"/>
              </w:rPr>
            </w:pPr>
            <w:r w:rsidRPr="00DE475B">
              <w:rPr>
                <w:rFonts w:ascii="Arial" w:hAnsi="Arial" w:cs="Arial"/>
                <w:b/>
                <w:bCs/>
                <w:sz w:val="20"/>
                <w:szCs w:val="20"/>
              </w:rPr>
              <w:t>Financial Liabilities</w:t>
            </w:r>
          </w:p>
        </w:tc>
        <w:tc>
          <w:tcPr>
            <w:tcW w:w="723" w:type="dxa"/>
            <w:shd w:val="clear" w:color="auto" w:fill="auto"/>
            <w:vAlign w:val="bottom"/>
          </w:tcPr>
          <w:p w:rsidR="00EB26B2" w:rsidRPr="00DE475B" w:rsidRDefault="00EB26B2" w:rsidP="00D25526">
            <w:pPr>
              <w:snapToGrid w:val="0"/>
              <w:jc w:val="center"/>
              <w:rPr>
                <w:rFonts w:ascii="Arial" w:hAnsi="Arial" w:cs="Arial"/>
                <w:b/>
                <w:bCs/>
                <w:sz w:val="20"/>
                <w:szCs w:val="20"/>
              </w:rPr>
            </w:pPr>
          </w:p>
        </w:tc>
        <w:tc>
          <w:tcPr>
            <w:tcW w:w="1070" w:type="dxa"/>
            <w:shd w:val="clear" w:color="auto" w:fill="auto"/>
            <w:tcMar>
              <w:right w:w="57" w:type="dxa"/>
            </w:tcMar>
            <w:vAlign w:val="center"/>
          </w:tcPr>
          <w:p w:rsidR="00EB26B2" w:rsidRPr="00DE475B" w:rsidRDefault="00EB26B2" w:rsidP="00D25526">
            <w:pPr>
              <w:snapToGrid w:val="0"/>
              <w:jc w:val="right"/>
              <w:rPr>
                <w:rFonts w:ascii="Arial" w:hAnsi="Arial" w:cs="Arial"/>
                <w:b/>
                <w:bCs/>
                <w:sz w:val="20"/>
                <w:szCs w:val="20"/>
              </w:rPr>
            </w:pPr>
          </w:p>
        </w:tc>
        <w:tc>
          <w:tcPr>
            <w:tcW w:w="1070" w:type="dxa"/>
            <w:shd w:val="clear" w:color="auto" w:fill="auto"/>
            <w:tcMar>
              <w:right w:w="57" w:type="dxa"/>
            </w:tcMar>
            <w:vAlign w:val="center"/>
          </w:tcPr>
          <w:p w:rsidR="00EB26B2" w:rsidRPr="00DE475B" w:rsidRDefault="00EB26B2" w:rsidP="00A2292F">
            <w:pPr>
              <w:snapToGrid w:val="0"/>
              <w:jc w:val="right"/>
              <w:rPr>
                <w:rFonts w:ascii="Arial" w:hAnsi="Arial" w:cs="Arial"/>
                <w:b/>
                <w:bCs/>
                <w:sz w:val="20"/>
                <w:szCs w:val="20"/>
              </w:rPr>
            </w:pPr>
          </w:p>
        </w:tc>
        <w:tc>
          <w:tcPr>
            <w:tcW w:w="1070" w:type="dxa"/>
            <w:shd w:val="clear" w:color="auto" w:fill="auto"/>
            <w:tcMar>
              <w:right w:w="57" w:type="dxa"/>
            </w:tcMar>
            <w:vAlign w:val="center"/>
          </w:tcPr>
          <w:p w:rsidR="00EB26B2" w:rsidRPr="00DE475B" w:rsidRDefault="00EB26B2" w:rsidP="00A2292F">
            <w:pPr>
              <w:snapToGrid w:val="0"/>
              <w:jc w:val="right"/>
              <w:rPr>
                <w:rFonts w:ascii="Arial" w:hAnsi="Arial" w:cs="Arial"/>
                <w:b/>
                <w:bCs/>
                <w:sz w:val="20"/>
                <w:szCs w:val="20"/>
              </w:rPr>
            </w:pPr>
          </w:p>
        </w:tc>
        <w:tc>
          <w:tcPr>
            <w:tcW w:w="1070" w:type="dxa"/>
            <w:shd w:val="clear" w:color="auto" w:fill="auto"/>
            <w:tcMar>
              <w:right w:w="57" w:type="dxa"/>
            </w:tcMar>
            <w:vAlign w:val="center"/>
          </w:tcPr>
          <w:p w:rsidR="00EB26B2" w:rsidRPr="00DE475B" w:rsidRDefault="00EB26B2" w:rsidP="00A2292F">
            <w:pPr>
              <w:snapToGrid w:val="0"/>
              <w:jc w:val="right"/>
              <w:rPr>
                <w:rFonts w:ascii="Arial" w:hAnsi="Arial" w:cs="Arial"/>
                <w:b/>
                <w:bCs/>
                <w:sz w:val="20"/>
                <w:szCs w:val="20"/>
              </w:rPr>
            </w:pPr>
          </w:p>
        </w:tc>
      </w:tr>
      <w:tr w:rsidR="00EB26B2" w:rsidRPr="00DE475B" w:rsidTr="00B91411">
        <w:trPr>
          <w:trHeight w:val="315"/>
        </w:trPr>
        <w:tc>
          <w:tcPr>
            <w:tcW w:w="3786" w:type="dxa"/>
            <w:shd w:val="clear" w:color="auto" w:fill="auto"/>
            <w:vAlign w:val="bottom"/>
          </w:tcPr>
          <w:p w:rsidR="00EB26B2" w:rsidRPr="00DE475B" w:rsidRDefault="00EB26B2" w:rsidP="00D25526">
            <w:pPr>
              <w:rPr>
                <w:rFonts w:ascii="Arial" w:hAnsi="Arial" w:cs="Arial"/>
                <w:b/>
                <w:bCs/>
                <w:sz w:val="20"/>
                <w:szCs w:val="20"/>
              </w:rPr>
            </w:pPr>
            <w:r w:rsidRPr="00DE475B">
              <w:rPr>
                <w:rFonts w:ascii="Arial" w:hAnsi="Arial" w:cs="Arial"/>
                <w:sz w:val="20"/>
                <w:szCs w:val="20"/>
              </w:rPr>
              <w:t>Payables</w:t>
            </w:r>
          </w:p>
        </w:tc>
        <w:tc>
          <w:tcPr>
            <w:tcW w:w="723" w:type="dxa"/>
            <w:shd w:val="clear" w:color="auto" w:fill="auto"/>
            <w:vAlign w:val="bottom"/>
          </w:tcPr>
          <w:p w:rsidR="00EB26B2" w:rsidRPr="00DE475B" w:rsidRDefault="00EB26B2" w:rsidP="00B91411">
            <w:pPr>
              <w:jc w:val="center"/>
              <w:rPr>
                <w:rFonts w:ascii="Arial" w:hAnsi="Arial" w:cs="Arial"/>
                <w:sz w:val="20"/>
                <w:szCs w:val="20"/>
              </w:rPr>
            </w:pPr>
            <w:r w:rsidRPr="00DE475B">
              <w:rPr>
                <w:rFonts w:ascii="Arial" w:hAnsi="Arial" w:cs="Arial"/>
                <w:b/>
                <w:bCs/>
                <w:sz w:val="20"/>
                <w:szCs w:val="20"/>
              </w:rPr>
              <w:t>C5</w:t>
            </w:r>
          </w:p>
        </w:tc>
        <w:tc>
          <w:tcPr>
            <w:tcW w:w="1070" w:type="dxa"/>
            <w:shd w:val="clear" w:color="auto" w:fill="auto"/>
            <w:tcMar>
              <w:right w:w="57" w:type="dxa"/>
            </w:tcMar>
            <w:vAlign w:val="center"/>
          </w:tcPr>
          <w:p w:rsidR="00EB26B2" w:rsidRPr="00DE475B" w:rsidRDefault="001F6E07" w:rsidP="00D25526">
            <w:pPr>
              <w:jc w:val="right"/>
              <w:rPr>
                <w:rFonts w:ascii="Arial" w:hAnsi="Arial" w:cs="Arial"/>
                <w:sz w:val="20"/>
                <w:szCs w:val="20"/>
              </w:rPr>
            </w:pPr>
            <w:r>
              <w:rPr>
                <w:rFonts w:ascii="Arial" w:hAnsi="Arial" w:cs="Arial"/>
                <w:sz w:val="20"/>
                <w:szCs w:val="20"/>
              </w:rPr>
              <w:t>1,578</w:t>
            </w:r>
          </w:p>
        </w:tc>
        <w:tc>
          <w:tcPr>
            <w:tcW w:w="1070" w:type="dxa"/>
            <w:shd w:val="clear" w:color="auto" w:fill="auto"/>
            <w:tcMar>
              <w:right w:w="57" w:type="dxa"/>
            </w:tcMar>
            <w:vAlign w:val="center"/>
          </w:tcPr>
          <w:p w:rsidR="00EB26B2" w:rsidRPr="00DE475B" w:rsidRDefault="00EB26B2" w:rsidP="00A2292F">
            <w:pPr>
              <w:jc w:val="right"/>
              <w:rPr>
                <w:rFonts w:ascii="Arial" w:hAnsi="Arial" w:cs="Arial"/>
                <w:sz w:val="20"/>
                <w:szCs w:val="20"/>
              </w:rPr>
            </w:pPr>
            <w:r w:rsidRPr="00DE475B">
              <w:rPr>
                <w:rFonts w:ascii="Arial" w:hAnsi="Arial" w:cs="Arial"/>
                <w:sz w:val="20"/>
                <w:szCs w:val="20"/>
              </w:rPr>
              <w:t>1,681</w:t>
            </w:r>
          </w:p>
        </w:tc>
        <w:tc>
          <w:tcPr>
            <w:tcW w:w="1070" w:type="dxa"/>
            <w:shd w:val="clear" w:color="auto" w:fill="auto"/>
            <w:tcMar>
              <w:right w:w="57" w:type="dxa"/>
            </w:tcMar>
            <w:vAlign w:val="center"/>
          </w:tcPr>
          <w:p w:rsidR="00EB26B2" w:rsidRPr="00DE475B" w:rsidRDefault="001F6E07" w:rsidP="00A2292F">
            <w:pPr>
              <w:jc w:val="right"/>
              <w:rPr>
                <w:rFonts w:ascii="Arial" w:hAnsi="Arial" w:cs="Arial"/>
                <w:sz w:val="20"/>
                <w:szCs w:val="20"/>
              </w:rPr>
            </w:pPr>
            <w:r>
              <w:rPr>
                <w:rFonts w:ascii="Arial" w:hAnsi="Arial" w:cs="Arial"/>
                <w:sz w:val="20"/>
                <w:szCs w:val="20"/>
              </w:rPr>
              <w:t>1,624</w:t>
            </w:r>
          </w:p>
        </w:tc>
        <w:tc>
          <w:tcPr>
            <w:tcW w:w="1070" w:type="dxa"/>
            <w:shd w:val="clear" w:color="auto" w:fill="auto"/>
            <w:tcMar>
              <w:right w:w="57" w:type="dxa"/>
            </w:tcMar>
            <w:vAlign w:val="center"/>
          </w:tcPr>
          <w:p w:rsidR="00EB26B2" w:rsidRPr="00DE475B" w:rsidRDefault="00EB26B2" w:rsidP="00A2292F">
            <w:pPr>
              <w:jc w:val="right"/>
              <w:rPr>
                <w:rFonts w:ascii="Arial" w:hAnsi="Arial" w:cs="Arial"/>
                <w:sz w:val="20"/>
                <w:szCs w:val="20"/>
              </w:rPr>
            </w:pPr>
            <w:r w:rsidRPr="00DE475B">
              <w:rPr>
                <w:rFonts w:ascii="Arial" w:hAnsi="Arial" w:cs="Arial"/>
                <w:sz w:val="20"/>
                <w:szCs w:val="20"/>
              </w:rPr>
              <w:t>1,675</w:t>
            </w:r>
          </w:p>
        </w:tc>
      </w:tr>
      <w:tr w:rsidR="00EB26B2" w:rsidRPr="00DE475B" w:rsidTr="00B91411">
        <w:trPr>
          <w:trHeight w:val="102"/>
        </w:trPr>
        <w:tc>
          <w:tcPr>
            <w:tcW w:w="3786" w:type="dxa"/>
            <w:shd w:val="clear" w:color="auto" w:fill="auto"/>
            <w:vAlign w:val="bottom"/>
          </w:tcPr>
          <w:p w:rsidR="00EB26B2" w:rsidRPr="00DE475B" w:rsidRDefault="00EB26B2" w:rsidP="00D25526">
            <w:pPr>
              <w:snapToGrid w:val="0"/>
              <w:rPr>
                <w:rFonts w:ascii="Arial" w:hAnsi="Arial" w:cs="Arial"/>
                <w:b/>
                <w:bCs/>
                <w:sz w:val="20"/>
                <w:szCs w:val="20"/>
              </w:rPr>
            </w:pPr>
          </w:p>
        </w:tc>
        <w:tc>
          <w:tcPr>
            <w:tcW w:w="723" w:type="dxa"/>
            <w:shd w:val="clear" w:color="auto" w:fill="auto"/>
            <w:vAlign w:val="bottom"/>
          </w:tcPr>
          <w:p w:rsidR="00EB26B2" w:rsidRPr="00DE475B" w:rsidRDefault="00EB26B2" w:rsidP="00D25526">
            <w:pPr>
              <w:snapToGrid w:val="0"/>
              <w:jc w:val="center"/>
              <w:rPr>
                <w:rFonts w:ascii="Arial" w:hAnsi="Arial" w:cs="Arial"/>
                <w:b/>
                <w:bCs/>
                <w:sz w:val="20"/>
                <w:szCs w:val="20"/>
              </w:rPr>
            </w:pPr>
          </w:p>
        </w:tc>
        <w:tc>
          <w:tcPr>
            <w:tcW w:w="1070" w:type="dxa"/>
            <w:tcBorders>
              <w:bottom w:val="single" w:sz="4" w:space="0" w:color="000000"/>
            </w:tcBorders>
            <w:shd w:val="clear" w:color="auto" w:fill="auto"/>
            <w:tcMar>
              <w:right w:w="57" w:type="dxa"/>
            </w:tcMar>
            <w:vAlign w:val="center"/>
          </w:tcPr>
          <w:p w:rsidR="00EB26B2" w:rsidRPr="00DE475B" w:rsidRDefault="00EB26B2" w:rsidP="00D25526">
            <w:pPr>
              <w:jc w:val="right"/>
              <w:rPr>
                <w:rFonts w:ascii="Arial" w:hAnsi="Arial" w:cs="Arial"/>
                <w:sz w:val="20"/>
                <w:szCs w:val="20"/>
              </w:rPr>
            </w:pPr>
          </w:p>
        </w:tc>
        <w:tc>
          <w:tcPr>
            <w:tcW w:w="1070" w:type="dxa"/>
            <w:tcBorders>
              <w:bottom w:val="single" w:sz="4" w:space="0" w:color="000000"/>
            </w:tcBorders>
            <w:shd w:val="clear" w:color="auto" w:fill="auto"/>
            <w:tcMar>
              <w:right w:w="57" w:type="dxa"/>
            </w:tcMar>
            <w:vAlign w:val="center"/>
          </w:tcPr>
          <w:p w:rsidR="00EB26B2" w:rsidRPr="00DE475B" w:rsidRDefault="00EB26B2" w:rsidP="00A2292F">
            <w:pPr>
              <w:jc w:val="right"/>
              <w:rPr>
                <w:rFonts w:ascii="Arial" w:hAnsi="Arial" w:cs="Arial"/>
                <w:sz w:val="20"/>
                <w:szCs w:val="20"/>
              </w:rPr>
            </w:pPr>
            <w:r w:rsidRPr="00DE475B">
              <w:rPr>
                <w:rFonts w:ascii="Arial" w:hAnsi="Arial" w:cs="Arial"/>
                <w:sz w:val="20"/>
                <w:szCs w:val="20"/>
              </w:rPr>
              <w:t> </w:t>
            </w:r>
          </w:p>
        </w:tc>
        <w:tc>
          <w:tcPr>
            <w:tcW w:w="1070" w:type="dxa"/>
            <w:tcBorders>
              <w:bottom w:val="single" w:sz="4" w:space="0" w:color="000000"/>
            </w:tcBorders>
            <w:shd w:val="clear" w:color="auto" w:fill="auto"/>
            <w:tcMar>
              <w:right w:w="57" w:type="dxa"/>
            </w:tcMar>
            <w:vAlign w:val="center"/>
          </w:tcPr>
          <w:p w:rsidR="00EB26B2" w:rsidRPr="00DE475B" w:rsidRDefault="00EB26B2" w:rsidP="00A2292F">
            <w:pPr>
              <w:jc w:val="right"/>
              <w:rPr>
                <w:rFonts w:ascii="Arial" w:hAnsi="Arial" w:cs="Arial"/>
                <w:sz w:val="20"/>
                <w:szCs w:val="20"/>
              </w:rPr>
            </w:pPr>
          </w:p>
        </w:tc>
        <w:tc>
          <w:tcPr>
            <w:tcW w:w="1070" w:type="dxa"/>
            <w:tcBorders>
              <w:bottom w:val="single" w:sz="4" w:space="0" w:color="000000"/>
            </w:tcBorders>
            <w:shd w:val="clear" w:color="auto" w:fill="auto"/>
            <w:tcMar>
              <w:right w:w="57" w:type="dxa"/>
            </w:tcMar>
            <w:vAlign w:val="center"/>
          </w:tcPr>
          <w:p w:rsidR="00EB26B2" w:rsidRPr="00DE475B" w:rsidRDefault="00EB26B2" w:rsidP="00A2292F">
            <w:pPr>
              <w:jc w:val="right"/>
              <w:rPr>
                <w:rFonts w:ascii="Arial" w:hAnsi="Arial" w:cs="Arial"/>
                <w:sz w:val="20"/>
                <w:szCs w:val="20"/>
              </w:rPr>
            </w:pPr>
          </w:p>
        </w:tc>
      </w:tr>
      <w:tr w:rsidR="00EB26B2" w:rsidRPr="00DE475B" w:rsidTr="00B91411">
        <w:trPr>
          <w:trHeight w:val="315"/>
        </w:trPr>
        <w:tc>
          <w:tcPr>
            <w:tcW w:w="3786" w:type="dxa"/>
            <w:shd w:val="clear" w:color="auto" w:fill="auto"/>
            <w:vAlign w:val="bottom"/>
          </w:tcPr>
          <w:p w:rsidR="00EB26B2" w:rsidRPr="00DE475B" w:rsidRDefault="00EB26B2" w:rsidP="00D25526">
            <w:pPr>
              <w:rPr>
                <w:rFonts w:ascii="Arial" w:hAnsi="Arial" w:cs="Arial"/>
                <w:b/>
                <w:bCs/>
                <w:sz w:val="20"/>
                <w:szCs w:val="20"/>
              </w:rPr>
            </w:pPr>
            <w:r w:rsidRPr="00DE475B">
              <w:rPr>
                <w:rFonts w:ascii="Arial" w:hAnsi="Arial" w:cs="Arial"/>
                <w:b/>
                <w:bCs/>
                <w:sz w:val="20"/>
                <w:szCs w:val="20"/>
              </w:rPr>
              <w:t>Total</w:t>
            </w:r>
          </w:p>
        </w:tc>
        <w:tc>
          <w:tcPr>
            <w:tcW w:w="723" w:type="dxa"/>
            <w:shd w:val="clear" w:color="auto" w:fill="auto"/>
            <w:vAlign w:val="bottom"/>
          </w:tcPr>
          <w:p w:rsidR="00EB26B2" w:rsidRPr="00DE475B" w:rsidRDefault="00EB26B2" w:rsidP="00D25526">
            <w:pPr>
              <w:snapToGrid w:val="0"/>
              <w:jc w:val="center"/>
              <w:rPr>
                <w:rFonts w:ascii="Arial" w:hAnsi="Arial" w:cs="Arial"/>
                <w:b/>
                <w:bCs/>
                <w:sz w:val="20"/>
                <w:szCs w:val="20"/>
              </w:rPr>
            </w:pPr>
          </w:p>
        </w:tc>
        <w:tc>
          <w:tcPr>
            <w:tcW w:w="1070" w:type="dxa"/>
            <w:tcBorders>
              <w:bottom w:val="single" w:sz="12" w:space="0" w:color="000000"/>
            </w:tcBorders>
            <w:shd w:val="clear" w:color="auto" w:fill="auto"/>
            <w:tcMar>
              <w:right w:w="57" w:type="dxa"/>
            </w:tcMar>
            <w:vAlign w:val="center"/>
          </w:tcPr>
          <w:p w:rsidR="00EB26B2" w:rsidRPr="001F6E07" w:rsidRDefault="001F6E07" w:rsidP="00D25526">
            <w:pPr>
              <w:jc w:val="right"/>
              <w:rPr>
                <w:rFonts w:ascii="Arial" w:hAnsi="Arial" w:cs="Arial"/>
                <w:b/>
                <w:bCs/>
                <w:sz w:val="20"/>
                <w:szCs w:val="20"/>
              </w:rPr>
            </w:pPr>
            <w:r w:rsidRPr="001F6E07">
              <w:rPr>
                <w:rFonts w:ascii="Arial" w:hAnsi="Arial" w:cs="Arial"/>
                <w:b/>
                <w:sz w:val="20"/>
                <w:szCs w:val="20"/>
              </w:rPr>
              <w:t>1,578</w:t>
            </w:r>
          </w:p>
        </w:tc>
        <w:tc>
          <w:tcPr>
            <w:tcW w:w="1070" w:type="dxa"/>
            <w:tcBorders>
              <w:bottom w:val="single" w:sz="12" w:space="0" w:color="000000"/>
            </w:tcBorders>
            <w:shd w:val="clear" w:color="auto" w:fill="auto"/>
            <w:tcMar>
              <w:right w:w="57" w:type="dxa"/>
            </w:tcMar>
            <w:vAlign w:val="center"/>
          </w:tcPr>
          <w:p w:rsidR="00EB26B2" w:rsidRPr="00DE475B" w:rsidRDefault="00EB26B2" w:rsidP="00A2292F">
            <w:pPr>
              <w:jc w:val="right"/>
              <w:rPr>
                <w:rFonts w:ascii="Arial" w:hAnsi="Arial" w:cs="Arial"/>
                <w:b/>
                <w:bCs/>
                <w:sz w:val="20"/>
                <w:szCs w:val="20"/>
              </w:rPr>
            </w:pPr>
            <w:r w:rsidRPr="00DE475B">
              <w:rPr>
                <w:rFonts w:ascii="Arial" w:hAnsi="Arial" w:cs="Arial"/>
                <w:b/>
                <w:bCs/>
                <w:sz w:val="20"/>
                <w:szCs w:val="20"/>
              </w:rPr>
              <w:t>1,681</w:t>
            </w:r>
          </w:p>
        </w:tc>
        <w:tc>
          <w:tcPr>
            <w:tcW w:w="1070" w:type="dxa"/>
            <w:tcBorders>
              <w:bottom w:val="single" w:sz="12" w:space="0" w:color="000000"/>
            </w:tcBorders>
            <w:shd w:val="clear" w:color="auto" w:fill="auto"/>
            <w:tcMar>
              <w:right w:w="57" w:type="dxa"/>
            </w:tcMar>
            <w:vAlign w:val="center"/>
          </w:tcPr>
          <w:p w:rsidR="00EB26B2" w:rsidRPr="001F6E07" w:rsidRDefault="001F6E07" w:rsidP="00A2292F">
            <w:pPr>
              <w:jc w:val="right"/>
              <w:rPr>
                <w:rFonts w:ascii="Arial" w:hAnsi="Arial" w:cs="Arial"/>
                <w:b/>
                <w:bCs/>
                <w:sz w:val="20"/>
                <w:szCs w:val="20"/>
              </w:rPr>
            </w:pPr>
            <w:r w:rsidRPr="001F6E07">
              <w:rPr>
                <w:rFonts w:ascii="Arial" w:hAnsi="Arial" w:cs="Arial"/>
                <w:b/>
                <w:sz w:val="20"/>
                <w:szCs w:val="20"/>
              </w:rPr>
              <w:t>1,624</w:t>
            </w:r>
          </w:p>
        </w:tc>
        <w:tc>
          <w:tcPr>
            <w:tcW w:w="1070" w:type="dxa"/>
            <w:tcBorders>
              <w:bottom w:val="single" w:sz="12" w:space="0" w:color="000000"/>
            </w:tcBorders>
            <w:shd w:val="clear" w:color="auto" w:fill="auto"/>
            <w:tcMar>
              <w:right w:w="57" w:type="dxa"/>
            </w:tcMar>
            <w:vAlign w:val="center"/>
          </w:tcPr>
          <w:p w:rsidR="00EB26B2" w:rsidRPr="00DE475B" w:rsidRDefault="00EB26B2" w:rsidP="00A2292F">
            <w:pPr>
              <w:jc w:val="right"/>
              <w:rPr>
                <w:rFonts w:ascii="Arial" w:hAnsi="Arial" w:cs="Arial"/>
                <w:b/>
                <w:bCs/>
                <w:sz w:val="20"/>
                <w:szCs w:val="20"/>
              </w:rPr>
            </w:pPr>
            <w:r w:rsidRPr="00DE475B">
              <w:rPr>
                <w:rFonts w:ascii="Arial" w:hAnsi="Arial" w:cs="Arial"/>
                <w:b/>
                <w:bCs/>
                <w:sz w:val="20"/>
                <w:szCs w:val="20"/>
              </w:rPr>
              <w:t>1,675</w:t>
            </w:r>
          </w:p>
        </w:tc>
      </w:tr>
    </w:tbl>
    <w:p w:rsidR="00D25526" w:rsidRPr="00DE475B" w:rsidRDefault="00D25526" w:rsidP="00D25526">
      <w:pPr>
        <w:tabs>
          <w:tab w:val="left" w:pos="284"/>
          <w:tab w:val="left" w:pos="5878"/>
          <w:tab w:val="left" w:pos="8548"/>
          <w:tab w:val="left" w:pos="8770"/>
          <w:tab w:val="left" w:pos="10266"/>
          <w:tab w:val="left" w:pos="11702"/>
        </w:tabs>
        <w:spacing w:after="120"/>
        <w:rPr>
          <w:rFonts w:ascii="Arial" w:hAnsi="Arial" w:cs="Arial"/>
          <w:sz w:val="20"/>
          <w:szCs w:val="20"/>
        </w:rPr>
      </w:pPr>
    </w:p>
    <w:p w:rsidR="006A3E00" w:rsidRPr="00DE475B" w:rsidRDefault="00467724" w:rsidP="006A3E00">
      <w:pPr>
        <w:pStyle w:val="ARbodytext"/>
        <w:rPr>
          <w:b/>
          <w:bCs/>
        </w:rPr>
      </w:pPr>
      <w:r w:rsidRPr="00DE475B">
        <w:br w:type="page"/>
      </w:r>
      <w:r w:rsidR="006A3E00" w:rsidRPr="00DE475B">
        <w:rPr>
          <w:b/>
          <w:bCs/>
          <w:i/>
          <w:iCs/>
        </w:rPr>
        <w:lastRenderedPageBreak/>
        <w:t>Library Board of Queensland and controlled entities</w:t>
      </w:r>
    </w:p>
    <w:p w:rsidR="006A3E00" w:rsidRPr="00DE475B" w:rsidRDefault="00373FFE" w:rsidP="006A3E00">
      <w:pPr>
        <w:rPr>
          <w:rFonts w:ascii="Arial" w:hAnsi="Arial" w:cs="Arial"/>
          <w:b/>
          <w:bCs/>
          <w:sz w:val="20"/>
          <w:szCs w:val="20"/>
        </w:rPr>
      </w:pPr>
      <w:r w:rsidRPr="00DE475B">
        <w:rPr>
          <w:noProof/>
          <w:lang w:eastAsia="en-AU"/>
        </w:rPr>
        <mc:AlternateContent>
          <mc:Choice Requires="wps">
            <w:drawing>
              <wp:anchor distT="0" distB="0" distL="114300" distR="114300" simplePos="0" relativeHeight="251654144" behindDoc="0" locked="0" layoutInCell="1" allowOverlap="1" wp14:anchorId="05AC5A21" wp14:editId="400A536B">
                <wp:simplePos x="0" y="0"/>
                <wp:positionH relativeFrom="column">
                  <wp:posOffset>-66040</wp:posOffset>
                </wp:positionH>
                <wp:positionV relativeFrom="paragraph">
                  <wp:posOffset>-222250</wp:posOffset>
                </wp:positionV>
                <wp:extent cx="5573395" cy="0"/>
                <wp:effectExtent l="13970" t="9525" r="13335" b="9525"/>
                <wp:wrapNone/>
                <wp:docPr id="34"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rnmwIAAHoFAAAOAAAAZHJzL2Uyb0RvYy54bWysVFFvmzAQfp+0/2D5nQKBhASVVC0he+m2&#10;Su20Z8eYYM3YzHZDoqn/fWcnYU33Mk1NJOSz787f3fedr2/2nUA7pg1XssDxVYQRk1TVXG4L/O1p&#10;HcwxMpbImgglWYEPzOCb5ccP10Ofs4lqlaiZRpBEmnzoC9xa2+dhaGjLOmKuVM8kHDZKd8SCqbdh&#10;rckA2TsRTqJoFg5K171WlBkDu6vjIV76/E3DqP3aNIZZJAoM2Kz/av/duG+4vCb5VpO+5fQEg/wH&#10;io5wCZeOqVbEEvSs+V+pOk61MqqxV1R1oWoaTpmvAaqJozfVPLakZ74WaI7pxzaZ90tLv+weNOJ1&#10;gZMUI0k64OieS4YmSeaaM/QmB59SPmhXHt3Lx/5e0R8GSVW2RG6ZB/l06CEwdhHhRYgzTA9XbIbP&#10;qgYf8myV79S+0Z1LCT1Ae0/IYSSE7S2isDmdZkmymGJEz2chyc+BvTb2E1MdcosCC0DtE5PdvbEO&#10;CMnPLu4eqdZcCM+3kGgo8CKZgSIoAdWZnz7SKMFr5+X8jd5uSqHRjjjp+J8vD05eu3XcgoAF7wo8&#10;H51I3jJSV7L211nCxXENkIR0yZmX5hEnWHsLS78PhXvZ/FpEi2pezdMgncyqII1Wq+B2XabBbB1n&#10;01WyKstV/OJQx2ne8rpm0gE/SzhO/00ip2E6im8U8diq8DK77ymAvUR6u55GWZrMgyybJkGaVFFw&#10;N1+XwW0Zz2ZZdVfeVW+QVr568z5gx1Y6VOoZ2Hhs6wHV3IkimS4mMQYDRn6SHflBRGzhraJWY6SV&#10;/c5t6zXs1OdyXBA/j9z/RPyY/diIM4fOGlk41fanVcD5mV8/Gm4ajnO1UfXhQZ9HBgbcB50eI/eC&#10;vLZh/frJXP4GAAD//wMAUEsDBBQABgAIAAAAIQDe2Ktn4AAAAAsBAAAPAAAAZHJzL2Rvd25yZXYu&#10;eG1sTI9BS8NAEIXvgv9hGcGLtJuaWEvMpoggHgRpqyjettkxG8zOht1tE/+9Iwh6m5n3ePO9aj25&#10;XhwxxM6TgsU8A4HUeNNRq+Dl+X62AhGTJqN7T6jgCyOs69OTSpfGj7TF4y61gkMollqBTWkopYyN&#10;Rafj3A9IrH344HTiNbTSBD1yuOvlZZYtpdMd8QerB7yz2HzuDk7BUxi7mPKi2GB6f314fLObC7dV&#10;6vxsur0BkXBKf2b4wWd0qJlp7w9kougVzBZZwVYe8isuxY7V8joHsf+9yLqS/zvU3wAAAP//AwBQ&#10;SwECLQAUAAYACAAAACEAtoM4kv4AAADhAQAAEwAAAAAAAAAAAAAAAAAAAAAAW0NvbnRlbnRfVHlw&#10;ZXNdLnhtbFBLAQItABQABgAIAAAAIQA4/SH/1gAAAJQBAAALAAAAAAAAAAAAAAAAAC8BAABfcmVs&#10;cy8ucmVsc1BLAQItABQABgAIAAAAIQBOTfrnmwIAAHoFAAAOAAAAAAAAAAAAAAAAAC4CAABkcnMv&#10;ZTJvRG9jLnhtbFBLAQItABQABgAIAAAAIQDe2Ktn4AAAAAsBAAAPAAAAAAAAAAAAAAAAAPUEAABk&#10;cnMvZG93bnJldi54bWxQSwUGAAAAAAQABADzAAAAAgYAAAAA&#10;" strokeweight=".26mm">
                <v:stroke joinstyle="miter" endcap="square"/>
              </v:line>
            </w:pict>
          </mc:Fallback>
        </mc:AlternateContent>
      </w:r>
      <w:r w:rsidR="006A3E00" w:rsidRPr="00DE475B">
        <w:rPr>
          <w:rFonts w:ascii="Arial" w:hAnsi="Arial" w:cs="Arial"/>
          <w:b/>
          <w:bCs/>
          <w:sz w:val="20"/>
          <w:szCs w:val="20"/>
        </w:rPr>
        <w:t>NOTES TO THE FINANCIAL STATEMENTS</w:t>
      </w:r>
    </w:p>
    <w:p w:rsidR="006A3E00" w:rsidRPr="00DE475B" w:rsidRDefault="00887874" w:rsidP="006A3E00">
      <w:r>
        <w:rPr>
          <w:rFonts w:ascii="Arial" w:hAnsi="Arial" w:cs="Arial"/>
          <w:b/>
          <w:bCs/>
          <w:sz w:val="20"/>
          <w:szCs w:val="20"/>
        </w:rPr>
        <w:t>For the year ended 30 June 2017</w:t>
      </w:r>
    </w:p>
    <w:p w:rsidR="006A3E00" w:rsidRPr="00DE475B" w:rsidRDefault="00373FFE" w:rsidP="006A3E00">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653120" behindDoc="0" locked="0" layoutInCell="1" allowOverlap="1" wp14:anchorId="672F08E2" wp14:editId="1274BE37">
                <wp:simplePos x="0" y="0"/>
                <wp:positionH relativeFrom="column">
                  <wp:posOffset>-66040</wp:posOffset>
                </wp:positionH>
                <wp:positionV relativeFrom="paragraph">
                  <wp:posOffset>70485</wp:posOffset>
                </wp:positionV>
                <wp:extent cx="5573395" cy="0"/>
                <wp:effectExtent l="13970" t="13335" r="13335" b="5715"/>
                <wp:wrapNone/>
                <wp:docPr id="33"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jXmwIAAHoFAAAOAAAAZHJzL2Uyb0RvYy54bWysVN9v2yAQfp+0/wHx7tqOnV9Wnal1nL10&#10;W6V22jMBHKNh8IDGqab97ztI4jXdyzQ1kSwO7o7v7vuO6w+HTqI9N1ZoVeL0KsGIK6qZULsSf33c&#10;RAuMrCOKEakVL/Ezt/jD6v2766Ev+ES3WjJuECRRthj6ErfO9UUcW9ryjtgr3XMFh402HXFgml3M&#10;DBkgeyfjSZLM4kEb1htNubWwuz4e4lXI3zScui9NY7lDssSAzYWvCd+t/8ara1LsDOlbQU8wyH+g&#10;6IhQcOmYak0cQU9G/JWqE9Roqxt3RXUX66YRlIcaoJo0eVXNQ0t6HmqB5th+bJN9u7T08/7eIMFK&#10;nGUYKdIBR3dCcTTJZr45Q28L8KnUvfHl0YN66O80/W6R0lVL1I4HkI/PPQSmPiK+CPGG7eGK7fBJ&#10;M/AhT06HTh0a0/mU0AN0CIQ8j4Twg0MUNqfTeZYtpxjR81lMinNgb6z7yHWH/KLEElCHxGR/Z50H&#10;Qoqzi79H6Y2QMvAtFRpKvMxmoAhKQHX2R4i0Wgrmvby/NbttJQ3aEy+d8AvlwclLt044ELAUXYkX&#10;oxMpWk5YrVi4zhEhj2uAJJVPzoM0jzjBOjhYhn0oPMjm5zJZ1ot6kUf5ZFZHebJeRzebKo9mm3Q+&#10;XWfrqlqnvzzqNC9awRhXHvhZwmn+bxI5DdNRfKOIx1bFl9lDTwHsJdKbzTSZ59kims+nWZRndRLd&#10;LjZVdFOls9m8vq1u61dI61C9fRuwYys9Kv0EbDy0bEBMeFFk0+UkxWDAyE/mR34QkTt4q6gzGBnt&#10;vgnXBg179fkcF8QvEv8/ET9mPzbizKG3RhZOtf1pFXB+5jeMhp+G41xtNXu+N+eRgQEPQafHyL8g&#10;L21Yv3wyV78BAAD//wMAUEsDBBQABgAIAAAAIQDwQGlx3gAAAAkBAAAPAAAAZHJzL2Rvd25yZXYu&#10;eG1sTI/BSsNAEIbvgu+wjOBF2k1sqCVmU0QQD4K0VRRv2+yYDWZnw+62iW/vSA96nPk//vmmWk+u&#10;F0cMsfOkIJ9nIJAabzpqFby+PMxWIGLSZHTvCRV8Y4R1fX5W6dL4kbZ43KVWcAnFUiuwKQ2llLGx&#10;6HSc+wGJs08fnE48hlaaoEcud728zrKldLojvmD1gPcWm6/dwSl4DmMX06IoNpg+3h6f3u3mym2V&#10;uryY7m5BJJzSHwy/+qwONTvt/YFMFL2CWZ4VjHKQ5yAYWC1vFiD2p4WsK/n/g/oHAAD//wMAUEsB&#10;Ai0AFAAGAAgAAAAhALaDOJL+AAAA4QEAABMAAAAAAAAAAAAAAAAAAAAAAFtDb250ZW50X1R5cGVz&#10;XS54bWxQSwECLQAUAAYACAAAACEAOP0h/9YAAACUAQAACwAAAAAAAAAAAAAAAAAvAQAAX3JlbHMv&#10;LnJlbHNQSwECLQAUAAYACAAAACEA+dXY15sCAAB6BQAADgAAAAAAAAAAAAAAAAAuAgAAZHJzL2Uy&#10;b0RvYy54bWxQSwECLQAUAAYACAAAACEA8EBpcd4AAAAJAQAADwAAAAAAAAAAAAAAAAD1BAAAZHJz&#10;L2Rvd25yZXYueG1sUEsFBgAAAAAEAAQA8wAAAAAGAAAAAA==&#10;" strokeweight=".26mm">
                <v:stroke joinstyle="miter" endcap="square"/>
              </v:line>
            </w:pict>
          </mc:Fallback>
        </mc:AlternateContent>
      </w:r>
    </w:p>
    <w:p w:rsidR="006A3E00" w:rsidRPr="00DE475B" w:rsidRDefault="003C4C1E" w:rsidP="006A3E00">
      <w:pPr>
        <w:pStyle w:val="ARheading3"/>
        <w:widowControl w:val="0"/>
        <w:tabs>
          <w:tab w:val="left" w:pos="851"/>
        </w:tabs>
        <w:spacing w:after="120"/>
        <w:rPr>
          <w:color w:val="808080"/>
        </w:rPr>
        <w:sectPr w:rsidR="006A3E00" w:rsidRPr="00DE475B" w:rsidSect="00B53922">
          <w:type w:val="continuous"/>
          <w:pgSz w:w="11906" w:h="16838"/>
          <w:pgMar w:top="1440" w:right="1701" w:bottom="1440" w:left="1701" w:header="680" w:footer="680" w:gutter="0"/>
          <w:cols w:space="720"/>
          <w:docGrid w:linePitch="360"/>
        </w:sectPr>
      </w:pPr>
      <w:r>
        <w:rPr>
          <w:color w:val="808080"/>
        </w:rPr>
        <w:t>D2</w:t>
      </w:r>
      <w:r w:rsidR="006A3E00" w:rsidRPr="00DE475B">
        <w:rPr>
          <w:color w:val="808080"/>
        </w:rPr>
        <w:t xml:space="preserve"> Financial Risk Disclosures (continued)</w:t>
      </w:r>
    </w:p>
    <w:p w:rsidR="006A3E00" w:rsidRPr="00DE475B" w:rsidRDefault="003C4C1E" w:rsidP="00652F6C">
      <w:pPr>
        <w:tabs>
          <w:tab w:val="left" w:pos="284"/>
          <w:tab w:val="left" w:pos="5878"/>
          <w:tab w:val="left" w:pos="8548"/>
          <w:tab w:val="left" w:pos="8770"/>
          <w:tab w:val="left" w:pos="10266"/>
          <w:tab w:val="left" w:pos="11702"/>
        </w:tabs>
        <w:rPr>
          <w:rFonts w:ascii="Arial" w:hAnsi="Arial" w:cs="Arial"/>
          <w:b/>
          <w:bCs/>
          <w:sz w:val="20"/>
          <w:szCs w:val="20"/>
        </w:rPr>
      </w:pPr>
      <w:r>
        <w:rPr>
          <w:rFonts w:ascii="Arial" w:hAnsi="Arial" w:cs="Arial"/>
          <w:b/>
          <w:bCs/>
          <w:sz w:val="20"/>
          <w:szCs w:val="20"/>
        </w:rPr>
        <w:lastRenderedPageBreak/>
        <w:t>D2</w:t>
      </w:r>
      <w:r w:rsidR="006A3E00" w:rsidRPr="00DE475B">
        <w:rPr>
          <w:rFonts w:ascii="Arial" w:hAnsi="Arial" w:cs="Arial"/>
          <w:b/>
          <w:bCs/>
          <w:sz w:val="20"/>
          <w:szCs w:val="20"/>
        </w:rPr>
        <w:t>-3 Financial risk management</w:t>
      </w:r>
    </w:p>
    <w:p w:rsidR="002F61A2" w:rsidRPr="00DE475B" w:rsidRDefault="002F61A2" w:rsidP="002F61A2">
      <w:pPr>
        <w:rPr>
          <w:rFonts w:ascii="Arial" w:hAnsi="Arial" w:cs="Arial"/>
          <w:i/>
          <w:iCs/>
          <w:sz w:val="20"/>
          <w:szCs w:val="20"/>
        </w:rPr>
      </w:pPr>
      <w:r w:rsidRPr="00DE475B">
        <w:rPr>
          <w:rFonts w:ascii="Arial" w:hAnsi="Arial" w:cs="Arial"/>
          <w:i/>
          <w:iCs/>
          <w:sz w:val="20"/>
          <w:szCs w:val="20"/>
        </w:rPr>
        <w:t>Risk exposure</w:t>
      </w:r>
    </w:p>
    <w:p w:rsidR="006A3E00" w:rsidRPr="00DE475B" w:rsidRDefault="006A3E00" w:rsidP="006A3E00">
      <w:pPr>
        <w:spacing w:after="120"/>
        <w:rPr>
          <w:rFonts w:ascii="Arial" w:hAnsi="Arial" w:cs="Arial"/>
          <w:sz w:val="20"/>
          <w:szCs w:val="20"/>
        </w:rPr>
      </w:pPr>
      <w:r w:rsidRPr="00DE475B">
        <w:rPr>
          <w:rFonts w:ascii="Arial" w:hAnsi="Arial" w:cs="Arial"/>
          <w:sz w:val="20"/>
          <w:szCs w:val="20"/>
        </w:rPr>
        <w:t>The Library Board’s activities expose it to a variety of financial risks — interest rate risk, credit risk and liquidity risk. These are set out in the table below.</w:t>
      </w:r>
    </w:p>
    <w:p w:rsidR="006A3E00" w:rsidRPr="00DE475B" w:rsidRDefault="006A3E00" w:rsidP="006A3E00">
      <w:pPr>
        <w:spacing w:after="120"/>
        <w:rPr>
          <w:rFonts w:ascii="Arial" w:hAnsi="Arial" w:cs="Arial"/>
          <w:sz w:val="20"/>
          <w:szCs w:val="20"/>
        </w:rPr>
      </w:pPr>
      <w:r w:rsidRPr="00DE475B">
        <w:rPr>
          <w:rFonts w:ascii="Arial" w:hAnsi="Arial" w:cs="Arial"/>
          <w:sz w:val="20"/>
          <w:szCs w:val="20"/>
        </w:rPr>
        <w:t>Financial risk management is implemented pursuant to Government and Library Board policy. These policies focus on the unpredictability of financial markets and seek to minimise potential adverse effects on the financial performance of the Library Board.</w:t>
      </w:r>
    </w:p>
    <w:p w:rsidR="006A3E00" w:rsidRPr="00DE475B" w:rsidRDefault="006A3E00" w:rsidP="006A3E00">
      <w:pPr>
        <w:spacing w:after="120"/>
        <w:rPr>
          <w:rFonts w:ascii="Arial" w:hAnsi="Arial" w:cs="Arial"/>
          <w:sz w:val="20"/>
          <w:szCs w:val="20"/>
        </w:rPr>
      </w:pPr>
      <w:r w:rsidRPr="00DE475B">
        <w:rPr>
          <w:rFonts w:ascii="Arial" w:hAnsi="Arial" w:cs="Arial"/>
          <w:sz w:val="20"/>
          <w:szCs w:val="20"/>
        </w:rPr>
        <w:t>All financial risk is managed by Executive Management under policies approved by the Library Board. The Library Board provides written principles for overall risk management, as well as policies covering specific areas.</w:t>
      </w:r>
    </w:p>
    <w:tbl>
      <w:tblPr>
        <w:tblW w:w="8652" w:type="dxa"/>
        <w:tblInd w:w="103" w:type="dxa"/>
        <w:tblLayout w:type="fixed"/>
        <w:tblLook w:val="0000" w:firstRow="0" w:lastRow="0" w:firstColumn="0" w:lastColumn="0" w:noHBand="0" w:noVBand="0"/>
      </w:tblPr>
      <w:tblGrid>
        <w:gridCol w:w="1848"/>
        <w:gridCol w:w="3686"/>
        <w:gridCol w:w="3118"/>
      </w:tblGrid>
      <w:tr w:rsidR="00F61856" w:rsidRPr="00DE475B" w:rsidTr="00420E45">
        <w:trPr>
          <w:trHeight w:val="315"/>
        </w:trPr>
        <w:tc>
          <w:tcPr>
            <w:tcW w:w="1848" w:type="dxa"/>
            <w:shd w:val="clear" w:color="auto" w:fill="BFBFBF"/>
            <w:vAlign w:val="bottom"/>
          </w:tcPr>
          <w:p w:rsidR="00F61856" w:rsidRPr="00DE475B" w:rsidRDefault="00F61856" w:rsidP="004B2ABB">
            <w:pPr>
              <w:rPr>
                <w:rFonts w:ascii="Arial" w:hAnsi="Arial" w:cs="Arial"/>
                <w:b/>
                <w:bCs/>
                <w:sz w:val="20"/>
                <w:szCs w:val="20"/>
              </w:rPr>
            </w:pPr>
            <w:r w:rsidRPr="00DE475B">
              <w:rPr>
                <w:rFonts w:ascii="Arial" w:hAnsi="Arial" w:cs="Arial"/>
                <w:b/>
                <w:bCs/>
                <w:sz w:val="20"/>
                <w:szCs w:val="20"/>
              </w:rPr>
              <w:t>Risk Exposure</w:t>
            </w:r>
          </w:p>
        </w:tc>
        <w:tc>
          <w:tcPr>
            <w:tcW w:w="3686" w:type="dxa"/>
            <w:shd w:val="clear" w:color="auto" w:fill="BFBFBF"/>
            <w:vAlign w:val="bottom"/>
          </w:tcPr>
          <w:p w:rsidR="00F61856" w:rsidRPr="00DE475B" w:rsidRDefault="00F61856" w:rsidP="004B2ABB">
            <w:pPr>
              <w:rPr>
                <w:rFonts w:ascii="Arial" w:hAnsi="Arial" w:cs="Arial"/>
                <w:sz w:val="20"/>
                <w:szCs w:val="20"/>
              </w:rPr>
            </w:pPr>
            <w:r w:rsidRPr="00DE475B">
              <w:rPr>
                <w:rFonts w:ascii="Arial" w:hAnsi="Arial" w:cs="Arial"/>
                <w:b/>
                <w:bCs/>
                <w:sz w:val="20"/>
                <w:szCs w:val="20"/>
              </w:rPr>
              <w:t>Definition</w:t>
            </w:r>
          </w:p>
        </w:tc>
        <w:tc>
          <w:tcPr>
            <w:tcW w:w="3118" w:type="dxa"/>
            <w:shd w:val="clear" w:color="auto" w:fill="BFBFBF"/>
            <w:vAlign w:val="bottom"/>
          </w:tcPr>
          <w:p w:rsidR="00F61856" w:rsidRPr="00DE475B" w:rsidRDefault="00F61856" w:rsidP="004B2ABB">
            <w:pPr>
              <w:rPr>
                <w:rFonts w:ascii="Arial" w:hAnsi="Arial" w:cs="Arial"/>
                <w:sz w:val="20"/>
                <w:szCs w:val="20"/>
              </w:rPr>
            </w:pPr>
            <w:r w:rsidRPr="00DE475B">
              <w:rPr>
                <w:rFonts w:ascii="Arial" w:hAnsi="Arial" w:cs="Arial"/>
                <w:b/>
                <w:bCs/>
                <w:sz w:val="20"/>
                <w:szCs w:val="20"/>
              </w:rPr>
              <w:t>Exposure</w:t>
            </w:r>
          </w:p>
        </w:tc>
      </w:tr>
      <w:tr w:rsidR="00F61856" w:rsidRPr="00DE475B" w:rsidTr="00420E45">
        <w:trPr>
          <w:trHeight w:val="315"/>
        </w:trPr>
        <w:tc>
          <w:tcPr>
            <w:tcW w:w="1848" w:type="dxa"/>
            <w:tcBorders>
              <w:bottom w:val="single" w:sz="4" w:space="0" w:color="000000"/>
            </w:tcBorders>
            <w:shd w:val="clear" w:color="auto" w:fill="auto"/>
          </w:tcPr>
          <w:p w:rsidR="00F61856" w:rsidRPr="00DE475B" w:rsidRDefault="00F61856" w:rsidP="004B2ABB">
            <w:pPr>
              <w:rPr>
                <w:rFonts w:ascii="Arial" w:hAnsi="Arial" w:cs="Arial"/>
                <w:sz w:val="20"/>
                <w:szCs w:val="20"/>
              </w:rPr>
            </w:pPr>
            <w:r w:rsidRPr="00DE475B">
              <w:rPr>
                <w:rFonts w:ascii="Arial" w:hAnsi="Arial" w:cs="Arial"/>
                <w:sz w:val="20"/>
                <w:szCs w:val="20"/>
              </w:rPr>
              <w:t>Credit Risk</w:t>
            </w:r>
          </w:p>
        </w:tc>
        <w:tc>
          <w:tcPr>
            <w:tcW w:w="3686" w:type="dxa"/>
            <w:tcBorders>
              <w:bottom w:val="single" w:sz="4" w:space="0" w:color="000000"/>
            </w:tcBorders>
            <w:shd w:val="clear" w:color="auto" w:fill="auto"/>
          </w:tcPr>
          <w:p w:rsidR="00F61856" w:rsidRPr="00DE475B" w:rsidRDefault="00F61856" w:rsidP="004B2ABB">
            <w:pPr>
              <w:rPr>
                <w:rFonts w:ascii="Arial" w:hAnsi="Arial" w:cs="Arial"/>
                <w:sz w:val="20"/>
                <w:szCs w:val="20"/>
              </w:rPr>
            </w:pPr>
            <w:r w:rsidRPr="00DE475B">
              <w:rPr>
                <w:rFonts w:ascii="Arial" w:hAnsi="Arial" w:cs="Arial"/>
                <w:sz w:val="20"/>
                <w:szCs w:val="20"/>
              </w:rPr>
              <w:t>Credit risk exposure refers to the situation where the Library Board may incur financial loss as a result of another party to a financial instrument failing to discharge their obligation.</w:t>
            </w:r>
          </w:p>
        </w:tc>
        <w:tc>
          <w:tcPr>
            <w:tcW w:w="3118" w:type="dxa"/>
            <w:tcBorders>
              <w:bottom w:val="single" w:sz="4" w:space="0" w:color="000000"/>
            </w:tcBorders>
            <w:shd w:val="clear" w:color="auto" w:fill="auto"/>
          </w:tcPr>
          <w:p w:rsidR="00F61856" w:rsidRPr="00DE475B" w:rsidRDefault="00F61856" w:rsidP="004B2ABB">
            <w:pPr>
              <w:rPr>
                <w:rFonts w:ascii="Arial" w:hAnsi="Arial" w:cs="Arial"/>
                <w:sz w:val="20"/>
                <w:szCs w:val="20"/>
              </w:rPr>
            </w:pPr>
            <w:r w:rsidRPr="00DE475B">
              <w:rPr>
                <w:rFonts w:ascii="Arial" w:hAnsi="Arial" w:cs="Arial"/>
                <w:sz w:val="20"/>
                <w:szCs w:val="20"/>
              </w:rPr>
              <w:t>State Library is exposed to credit risk in respect of its receivables (Note C2).</w:t>
            </w:r>
          </w:p>
        </w:tc>
      </w:tr>
      <w:tr w:rsidR="00F61856" w:rsidRPr="00DE475B" w:rsidTr="00420E45">
        <w:trPr>
          <w:trHeight w:val="315"/>
        </w:trPr>
        <w:tc>
          <w:tcPr>
            <w:tcW w:w="1848" w:type="dxa"/>
            <w:vMerge w:val="restart"/>
            <w:tcBorders>
              <w:top w:val="single" w:sz="4" w:space="0" w:color="000000"/>
              <w:bottom w:val="single" w:sz="4" w:space="0" w:color="000000"/>
            </w:tcBorders>
            <w:shd w:val="clear" w:color="auto" w:fill="auto"/>
          </w:tcPr>
          <w:p w:rsidR="00F61856" w:rsidRPr="00DE475B" w:rsidRDefault="00F61856" w:rsidP="004B2ABB">
            <w:pPr>
              <w:rPr>
                <w:rFonts w:ascii="Arial" w:hAnsi="Arial" w:cs="Arial"/>
                <w:sz w:val="20"/>
                <w:szCs w:val="20"/>
              </w:rPr>
            </w:pPr>
            <w:r w:rsidRPr="00DE475B">
              <w:rPr>
                <w:rFonts w:ascii="Arial" w:hAnsi="Arial" w:cs="Arial"/>
                <w:sz w:val="20"/>
                <w:szCs w:val="20"/>
              </w:rPr>
              <w:t>Liquidity Risk</w:t>
            </w:r>
          </w:p>
        </w:tc>
        <w:tc>
          <w:tcPr>
            <w:tcW w:w="3686" w:type="dxa"/>
            <w:vMerge w:val="restart"/>
            <w:tcBorders>
              <w:top w:val="single" w:sz="4" w:space="0" w:color="000000"/>
              <w:bottom w:val="single" w:sz="4" w:space="0" w:color="000000"/>
            </w:tcBorders>
            <w:shd w:val="clear" w:color="auto" w:fill="auto"/>
          </w:tcPr>
          <w:p w:rsidR="00F61856" w:rsidRPr="00DE475B" w:rsidRDefault="00F61856" w:rsidP="004B2ABB">
            <w:pPr>
              <w:rPr>
                <w:rFonts w:ascii="Arial" w:hAnsi="Arial" w:cs="Arial"/>
                <w:sz w:val="20"/>
                <w:szCs w:val="20"/>
              </w:rPr>
            </w:pPr>
            <w:r w:rsidRPr="00DE475B">
              <w:rPr>
                <w:rFonts w:ascii="Arial" w:hAnsi="Arial" w:cs="Arial"/>
                <w:sz w:val="20"/>
                <w:szCs w:val="20"/>
              </w:rPr>
              <w:t>Liquidity risk refers to the situation where the Library Board may encounter difficulty in meeting obligations associated with financial liabilities that are settled by delivering cash or another financial asset.</w:t>
            </w:r>
          </w:p>
        </w:tc>
        <w:tc>
          <w:tcPr>
            <w:tcW w:w="3118" w:type="dxa"/>
            <w:vMerge w:val="restart"/>
            <w:tcBorders>
              <w:top w:val="single" w:sz="4" w:space="0" w:color="000000"/>
              <w:bottom w:val="single" w:sz="4" w:space="0" w:color="000000"/>
            </w:tcBorders>
            <w:shd w:val="clear" w:color="auto" w:fill="auto"/>
          </w:tcPr>
          <w:p w:rsidR="00F61856" w:rsidRPr="00DE475B" w:rsidRDefault="00F61856" w:rsidP="004B2ABB">
            <w:pPr>
              <w:rPr>
                <w:rFonts w:ascii="Arial" w:hAnsi="Arial" w:cs="Arial"/>
                <w:sz w:val="20"/>
                <w:szCs w:val="20"/>
              </w:rPr>
            </w:pPr>
            <w:r w:rsidRPr="00DE475B">
              <w:rPr>
                <w:rFonts w:ascii="Arial" w:hAnsi="Arial" w:cs="Arial"/>
                <w:sz w:val="20"/>
                <w:szCs w:val="20"/>
              </w:rPr>
              <w:t>State Library is exposed to liquidity risk in respect of its payables (Note C5).</w:t>
            </w:r>
          </w:p>
        </w:tc>
      </w:tr>
      <w:tr w:rsidR="00F61856" w:rsidRPr="00DE475B" w:rsidTr="00420E45">
        <w:trPr>
          <w:trHeight w:val="240"/>
        </w:trPr>
        <w:tc>
          <w:tcPr>
            <w:tcW w:w="1848" w:type="dxa"/>
            <w:vMerge/>
            <w:tcBorders>
              <w:top w:val="single" w:sz="4" w:space="0" w:color="000000"/>
              <w:bottom w:val="single" w:sz="4" w:space="0" w:color="000000"/>
            </w:tcBorders>
            <w:shd w:val="clear" w:color="auto" w:fill="auto"/>
          </w:tcPr>
          <w:p w:rsidR="00F61856" w:rsidRPr="00DE475B" w:rsidRDefault="00F61856" w:rsidP="004B2ABB">
            <w:pPr>
              <w:snapToGrid w:val="0"/>
              <w:rPr>
                <w:rFonts w:ascii="Arial" w:hAnsi="Arial" w:cs="Arial"/>
                <w:sz w:val="20"/>
                <w:szCs w:val="20"/>
              </w:rPr>
            </w:pPr>
          </w:p>
        </w:tc>
        <w:tc>
          <w:tcPr>
            <w:tcW w:w="3686" w:type="dxa"/>
            <w:vMerge/>
            <w:tcBorders>
              <w:top w:val="single" w:sz="4" w:space="0" w:color="000000"/>
              <w:bottom w:val="single" w:sz="4" w:space="0" w:color="000000"/>
            </w:tcBorders>
            <w:shd w:val="clear" w:color="auto" w:fill="auto"/>
          </w:tcPr>
          <w:p w:rsidR="00F61856" w:rsidRPr="00DE475B" w:rsidRDefault="00F61856" w:rsidP="004B2ABB">
            <w:pPr>
              <w:snapToGrid w:val="0"/>
              <w:rPr>
                <w:rFonts w:ascii="Arial" w:hAnsi="Arial" w:cs="Arial"/>
                <w:sz w:val="20"/>
                <w:szCs w:val="20"/>
              </w:rPr>
            </w:pPr>
          </w:p>
        </w:tc>
        <w:tc>
          <w:tcPr>
            <w:tcW w:w="3118" w:type="dxa"/>
            <w:vMerge/>
            <w:tcBorders>
              <w:top w:val="single" w:sz="4" w:space="0" w:color="000000"/>
              <w:bottom w:val="single" w:sz="4" w:space="0" w:color="000000"/>
            </w:tcBorders>
            <w:shd w:val="clear" w:color="auto" w:fill="auto"/>
          </w:tcPr>
          <w:p w:rsidR="00F61856" w:rsidRPr="00DE475B" w:rsidRDefault="00F61856" w:rsidP="004B2ABB">
            <w:pPr>
              <w:snapToGrid w:val="0"/>
              <w:rPr>
                <w:rFonts w:ascii="Arial" w:hAnsi="Arial" w:cs="Arial"/>
                <w:sz w:val="20"/>
                <w:szCs w:val="20"/>
              </w:rPr>
            </w:pPr>
          </w:p>
        </w:tc>
      </w:tr>
      <w:tr w:rsidR="00F61856" w:rsidRPr="00DE475B" w:rsidTr="00420E45">
        <w:trPr>
          <w:trHeight w:val="315"/>
        </w:trPr>
        <w:tc>
          <w:tcPr>
            <w:tcW w:w="1848" w:type="dxa"/>
            <w:tcBorders>
              <w:top w:val="single" w:sz="4" w:space="0" w:color="000000"/>
              <w:bottom w:val="single" w:sz="4" w:space="0" w:color="000000"/>
            </w:tcBorders>
            <w:shd w:val="clear" w:color="auto" w:fill="auto"/>
          </w:tcPr>
          <w:p w:rsidR="00F61856" w:rsidRPr="00DE475B" w:rsidRDefault="003C4C1E" w:rsidP="004B2ABB">
            <w:pPr>
              <w:rPr>
                <w:rFonts w:ascii="Arial" w:hAnsi="Arial" w:cs="Arial"/>
                <w:sz w:val="20"/>
                <w:szCs w:val="20"/>
              </w:rPr>
            </w:pPr>
            <w:r>
              <w:rPr>
                <w:rFonts w:ascii="Arial" w:hAnsi="Arial" w:cs="Arial"/>
                <w:sz w:val="20"/>
                <w:szCs w:val="20"/>
              </w:rPr>
              <w:t>Interest</w:t>
            </w:r>
            <w:r w:rsidR="00F61856" w:rsidRPr="00DE475B">
              <w:rPr>
                <w:rFonts w:ascii="Arial" w:hAnsi="Arial" w:cs="Arial"/>
                <w:sz w:val="20"/>
                <w:szCs w:val="20"/>
              </w:rPr>
              <w:t xml:space="preserve"> Risk</w:t>
            </w:r>
          </w:p>
        </w:tc>
        <w:tc>
          <w:tcPr>
            <w:tcW w:w="3686" w:type="dxa"/>
            <w:tcBorders>
              <w:top w:val="single" w:sz="4" w:space="0" w:color="000000"/>
              <w:bottom w:val="single" w:sz="4" w:space="0" w:color="000000"/>
            </w:tcBorders>
            <w:shd w:val="clear" w:color="auto" w:fill="auto"/>
          </w:tcPr>
          <w:p w:rsidR="00F61856" w:rsidRPr="00DE475B" w:rsidRDefault="00F61856" w:rsidP="004B2ABB">
            <w:pPr>
              <w:rPr>
                <w:rFonts w:ascii="Arial" w:hAnsi="Arial" w:cs="Arial"/>
                <w:sz w:val="20"/>
                <w:szCs w:val="20"/>
              </w:rPr>
            </w:pPr>
            <w:r w:rsidRPr="00DE475B">
              <w:rPr>
                <w:rFonts w:ascii="Arial" w:hAnsi="Arial" w:cs="Arial"/>
                <w:sz w:val="20"/>
                <w:szCs w:val="20"/>
              </w:rPr>
              <w:t>Interest risk refers to the situation where State Library may have reduced revenue due to the reduction of interest rates for invested funds.</w:t>
            </w:r>
          </w:p>
        </w:tc>
        <w:tc>
          <w:tcPr>
            <w:tcW w:w="3118" w:type="dxa"/>
            <w:tcBorders>
              <w:top w:val="single" w:sz="4" w:space="0" w:color="000000"/>
              <w:bottom w:val="single" w:sz="4" w:space="0" w:color="000000"/>
            </w:tcBorders>
            <w:shd w:val="clear" w:color="auto" w:fill="auto"/>
          </w:tcPr>
          <w:p w:rsidR="00F61856" w:rsidRPr="00DE475B" w:rsidRDefault="00F61856" w:rsidP="004B2ABB">
            <w:pPr>
              <w:rPr>
                <w:rFonts w:ascii="Arial" w:hAnsi="Arial" w:cs="Arial"/>
                <w:sz w:val="20"/>
                <w:szCs w:val="20"/>
              </w:rPr>
            </w:pPr>
            <w:r w:rsidRPr="00DE475B">
              <w:rPr>
                <w:rFonts w:ascii="Arial" w:hAnsi="Arial" w:cs="Arial"/>
                <w:sz w:val="20"/>
                <w:szCs w:val="20"/>
              </w:rPr>
              <w:t>State Library is exposed to Interest Risk in respect of its investments (Note C1).</w:t>
            </w:r>
          </w:p>
        </w:tc>
      </w:tr>
    </w:tbl>
    <w:p w:rsidR="006A3E00" w:rsidRPr="00DE475B" w:rsidRDefault="006A3E00" w:rsidP="006A3E00">
      <w:pPr>
        <w:jc w:val="both"/>
        <w:rPr>
          <w:rFonts w:ascii="Arial" w:hAnsi="Arial" w:cs="Arial"/>
          <w:sz w:val="20"/>
          <w:szCs w:val="20"/>
        </w:rPr>
      </w:pPr>
    </w:p>
    <w:p w:rsidR="002F61A2" w:rsidRPr="00DE475B" w:rsidRDefault="002F61A2" w:rsidP="002F61A2">
      <w:pPr>
        <w:rPr>
          <w:rFonts w:ascii="Arial" w:hAnsi="Arial" w:cs="Arial"/>
          <w:i/>
          <w:iCs/>
          <w:sz w:val="20"/>
          <w:szCs w:val="20"/>
        </w:rPr>
      </w:pPr>
      <w:r w:rsidRPr="00DE475B">
        <w:rPr>
          <w:rFonts w:ascii="Arial" w:hAnsi="Arial" w:cs="Arial"/>
          <w:i/>
          <w:iCs/>
          <w:sz w:val="20"/>
          <w:szCs w:val="20"/>
        </w:rPr>
        <w:t>Risk measurement and management strategies</w:t>
      </w:r>
    </w:p>
    <w:p w:rsidR="002F61A2" w:rsidRPr="00DE475B" w:rsidRDefault="002F61A2" w:rsidP="002F61A2">
      <w:pPr>
        <w:spacing w:after="120"/>
        <w:rPr>
          <w:rFonts w:ascii="Arial" w:hAnsi="Arial" w:cs="Arial"/>
          <w:b/>
          <w:bCs/>
          <w:sz w:val="20"/>
          <w:szCs w:val="20"/>
        </w:rPr>
      </w:pPr>
      <w:r w:rsidRPr="00DE475B">
        <w:rPr>
          <w:rFonts w:ascii="Arial" w:hAnsi="Arial" w:cs="Arial"/>
          <w:sz w:val="20"/>
          <w:szCs w:val="20"/>
        </w:rPr>
        <w:t>The Library Board measures risk exposure using a variety of methods as follows:</w:t>
      </w:r>
    </w:p>
    <w:tbl>
      <w:tblPr>
        <w:tblW w:w="8652" w:type="dxa"/>
        <w:tblInd w:w="103" w:type="dxa"/>
        <w:tblLayout w:type="fixed"/>
        <w:tblLook w:val="0000" w:firstRow="0" w:lastRow="0" w:firstColumn="0" w:lastColumn="0" w:noHBand="0" w:noVBand="0"/>
      </w:tblPr>
      <w:tblGrid>
        <w:gridCol w:w="1848"/>
        <w:gridCol w:w="3686"/>
        <w:gridCol w:w="3118"/>
      </w:tblGrid>
      <w:tr w:rsidR="00F61856" w:rsidRPr="00DE475B" w:rsidTr="00420E45">
        <w:trPr>
          <w:trHeight w:val="315"/>
        </w:trPr>
        <w:tc>
          <w:tcPr>
            <w:tcW w:w="1848" w:type="dxa"/>
            <w:shd w:val="clear" w:color="auto" w:fill="BFBFBF"/>
            <w:vAlign w:val="bottom"/>
          </w:tcPr>
          <w:p w:rsidR="00F61856" w:rsidRPr="00DE475B" w:rsidRDefault="00F61856" w:rsidP="004B2ABB">
            <w:pPr>
              <w:rPr>
                <w:rFonts w:ascii="Arial" w:hAnsi="Arial" w:cs="Arial"/>
                <w:b/>
                <w:bCs/>
                <w:sz w:val="20"/>
                <w:szCs w:val="20"/>
              </w:rPr>
            </w:pPr>
            <w:r w:rsidRPr="00DE475B">
              <w:rPr>
                <w:rFonts w:ascii="Arial" w:hAnsi="Arial" w:cs="Arial"/>
                <w:b/>
                <w:bCs/>
                <w:sz w:val="20"/>
                <w:szCs w:val="20"/>
              </w:rPr>
              <w:t>Risk Exposure</w:t>
            </w:r>
          </w:p>
        </w:tc>
        <w:tc>
          <w:tcPr>
            <w:tcW w:w="3686" w:type="dxa"/>
            <w:shd w:val="clear" w:color="auto" w:fill="BFBFBF"/>
            <w:vAlign w:val="bottom"/>
          </w:tcPr>
          <w:p w:rsidR="00F61856" w:rsidRPr="00DE475B" w:rsidRDefault="00F61856" w:rsidP="004B2ABB">
            <w:pPr>
              <w:rPr>
                <w:rFonts w:ascii="Arial" w:hAnsi="Arial" w:cs="Arial"/>
                <w:sz w:val="20"/>
                <w:szCs w:val="20"/>
              </w:rPr>
            </w:pPr>
            <w:r w:rsidRPr="00DE475B">
              <w:rPr>
                <w:rFonts w:ascii="Arial" w:hAnsi="Arial" w:cs="Arial"/>
                <w:b/>
                <w:bCs/>
                <w:sz w:val="20"/>
                <w:szCs w:val="20"/>
              </w:rPr>
              <w:t>Measurement method</w:t>
            </w:r>
          </w:p>
        </w:tc>
        <w:tc>
          <w:tcPr>
            <w:tcW w:w="3118" w:type="dxa"/>
            <w:shd w:val="clear" w:color="auto" w:fill="BFBFBF"/>
            <w:vAlign w:val="bottom"/>
          </w:tcPr>
          <w:p w:rsidR="00F61856" w:rsidRPr="00DE475B" w:rsidRDefault="00F61856" w:rsidP="00F61856">
            <w:pPr>
              <w:rPr>
                <w:rFonts w:ascii="Arial" w:hAnsi="Arial" w:cs="Arial"/>
                <w:sz w:val="20"/>
                <w:szCs w:val="20"/>
              </w:rPr>
            </w:pPr>
            <w:r w:rsidRPr="00DE475B">
              <w:rPr>
                <w:rFonts w:ascii="Arial" w:hAnsi="Arial" w:cs="Arial"/>
                <w:b/>
                <w:bCs/>
                <w:sz w:val="20"/>
                <w:szCs w:val="20"/>
              </w:rPr>
              <w:t>Risk management strategies</w:t>
            </w:r>
          </w:p>
        </w:tc>
      </w:tr>
      <w:tr w:rsidR="00F61856" w:rsidRPr="00DE475B" w:rsidTr="00420E45">
        <w:trPr>
          <w:trHeight w:val="315"/>
        </w:trPr>
        <w:tc>
          <w:tcPr>
            <w:tcW w:w="1848" w:type="dxa"/>
            <w:tcBorders>
              <w:bottom w:val="single" w:sz="4" w:space="0" w:color="000000"/>
            </w:tcBorders>
            <w:shd w:val="clear" w:color="auto" w:fill="auto"/>
          </w:tcPr>
          <w:p w:rsidR="00F61856" w:rsidRPr="00DE475B" w:rsidRDefault="00F61856" w:rsidP="004B2ABB">
            <w:pPr>
              <w:rPr>
                <w:rFonts w:ascii="Arial" w:hAnsi="Arial" w:cs="Arial"/>
                <w:sz w:val="20"/>
                <w:szCs w:val="20"/>
              </w:rPr>
            </w:pPr>
            <w:r w:rsidRPr="00DE475B">
              <w:rPr>
                <w:rFonts w:ascii="Arial" w:hAnsi="Arial" w:cs="Arial"/>
                <w:sz w:val="20"/>
                <w:szCs w:val="20"/>
              </w:rPr>
              <w:t>Credit Risk</w:t>
            </w:r>
          </w:p>
        </w:tc>
        <w:tc>
          <w:tcPr>
            <w:tcW w:w="3686" w:type="dxa"/>
            <w:tcBorders>
              <w:bottom w:val="single" w:sz="4" w:space="0" w:color="000000"/>
            </w:tcBorders>
            <w:shd w:val="clear" w:color="auto" w:fill="auto"/>
          </w:tcPr>
          <w:p w:rsidR="00F61856" w:rsidRPr="00DE475B" w:rsidRDefault="00F61856" w:rsidP="004B2ABB">
            <w:pPr>
              <w:rPr>
                <w:rFonts w:ascii="Arial" w:hAnsi="Arial" w:cs="Arial"/>
                <w:sz w:val="20"/>
                <w:szCs w:val="20"/>
              </w:rPr>
            </w:pPr>
            <w:r w:rsidRPr="00DE475B">
              <w:rPr>
                <w:rFonts w:ascii="Arial" w:hAnsi="Arial" w:cs="Arial"/>
                <w:sz w:val="20"/>
                <w:szCs w:val="20"/>
              </w:rPr>
              <w:t>Ageing analysis</w:t>
            </w:r>
            <w:r w:rsidR="00420E45" w:rsidRPr="00DE475B">
              <w:rPr>
                <w:rFonts w:ascii="Arial" w:hAnsi="Arial" w:cs="Arial"/>
                <w:sz w:val="20"/>
                <w:szCs w:val="20"/>
              </w:rPr>
              <w:t>.</w:t>
            </w:r>
          </w:p>
        </w:tc>
        <w:tc>
          <w:tcPr>
            <w:tcW w:w="3118" w:type="dxa"/>
            <w:tcBorders>
              <w:bottom w:val="single" w:sz="4" w:space="0" w:color="000000"/>
            </w:tcBorders>
            <w:shd w:val="clear" w:color="auto" w:fill="auto"/>
          </w:tcPr>
          <w:p w:rsidR="00F61856" w:rsidRPr="00DE475B" w:rsidRDefault="002F61A2" w:rsidP="004B2ABB">
            <w:pPr>
              <w:rPr>
                <w:rFonts w:ascii="Arial" w:hAnsi="Arial" w:cs="Arial"/>
                <w:sz w:val="20"/>
                <w:szCs w:val="20"/>
              </w:rPr>
            </w:pPr>
            <w:r w:rsidRPr="00DE475B">
              <w:rPr>
                <w:rFonts w:ascii="Arial" w:hAnsi="Arial" w:cs="Arial"/>
                <w:sz w:val="20"/>
                <w:szCs w:val="20"/>
              </w:rPr>
              <w:t>State Library aims to reduce the exposure to credit risk through the monitoring of outstanding amounts on a regular basis</w:t>
            </w:r>
            <w:r w:rsidR="00420E45" w:rsidRPr="00DE475B">
              <w:rPr>
                <w:rFonts w:ascii="Arial" w:hAnsi="Arial" w:cs="Arial"/>
                <w:sz w:val="20"/>
                <w:szCs w:val="20"/>
              </w:rPr>
              <w:t>.</w:t>
            </w:r>
          </w:p>
        </w:tc>
      </w:tr>
      <w:tr w:rsidR="00F61856" w:rsidRPr="00DE475B" w:rsidTr="00420E45">
        <w:trPr>
          <w:trHeight w:val="315"/>
        </w:trPr>
        <w:tc>
          <w:tcPr>
            <w:tcW w:w="1848" w:type="dxa"/>
            <w:vMerge w:val="restart"/>
            <w:tcBorders>
              <w:top w:val="single" w:sz="4" w:space="0" w:color="000000"/>
              <w:bottom w:val="single" w:sz="4" w:space="0" w:color="000000"/>
            </w:tcBorders>
            <w:shd w:val="clear" w:color="auto" w:fill="auto"/>
          </w:tcPr>
          <w:p w:rsidR="00F61856" w:rsidRPr="00DE475B" w:rsidRDefault="00F61856" w:rsidP="004B2ABB">
            <w:pPr>
              <w:rPr>
                <w:rFonts w:ascii="Arial" w:hAnsi="Arial" w:cs="Arial"/>
                <w:sz w:val="20"/>
                <w:szCs w:val="20"/>
              </w:rPr>
            </w:pPr>
            <w:r w:rsidRPr="00DE475B">
              <w:rPr>
                <w:rFonts w:ascii="Arial" w:hAnsi="Arial" w:cs="Arial"/>
                <w:sz w:val="20"/>
                <w:szCs w:val="20"/>
              </w:rPr>
              <w:t>Liquidity Risk</w:t>
            </w:r>
          </w:p>
        </w:tc>
        <w:tc>
          <w:tcPr>
            <w:tcW w:w="3686" w:type="dxa"/>
            <w:vMerge w:val="restart"/>
            <w:tcBorders>
              <w:top w:val="single" w:sz="4" w:space="0" w:color="000000"/>
              <w:bottom w:val="single" w:sz="4" w:space="0" w:color="000000"/>
            </w:tcBorders>
            <w:shd w:val="clear" w:color="auto" w:fill="auto"/>
          </w:tcPr>
          <w:p w:rsidR="00F61856" w:rsidRPr="00DE475B" w:rsidRDefault="00F61856" w:rsidP="004B2ABB">
            <w:pPr>
              <w:rPr>
                <w:rFonts w:ascii="Arial" w:hAnsi="Arial" w:cs="Arial"/>
                <w:sz w:val="20"/>
                <w:szCs w:val="20"/>
              </w:rPr>
            </w:pPr>
            <w:r w:rsidRPr="00DE475B">
              <w:rPr>
                <w:rFonts w:ascii="Arial" w:hAnsi="Arial" w:cs="Arial"/>
                <w:sz w:val="20"/>
                <w:szCs w:val="20"/>
              </w:rPr>
              <w:t>Government revenue is received in advance. Other revenues and expenses closely monitored.</w:t>
            </w:r>
          </w:p>
        </w:tc>
        <w:tc>
          <w:tcPr>
            <w:tcW w:w="3118" w:type="dxa"/>
            <w:vMerge w:val="restart"/>
            <w:tcBorders>
              <w:top w:val="single" w:sz="4" w:space="0" w:color="000000"/>
              <w:bottom w:val="single" w:sz="4" w:space="0" w:color="000000"/>
            </w:tcBorders>
            <w:shd w:val="clear" w:color="auto" w:fill="auto"/>
          </w:tcPr>
          <w:p w:rsidR="00F61856" w:rsidRPr="00DE475B" w:rsidRDefault="002F61A2" w:rsidP="004B2ABB">
            <w:pPr>
              <w:rPr>
                <w:rFonts w:ascii="Arial" w:hAnsi="Arial" w:cs="Arial"/>
                <w:sz w:val="20"/>
                <w:szCs w:val="20"/>
              </w:rPr>
            </w:pPr>
            <w:r w:rsidRPr="00DE475B">
              <w:rPr>
                <w:rFonts w:ascii="Arial" w:hAnsi="Arial" w:cs="Arial"/>
                <w:sz w:val="20"/>
                <w:szCs w:val="20"/>
              </w:rPr>
              <w:t>This strategy aims to reduce the exposure to liquidity risk by ensuring State Library has sufficient funds available to meet employee and supplier obligations as they fall due.</w:t>
            </w:r>
          </w:p>
        </w:tc>
      </w:tr>
      <w:tr w:rsidR="00F61856" w:rsidRPr="00DE475B" w:rsidTr="00420E45">
        <w:trPr>
          <w:trHeight w:val="240"/>
        </w:trPr>
        <w:tc>
          <w:tcPr>
            <w:tcW w:w="1848" w:type="dxa"/>
            <w:vMerge/>
            <w:tcBorders>
              <w:top w:val="single" w:sz="4" w:space="0" w:color="000000"/>
              <w:bottom w:val="single" w:sz="4" w:space="0" w:color="000000"/>
            </w:tcBorders>
            <w:shd w:val="clear" w:color="auto" w:fill="auto"/>
          </w:tcPr>
          <w:p w:rsidR="00F61856" w:rsidRPr="00DE475B" w:rsidRDefault="00F61856" w:rsidP="004B2ABB">
            <w:pPr>
              <w:snapToGrid w:val="0"/>
              <w:rPr>
                <w:rFonts w:ascii="Arial" w:hAnsi="Arial" w:cs="Arial"/>
                <w:sz w:val="20"/>
                <w:szCs w:val="20"/>
              </w:rPr>
            </w:pPr>
          </w:p>
        </w:tc>
        <w:tc>
          <w:tcPr>
            <w:tcW w:w="3686" w:type="dxa"/>
            <w:vMerge/>
            <w:tcBorders>
              <w:top w:val="single" w:sz="4" w:space="0" w:color="000000"/>
              <w:bottom w:val="single" w:sz="4" w:space="0" w:color="000000"/>
            </w:tcBorders>
            <w:shd w:val="clear" w:color="auto" w:fill="auto"/>
          </w:tcPr>
          <w:p w:rsidR="00F61856" w:rsidRPr="00DE475B" w:rsidRDefault="00F61856" w:rsidP="004B2ABB">
            <w:pPr>
              <w:snapToGrid w:val="0"/>
              <w:rPr>
                <w:rFonts w:ascii="Arial" w:hAnsi="Arial" w:cs="Arial"/>
                <w:sz w:val="20"/>
                <w:szCs w:val="20"/>
              </w:rPr>
            </w:pPr>
          </w:p>
        </w:tc>
        <w:tc>
          <w:tcPr>
            <w:tcW w:w="3118" w:type="dxa"/>
            <w:vMerge/>
            <w:tcBorders>
              <w:top w:val="single" w:sz="4" w:space="0" w:color="000000"/>
              <w:bottom w:val="single" w:sz="4" w:space="0" w:color="000000"/>
            </w:tcBorders>
            <w:shd w:val="clear" w:color="auto" w:fill="auto"/>
          </w:tcPr>
          <w:p w:rsidR="00F61856" w:rsidRPr="00DE475B" w:rsidRDefault="00F61856" w:rsidP="004B2ABB">
            <w:pPr>
              <w:snapToGrid w:val="0"/>
              <w:rPr>
                <w:rFonts w:ascii="Arial" w:hAnsi="Arial" w:cs="Arial"/>
                <w:sz w:val="20"/>
                <w:szCs w:val="20"/>
              </w:rPr>
            </w:pPr>
          </w:p>
        </w:tc>
      </w:tr>
      <w:tr w:rsidR="00F61856" w:rsidRPr="00DE475B" w:rsidTr="00420E45">
        <w:trPr>
          <w:trHeight w:val="315"/>
        </w:trPr>
        <w:tc>
          <w:tcPr>
            <w:tcW w:w="1848" w:type="dxa"/>
            <w:tcBorders>
              <w:top w:val="single" w:sz="4" w:space="0" w:color="000000"/>
              <w:bottom w:val="single" w:sz="4" w:space="0" w:color="000000"/>
            </w:tcBorders>
            <w:shd w:val="clear" w:color="auto" w:fill="auto"/>
          </w:tcPr>
          <w:p w:rsidR="00F61856" w:rsidRPr="00DE475B" w:rsidRDefault="003C4C1E" w:rsidP="004B2ABB">
            <w:pPr>
              <w:rPr>
                <w:rFonts w:ascii="Arial" w:hAnsi="Arial" w:cs="Arial"/>
                <w:sz w:val="20"/>
                <w:szCs w:val="20"/>
              </w:rPr>
            </w:pPr>
            <w:r>
              <w:rPr>
                <w:rFonts w:ascii="Arial" w:hAnsi="Arial" w:cs="Arial"/>
                <w:sz w:val="20"/>
                <w:szCs w:val="20"/>
              </w:rPr>
              <w:t xml:space="preserve">Interest </w:t>
            </w:r>
            <w:r w:rsidR="00F61856" w:rsidRPr="00DE475B">
              <w:rPr>
                <w:rFonts w:ascii="Arial" w:hAnsi="Arial" w:cs="Arial"/>
                <w:sz w:val="20"/>
                <w:szCs w:val="20"/>
              </w:rPr>
              <w:t>Risk</w:t>
            </w:r>
          </w:p>
        </w:tc>
        <w:tc>
          <w:tcPr>
            <w:tcW w:w="3686" w:type="dxa"/>
            <w:tcBorders>
              <w:top w:val="single" w:sz="4" w:space="0" w:color="000000"/>
              <w:bottom w:val="single" w:sz="4" w:space="0" w:color="000000"/>
            </w:tcBorders>
            <w:shd w:val="clear" w:color="auto" w:fill="auto"/>
          </w:tcPr>
          <w:p w:rsidR="00F61856" w:rsidRPr="00DE475B" w:rsidRDefault="00F61856" w:rsidP="004B2ABB">
            <w:pPr>
              <w:rPr>
                <w:rFonts w:ascii="Arial" w:hAnsi="Arial" w:cs="Arial"/>
                <w:sz w:val="20"/>
                <w:szCs w:val="20"/>
              </w:rPr>
            </w:pPr>
            <w:r w:rsidRPr="00DE475B">
              <w:rPr>
                <w:rFonts w:ascii="Arial" w:hAnsi="Arial" w:cs="Arial"/>
                <w:sz w:val="20"/>
                <w:szCs w:val="20"/>
              </w:rPr>
              <w:t>Interest rate sensitivity analysis</w:t>
            </w:r>
            <w:r w:rsidR="00420E45" w:rsidRPr="00DE475B">
              <w:rPr>
                <w:rFonts w:ascii="Arial" w:hAnsi="Arial" w:cs="Arial"/>
                <w:sz w:val="20"/>
                <w:szCs w:val="20"/>
              </w:rPr>
              <w:t>.</w:t>
            </w:r>
          </w:p>
        </w:tc>
        <w:tc>
          <w:tcPr>
            <w:tcW w:w="3118" w:type="dxa"/>
            <w:tcBorders>
              <w:top w:val="single" w:sz="4" w:space="0" w:color="000000"/>
              <w:bottom w:val="single" w:sz="4" w:space="0" w:color="000000"/>
            </w:tcBorders>
            <w:shd w:val="clear" w:color="auto" w:fill="auto"/>
          </w:tcPr>
          <w:p w:rsidR="00F61856" w:rsidRPr="00DE475B" w:rsidRDefault="002F61A2" w:rsidP="004B2ABB">
            <w:pPr>
              <w:rPr>
                <w:rFonts w:ascii="Arial" w:hAnsi="Arial" w:cs="Arial"/>
                <w:sz w:val="20"/>
                <w:szCs w:val="20"/>
              </w:rPr>
            </w:pPr>
            <w:r w:rsidRPr="00DE475B">
              <w:rPr>
                <w:rFonts w:ascii="Arial" w:hAnsi="Arial" w:cs="Arial"/>
                <w:sz w:val="20"/>
                <w:szCs w:val="20"/>
              </w:rPr>
              <w:t>State Library aims to reduce this exposure though the monitoring of interest rates available from various financial institutions</w:t>
            </w:r>
            <w:r w:rsidR="00420E45" w:rsidRPr="00DE475B">
              <w:rPr>
                <w:rFonts w:ascii="Arial" w:hAnsi="Arial" w:cs="Arial"/>
                <w:sz w:val="20"/>
                <w:szCs w:val="20"/>
              </w:rPr>
              <w:t>.</w:t>
            </w:r>
          </w:p>
        </w:tc>
      </w:tr>
    </w:tbl>
    <w:p w:rsidR="00F61856" w:rsidRPr="00DE475B" w:rsidRDefault="00F61856" w:rsidP="003C4C1E">
      <w:pPr>
        <w:tabs>
          <w:tab w:val="left" w:pos="284"/>
          <w:tab w:val="left" w:pos="5878"/>
          <w:tab w:val="left" w:pos="8548"/>
          <w:tab w:val="left" w:pos="8770"/>
          <w:tab w:val="left" w:pos="10266"/>
          <w:tab w:val="left" w:pos="11702"/>
        </w:tabs>
        <w:rPr>
          <w:rFonts w:ascii="Arial" w:hAnsi="Arial" w:cs="Arial"/>
          <w:sz w:val="20"/>
          <w:szCs w:val="20"/>
        </w:rPr>
      </w:pPr>
    </w:p>
    <w:p w:rsidR="005A46CF" w:rsidRPr="00DE475B" w:rsidRDefault="005A46CF" w:rsidP="005A46CF">
      <w:pPr>
        <w:rPr>
          <w:rFonts w:ascii="Arial" w:hAnsi="Arial" w:cs="Arial"/>
          <w:i/>
          <w:iCs/>
          <w:sz w:val="20"/>
          <w:szCs w:val="20"/>
        </w:rPr>
      </w:pPr>
      <w:r w:rsidRPr="00DE475B">
        <w:rPr>
          <w:rFonts w:ascii="Arial" w:hAnsi="Arial" w:cs="Arial"/>
          <w:i/>
          <w:iCs/>
          <w:sz w:val="20"/>
          <w:szCs w:val="20"/>
        </w:rPr>
        <w:t xml:space="preserve">Measurement </w:t>
      </w:r>
      <w:r w:rsidR="00B620FC" w:rsidRPr="00DE475B">
        <w:rPr>
          <w:rFonts w:ascii="Arial" w:hAnsi="Arial" w:cs="Arial"/>
          <w:i/>
          <w:iCs/>
          <w:sz w:val="20"/>
          <w:szCs w:val="20"/>
        </w:rPr>
        <w:t xml:space="preserve">— </w:t>
      </w:r>
      <w:r w:rsidRPr="00DE475B">
        <w:rPr>
          <w:rFonts w:ascii="Arial" w:hAnsi="Arial" w:cs="Arial"/>
          <w:i/>
          <w:iCs/>
          <w:sz w:val="20"/>
          <w:szCs w:val="20"/>
        </w:rPr>
        <w:t xml:space="preserve">Fair </w:t>
      </w:r>
      <w:r w:rsidR="00B620FC" w:rsidRPr="00DE475B">
        <w:rPr>
          <w:rFonts w:ascii="Arial" w:hAnsi="Arial" w:cs="Arial"/>
          <w:i/>
          <w:iCs/>
          <w:sz w:val="20"/>
          <w:szCs w:val="20"/>
        </w:rPr>
        <w:t>v</w:t>
      </w:r>
      <w:r w:rsidRPr="00DE475B">
        <w:rPr>
          <w:rFonts w:ascii="Arial" w:hAnsi="Arial" w:cs="Arial"/>
          <w:i/>
          <w:iCs/>
          <w:sz w:val="20"/>
          <w:szCs w:val="20"/>
        </w:rPr>
        <w:t>alue</w:t>
      </w:r>
    </w:p>
    <w:p w:rsidR="005A46CF" w:rsidRPr="00DE475B" w:rsidRDefault="003638C7" w:rsidP="003C4C1E">
      <w:pPr>
        <w:spacing w:after="120"/>
        <w:rPr>
          <w:rFonts w:ascii="Arial" w:hAnsi="Arial" w:cs="Arial"/>
          <w:sz w:val="20"/>
          <w:szCs w:val="20"/>
        </w:rPr>
      </w:pPr>
      <w:r w:rsidRPr="00DE475B">
        <w:rPr>
          <w:rFonts w:ascii="Arial" w:hAnsi="Arial" w:cs="Arial"/>
          <w:sz w:val="20"/>
          <w:szCs w:val="20"/>
        </w:rPr>
        <w:t>The carrying value of trade receivables, less any allowance for impairment plus payables is assumed to approximate fair value</w:t>
      </w:r>
      <w:r w:rsidR="005A46CF" w:rsidRPr="00DE475B">
        <w:rPr>
          <w:rFonts w:ascii="Arial" w:hAnsi="Arial" w:cs="Arial"/>
          <w:sz w:val="20"/>
          <w:szCs w:val="20"/>
        </w:rPr>
        <w:t>.</w:t>
      </w:r>
    </w:p>
    <w:p w:rsidR="003C4C1E" w:rsidRPr="00DE475B" w:rsidRDefault="003C4C1E" w:rsidP="003C4C1E">
      <w:pPr>
        <w:pStyle w:val="ARheading3"/>
        <w:widowControl w:val="0"/>
        <w:tabs>
          <w:tab w:val="left" w:pos="851"/>
        </w:tabs>
        <w:spacing w:after="120"/>
        <w:rPr>
          <w:color w:val="808080"/>
        </w:rPr>
        <w:sectPr w:rsidR="003C4C1E" w:rsidRPr="00DE475B" w:rsidSect="00B53922">
          <w:type w:val="continuous"/>
          <w:pgSz w:w="11906" w:h="16838"/>
          <w:pgMar w:top="1440" w:right="1701" w:bottom="1440" w:left="1701" w:header="680" w:footer="680" w:gutter="0"/>
          <w:cols w:space="720"/>
          <w:docGrid w:linePitch="360"/>
        </w:sectPr>
      </w:pPr>
      <w:r w:rsidRPr="00DE475B">
        <w:rPr>
          <w:color w:val="808080"/>
        </w:rPr>
        <w:t>D</w:t>
      </w:r>
      <w:r>
        <w:rPr>
          <w:color w:val="808080"/>
        </w:rPr>
        <w:t>3</w:t>
      </w:r>
      <w:r w:rsidRPr="00DE475B">
        <w:rPr>
          <w:color w:val="808080"/>
        </w:rPr>
        <w:t xml:space="preserve"> Contingencies</w:t>
      </w:r>
    </w:p>
    <w:p w:rsidR="003C4C1E" w:rsidRPr="00DE475B" w:rsidRDefault="003C4C1E" w:rsidP="003C4C1E">
      <w:pPr>
        <w:rPr>
          <w:rFonts w:ascii="Arial" w:hAnsi="Arial" w:cs="Arial"/>
          <w:sz w:val="20"/>
          <w:szCs w:val="20"/>
        </w:rPr>
      </w:pPr>
      <w:r w:rsidRPr="003C4C1E">
        <w:rPr>
          <w:rFonts w:ascii="Arial" w:hAnsi="Arial" w:cs="Arial"/>
          <w:sz w:val="20"/>
          <w:szCs w:val="20"/>
        </w:rPr>
        <w:lastRenderedPageBreak/>
        <w:t>There are no known contingent assets or liabilities at balance date</w:t>
      </w:r>
      <w:r w:rsidRPr="00DE475B">
        <w:rPr>
          <w:rFonts w:ascii="Arial" w:hAnsi="Arial" w:cs="Arial"/>
          <w:sz w:val="20"/>
          <w:szCs w:val="20"/>
        </w:rPr>
        <w:t>.</w:t>
      </w:r>
    </w:p>
    <w:p w:rsidR="00CC4C45" w:rsidRPr="00DE475B" w:rsidRDefault="00B620FC" w:rsidP="00CC4C45">
      <w:pPr>
        <w:pStyle w:val="ARbodytext"/>
        <w:rPr>
          <w:b/>
          <w:bCs/>
        </w:rPr>
      </w:pPr>
      <w:r w:rsidRPr="00DE475B">
        <w:br w:type="page"/>
      </w:r>
      <w:r w:rsidR="00CC4C45" w:rsidRPr="00DE475B">
        <w:rPr>
          <w:b/>
          <w:bCs/>
          <w:i/>
          <w:iCs/>
        </w:rPr>
        <w:lastRenderedPageBreak/>
        <w:t>Library Board of Queensland and controlled entities</w:t>
      </w:r>
    </w:p>
    <w:p w:rsidR="00CC4C45" w:rsidRPr="00DE475B" w:rsidRDefault="00373FFE" w:rsidP="00CC4C45">
      <w:pPr>
        <w:rPr>
          <w:rFonts w:ascii="Arial" w:hAnsi="Arial" w:cs="Arial"/>
          <w:b/>
          <w:bCs/>
          <w:sz w:val="20"/>
          <w:szCs w:val="20"/>
        </w:rPr>
      </w:pPr>
      <w:r w:rsidRPr="00DE475B">
        <w:rPr>
          <w:noProof/>
          <w:lang w:eastAsia="en-AU"/>
        </w:rPr>
        <mc:AlternateContent>
          <mc:Choice Requires="wps">
            <w:drawing>
              <wp:anchor distT="0" distB="0" distL="114300" distR="114300" simplePos="0" relativeHeight="251662336" behindDoc="0" locked="0" layoutInCell="1" allowOverlap="1" wp14:anchorId="19E47F4D" wp14:editId="6DF476ED">
                <wp:simplePos x="0" y="0"/>
                <wp:positionH relativeFrom="column">
                  <wp:posOffset>-66040</wp:posOffset>
                </wp:positionH>
                <wp:positionV relativeFrom="paragraph">
                  <wp:posOffset>-222250</wp:posOffset>
                </wp:positionV>
                <wp:extent cx="5573395" cy="0"/>
                <wp:effectExtent l="13970" t="9525" r="13335" b="9525"/>
                <wp:wrapNone/>
                <wp:docPr id="3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oMmwIAAHoFAAAOAAAAZHJzL2Uyb0RvYy54bWysVFFvmzAQfp+0/2D5nQKBhASVVC0he+m2&#10;Su20Z8eYYM3YzHZDoqn/fWcnYU33Mk1NJOSz787f3fedr2/2nUA7pg1XssDxVYQRk1TVXG4L/O1p&#10;HcwxMpbImgglWYEPzOCb5ccP10Ofs4lqlaiZRpBEmnzoC9xa2+dhaGjLOmKuVM8kHDZKd8SCqbdh&#10;rckA2TsRTqJoFg5K171WlBkDu6vjIV76/E3DqP3aNIZZJAoM2Kz/av/duG+4vCb5VpO+5fQEg/wH&#10;io5wCZeOqVbEEvSs+V+pOk61MqqxV1R1oWoaTpmvAaqJozfVPLakZ74WaI7pxzaZ90tLv+weNOJ1&#10;gZMJRpJ0wNE9lwxN0sw1Z+hNDj6lfNCuPLqXj/29oj8MkqpsidwyD/Lp0ENg7CLCixBnmB6u2Ayf&#10;VQ0+5Nkq36l9ozuXEnqA9p6Qw0gI21tEYXM6zZJkMcWIns9Ckp8De23sJ6Y65BYFFoDaJya7e2Md&#10;EJKfXdw9Uq25EJ5vIdFQ4EUyA0VQAqozP32kUYLXzsv5G73dlEKjHXHS8T9fHpy8duu4BQEL3hV4&#10;PjqRvGWkrmTtr7OEi+MaIAnpkjMvzSNOsPYWln4fCvey+bWIFtW8mqdBOplVQRqtVsHtukyD2TrO&#10;pqtkVZar+MWhjtO85XXNpAN+lnCc/ptETsN0FN8o4rFV4WV231MAe4n0dj2NsjSZB1k2TYI0qaLg&#10;br4ug9syns2y6q68q94grXz15n3Ajq10qNQzsPHY1gOquRNFMl1MYgwGjPwkO/KDiNjCW0Wtxkgr&#10;+53b1mvYqc/luCB+Hrn/ifgx+7ERZw6dNbJwqu1Pq4DzM79+NNw0HOdqo+rDgz6PDAy4Dzo9Ru4F&#10;eW3D+vWTufwNAAD//wMAUEsDBBQABgAIAAAAIQDe2Ktn4AAAAAsBAAAPAAAAZHJzL2Rvd25yZXYu&#10;eG1sTI9BS8NAEIXvgv9hGcGLtJuaWEvMpoggHgRpqyjettkxG8zOht1tE/+9Iwh6m5n3ePO9aj25&#10;XhwxxM6TgsU8A4HUeNNRq+Dl+X62AhGTJqN7T6jgCyOs69OTSpfGj7TF4y61gkMollqBTWkopYyN&#10;Rafj3A9IrH344HTiNbTSBD1yuOvlZZYtpdMd8QerB7yz2HzuDk7BUxi7mPKi2GB6f314fLObC7dV&#10;6vxsur0BkXBKf2b4wWd0qJlp7w9kougVzBZZwVYe8isuxY7V8joHsf+9yLqS/zvU3wAAAP//AwBQ&#10;SwECLQAUAAYACAAAACEAtoM4kv4AAADhAQAAEwAAAAAAAAAAAAAAAAAAAAAAW0NvbnRlbnRfVHlw&#10;ZXNdLnhtbFBLAQItABQABgAIAAAAIQA4/SH/1gAAAJQBAAALAAAAAAAAAAAAAAAAAC8BAABfcmVs&#10;cy8ucmVsc1BLAQItABQABgAIAAAAIQDVYGoMmwIAAHoFAAAOAAAAAAAAAAAAAAAAAC4CAABkcnMv&#10;ZTJvRG9jLnhtbFBLAQItABQABgAIAAAAIQDe2Ktn4AAAAAsBAAAPAAAAAAAAAAAAAAAAAPUEAABk&#10;cnMvZG93bnJldi54bWxQSwUGAAAAAAQABADzAAAAAgYAAAAA&#10;" strokeweight=".26mm">
                <v:stroke joinstyle="miter" endcap="square"/>
              </v:line>
            </w:pict>
          </mc:Fallback>
        </mc:AlternateContent>
      </w:r>
      <w:r w:rsidR="00CC4C45" w:rsidRPr="00DE475B">
        <w:rPr>
          <w:rFonts w:ascii="Arial" w:hAnsi="Arial" w:cs="Arial"/>
          <w:b/>
          <w:bCs/>
          <w:sz w:val="20"/>
          <w:szCs w:val="20"/>
        </w:rPr>
        <w:t>NOTES TO THE FINANCIAL STATEMENTS</w:t>
      </w:r>
    </w:p>
    <w:p w:rsidR="00CC4C45" w:rsidRPr="00DE475B" w:rsidRDefault="00887874" w:rsidP="00CC4C45">
      <w:r>
        <w:rPr>
          <w:rFonts w:ascii="Arial" w:hAnsi="Arial" w:cs="Arial"/>
          <w:b/>
          <w:bCs/>
          <w:sz w:val="20"/>
          <w:szCs w:val="20"/>
        </w:rPr>
        <w:t>For the year ended 30 June 2017</w:t>
      </w:r>
    </w:p>
    <w:p w:rsidR="00CC4C45" w:rsidRPr="00DE475B" w:rsidRDefault="00373FFE" w:rsidP="00CC4C45">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661312" behindDoc="0" locked="0" layoutInCell="1" allowOverlap="1" wp14:anchorId="568346A6" wp14:editId="053A4585">
                <wp:simplePos x="0" y="0"/>
                <wp:positionH relativeFrom="column">
                  <wp:posOffset>-66040</wp:posOffset>
                </wp:positionH>
                <wp:positionV relativeFrom="paragraph">
                  <wp:posOffset>70485</wp:posOffset>
                </wp:positionV>
                <wp:extent cx="5573395" cy="0"/>
                <wp:effectExtent l="13970" t="13335" r="13335" b="5715"/>
                <wp:wrapNone/>
                <wp:docPr id="31"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PfmwIAAHoFAAAOAAAAZHJzL2Uyb0RvYy54bWysVF1v2yAUfZ+0/4B4d23HzpdVZ2odZy/d&#10;Vqmd9kwAx2gYPKBxqmn/fReSeE33Mk1NJIuPy+Hce87l+sOhk2jPjRValTi9SjDiimom1K7EXx83&#10;0QIj64hiRGrFS/zMLf6wev/ueugLPtGtlowbBCDKFkNf4ta5vohjS1veEXule65gs9GmIw6mZhcz&#10;QwZA72Q8SZJZPGjDeqMptxZW18dNvAr4TcOp+9I0ljskSwzcXPia8N36b7y6JsXOkL4V9ESD/AeL&#10;jggFl45Qa+IIejLiL6hOUKOtbtwV1V2sm0ZQHnKAbNLkVTYPLel5yAWKY/uxTPbtYOnn/b1BgpU4&#10;SzFSpAON7oTiaJLPfHGG3hYQU6l749OjB/XQ32n63SKlq5aoHQ8kH597OJj6E/HFET+xPVyxHT5p&#10;BjHkyelQqUNjOg8JNUCHIMjzKAg/OERhcTqdZ9lyihE978WkOB/sjXUfue6QH5RYAusATPZ31nki&#10;pDiH+HuU3ggpg95SoaHEy2wGjqAEXGd/hJNWS8F8lI+3ZretpEF74q0TfiE92HkZ1gkHBpaiK/Fi&#10;DCJFywmrFQvXOSLkcQyUpPLgPFjzyBNmBwfDsA6JB9v8XCbLelEv8iifzOooT9br6GZT5dFsk86n&#10;62xdVev0l2ed5kUrGOPKEz9bOM3/zSKnZjqabzTxWKr4Ej3UFMheMr3ZTJN5ni2i+XyaRXlWJ9Ht&#10;YlNFN1U6m83r2+q2fsW0DtnbtyE7ltKz0k+gxkPLBsSEN0U2XU7A10xAy0/mR30QkTt4q6gzGBnt&#10;vgnXBg9793mMC+EXif+fhB/Rj4U4a+hnowqn3P6UCjQ/6xtaw3fDsa+2mj3fm3PLQIOHQ6fHyL8g&#10;L+cwfvlkrn4DAAD//wMAUEsDBBQABgAIAAAAIQDwQGlx3gAAAAkBAAAPAAAAZHJzL2Rvd25yZXYu&#10;eG1sTI/BSsNAEIbvgu+wjOBF2k1sqCVmU0QQD4K0VRRv2+yYDWZnw+62iW/vSA96nPk//vmmWk+u&#10;F0cMsfOkIJ9nIJAabzpqFby+PMxWIGLSZHTvCRV8Y4R1fX5W6dL4kbZ43KVWcAnFUiuwKQ2llLGx&#10;6HSc+wGJs08fnE48hlaaoEcud728zrKldLojvmD1gPcWm6/dwSl4DmMX06IoNpg+3h6f3u3mym2V&#10;uryY7m5BJJzSHwy/+qwONTvt/YFMFL2CWZ4VjHKQ5yAYWC1vFiD2p4WsK/n/g/oHAAD//wMAUEsB&#10;Ai0AFAAGAAgAAAAhALaDOJL+AAAA4QEAABMAAAAAAAAAAAAAAAAAAAAAAFtDb250ZW50X1R5cGVz&#10;XS54bWxQSwECLQAUAAYACAAAACEAOP0h/9YAAACUAQAACwAAAAAAAAAAAAAAAAAvAQAAX3JlbHMv&#10;LnJlbHNQSwECLQAUAAYACAAAACEAtbxz35sCAAB6BQAADgAAAAAAAAAAAAAAAAAuAgAAZHJzL2Uy&#10;b0RvYy54bWxQSwECLQAUAAYACAAAACEA8EBpcd4AAAAJAQAADwAAAAAAAAAAAAAAAAD1BAAAZHJz&#10;L2Rvd25yZXYueG1sUEsFBgAAAAAEAAQA8wAAAAAGAAAAAA==&#10;" strokeweight=".26mm">
                <v:stroke joinstyle="miter" endcap="square"/>
              </v:line>
            </w:pict>
          </mc:Fallback>
        </mc:AlternateContent>
      </w:r>
    </w:p>
    <w:p w:rsidR="004174C2" w:rsidRPr="00DE475B" w:rsidRDefault="004174C2" w:rsidP="005A46CF">
      <w:pPr>
        <w:rPr>
          <w:rFonts w:ascii="Arial" w:hAnsi="Arial" w:cs="Arial"/>
          <w:sz w:val="20"/>
          <w:szCs w:val="20"/>
        </w:rPr>
      </w:pPr>
    </w:p>
    <w:p w:rsidR="004174C2" w:rsidRPr="00DE475B" w:rsidRDefault="002A4BEB" w:rsidP="004174C2">
      <w:pPr>
        <w:pStyle w:val="ARheading3"/>
        <w:widowControl w:val="0"/>
        <w:tabs>
          <w:tab w:val="left" w:pos="851"/>
        </w:tabs>
        <w:spacing w:after="120"/>
        <w:rPr>
          <w:color w:val="808080"/>
        </w:rPr>
        <w:sectPr w:rsidR="004174C2" w:rsidRPr="00DE475B" w:rsidSect="00B53922">
          <w:type w:val="continuous"/>
          <w:pgSz w:w="11906" w:h="16838"/>
          <w:pgMar w:top="1440" w:right="1701" w:bottom="1440" w:left="1701" w:header="680" w:footer="680" w:gutter="0"/>
          <w:cols w:space="720"/>
          <w:docGrid w:linePitch="360"/>
        </w:sectPr>
      </w:pPr>
      <w:r>
        <w:rPr>
          <w:color w:val="808080"/>
        </w:rPr>
        <w:t>D4</w:t>
      </w:r>
      <w:r w:rsidR="004174C2" w:rsidRPr="00DE475B">
        <w:rPr>
          <w:color w:val="808080"/>
        </w:rPr>
        <w:t xml:space="preserve"> Commitments</w:t>
      </w:r>
    </w:p>
    <w:tbl>
      <w:tblPr>
        <w:tblW w:w="8647" w:type="dxa"/>
        <w:tblInd w:w="108" w:type="dxa"/>
        <w:tblLayout w:type="fixed"/>
        <w:tblLook w:val="0000" w:firstRow="0" w:lastRow="0" w:firstColumn="0" w:lastColumn="0" w:noHBand="0" w:noVBand="0"/>
      </w:tblPr>
      <w:tblGrid>
        <w:gridCol w:w="449"/>
        <w:gridCol w:w="1157"/>
        <w:gridCol w:w="805"/>
        <w:gridCol w:w="2412"/>
        <w:gridCol w:w="956"/>
        <w:gridCol w:w="956"/>
        <w:gridCol w:w="956"/>
        <w:gridCol w:w="956"/>
      </w:tblGrid>
      <w:tr w:rsidR="008637A8" w:rsidRPr="00DE475B" w:rsidTr="00AD2F55">
        <w:trPr>
          <w:trHeight w:val="255"/>
        </w:trPr>
        <w:tc>
          <w:tcPr>
            <w:tcW w:w="6735" w:type="dxa"/>
            <w:gridSpan w:val="6"/>
            <w:shd w:val="clear" w:color="auto" w:fill="auto"/>
            <w:vAlign w:val="bottom"/>
          </w:tcPr>
          <w:p w:rsidR="008637A8" w:rsidRPr="00DE475B" w:rsidRDefault="008637A8" w:rsidP="00A056EE">
            <w:pPr>
              <w:jc w:val="right"/>
              <w:rPr>
                <w:rFonts w:ascii="Arial" w:hAnsi="Arial" w:cs="Arial"/>
                <w:b/>
                <w:bCs/>
                <w:sz w:val="20"/>
                <w:szCs w:val="20"/>
              </w:rPr>
            </w:pPr>
            <w:r w:rsidRPr="00DE475B">
              <w:rPr>
                <w:rFonts w:ascii="Arial" w:hAnsi="Arial" w:cs="Arial"/>
                <w:b/>
                <w:bCs/>
                <w:sz w:val="20"/>
                <w:szCs w:val="20"/>
              </w:rPr>
              <w:lastRenderedPageBreak/>
              <w:t>Economic Entity</w:t>
            </w:r>
          </w:p>
        </w:tc>
        <w:tc>
          <w:tcPr>
            <w:tcW w:w="1912" w:type="dxa"/>
            <w:gridSpan w:val="2"/>
            <w:shd w:val="clear" w:color="auto" w:fill="auto"/>
            <w:vAlign w:val="bottom"/>
          </w:tcPr>
          <w:p w:rsidR="008637A8" w:rsidRPr="00DE475B" w:rsidRDefault="008637A8" w:rsidP="00A056EE">
            <w:pPr>
              <w:jc w:val="right"/>
              <w:rPr>
                <w:rFonts w:ascii="Arial" w:hAnsi="Arial" w:cs="Arial"/>
                <w:b/>
                <w:bCs/>
                <w:sz w:val="20"/>
                <w:szCs w:val="20"/>
              </w:rPr>
            </w:pPr>
            <w:r w:rsidRPr="00DE475B">
              <w:rPr>
                <w:rFonts w:ascii="Arial" w:hAnsi="Arial" w:cs="Arial"/>
                <w:b/>
                <w:bCs/>
                <w:sz w:val="20"/>
                <w:szCs w:val="20"/>
              </w:rPr>
              <w:t>Parent Entity</w:t>
            </w:r>
          </w:p>
        </w:tc>
      </w:tr>
      <w:tr w:rsidR="008637A8" w:rsidRPr="00DE475B" w:rsidTr="00AD2F55">
        <w:trPr>
          <w:trHeight w:val="255"/>
        </w:trPr>
        <w:tc>
          <w:tcPr>
            <w:tcW w:w="4823" w:type="dxa"/>
            <w:gridSpan w:val="4"/>
            <w:shd w:val="clear" w:color="auto" w:fill="auto"/>
            <w:vAlign w:val="bottom"/>
          </w:tcPr>
          <w:p w:rsidR="008637A8" w:rsidRPr="00DE475B" w:rsidRDefault="008637A8" w:rsidP="00A056EE">
            <w:pPr>
              <w:snapToGrid w:val="0"/>
              <w:jc w:val="right"/>
              <w:rPr>
                <w:rFonts w:ascii="Arial" w:hAnsi="Arial" w:cs="Arial"/>
                <w:b/>
                <w:bCs/>
                <w:sz w:val="20"/>
                <w:szCs w:val="20"/>
              </w:rPr>
            </w:pPr>
          </w:p>
        </w:tc>
        <w:tc>
          <w:tcPr>
            <w:tcW w:w="956" w:type="dxa"/>
            <w:shd w:val="clear" w:color="auto" w:fill="auto"/>
            <w:vAlign w:val="bottom"/>
          </w:tcPr>
          <w:p w:rsidR="008637A8" w:rsidRPr="00DE475B" w:rsidRDefault="007D1DE7" w:rsidP="00077D92">
            <w:pPr>
              <w:jc w:val="right"/>
              <w:rPr>
                <w:rFonts w:ascii="Arial" w:hAnsi="Arial" w:cs="Arial"/>
                <w:b/>
                <w:bCs/>
                <w:sz w:val="20"/>
                <w:szCs w:val="20"/>
              </w:rPr>
            </w:pPr>
            <w:r>
              <w:rPr>
                <w:rFonts w:ascii="Arial" w:hAnsi="Arial" w:cs="Arial"/>
                <w:b/>
                <w:bCs/>
                <w:sz w:val="20"/>
                <w:szCs w:val="20"/>
              </w:rPr>
              <w:t>2017</w:t>
            </w:r>
          </w:p>
        </w:tc>
        <w:tc>
          <w:tcPr>
            <w:tcW w:w="956" w:type="dxa"/>
            <w:shd w:val="clear" w:color="auto" w:fill="auto"/>
            <w:vAlign w:val="bottom"/>
          </w:tcPr>
          <w:p w:rsidR="008637A8" w:rsidRPr="00DE475B" w:rsidRDefault="007D1DE7" w:rsidP="008637A8">
            <w:pPr>
              <w:jc w:val="right"/>
              <w:rPr>
                <w:rFonts w:ascii="Arial" w:hAnsi="Arial" w:cs="Arial"/>
                <w:b/>
                <w:bCs/>
                <w:sz w:val="20"/>
                <w:szCs w:val="20"/>
              </w:rPr>
            </w:pPr>
            <w:r>
              <w:rPr>
                <w:rFonts w:ascii="Arial" w:hAnsi="Arial" w:cs="Arial"/>
                <w:b/>
                <w:bCs/>
                <w:sz w:val="20"/>
                <w:szCs w:val="20"/>
              </w:rPr>
              <w:t>2016</w:t>
            </w:r>
          </w:p>
        </w:tc>
        <w:tc>
          <w:tcPr>
            <w:tcW w:w="956" w:type="dxa"/>
            <w:shd w:val="clear" w:color="auto" w:fill="auto"/>
            <w:vAlign w:val="bottom"/>
          </w:tcPr>
          <w:p w:rsidR="008637A8" w:rsidRPr="00DE475B" w:rsidRDefault="007D1DE7" w:rsidP="008637A8">
            <w:pPr>
              <w:jc w:val="right"/>
              <w:rPr>
                <w:rFonts w:ascii="Arial" w:hAnsi="Arial" w:cs="Arial"/>
                <w:b/>
                <w:bCs/>
                <w:sz w:val="20"/>
                <w:szCs w:val="20"/>
              </w:rPr>
            </w:pPr>
            <w:r>
              <w:rPr>
                <w:rFonts w:ascii="Arial" w:hAnsi="Arial" w:cs="Arial"/>
                <w:b/>
                <w:bCs/>
                <w:sz w:val="20"/>
                <w:szCs w:val="20"/>
              </w:rPr>
              <w:t>2017</w:t>
            </w:r>
          </w:p>
        </w:tc>
        <w:tc>
          <w:tcPr>
            <w:tcW w:w="956" w:type="dxa"/>
            <w:shd w:val="clear" w:color="auto" w:fill="auto"/>
            <w:vAlign w:val="bottom"/>
          </w:tcPr>
          <w:p w:rsidR="008637A8" w:rsidRPr="00DE475B" w:rsidRDefault="007D1DE7" w:rsidP="008637A8">
            <w:pPr>
              <w:jc w:val="right"/>
              <w:rPr>
                <w:rFonts w:ascii="Arial" w:hAnsi="Arial" w:cs="Arial"/>
                <w:b/>
                <w:bCs/>
                <w:sz w:val="20"/>
                <w:szCs w:val="20"/>
              </w:rPr>
            </w:pPr>
            <w:r>
              <w:rPr>
                <w:rFonts w:ascii="Arial" w:hAnsi="Arial" w:cs="Arial"/>
                <w:b/>
                <w:bCs/>
                <w:sz w:val="20"/>
                <w:szCs w:val="20"/>
              </w:rPr>
              <w:t>2016</w:t>
            </w:r>
          </w:p>
        </w:tc>
      </w:tr>
      <w:tr w:rsidR="008637A8" w:rsidRPr="00DE475B" w:rsidTr="00AD2F55">
        <w:trPr>
          <w:trHeight w:val="255"/>
        </w:trPr>
        <w:tc>
          <w:tcPr>
            <w:tcW w:w="4823" w:type="dxa"/>
            <w:gridSpan w:val="4"/>
            <w:shd w:val="clear" w:color="auto" w:fill="auto"/>
            <w:vAlign w:val="bottom"/>
          </w:tcPr>
          <w:p w:rsidR="008637A8" w:rsidRPr="00DE475B" w:rsidRDefault="008637A8" w:rsidP="00A056EE">
            <w:pPr>
              <w:snapToGrid w:val="0"/>
              <w:jc w:val="right"/>
              <w:rPr>
                <w:rFonts w:ascii="Arial" w:hAnsi="Arial" w:cs="Arial"/>
                <w:b/>
                <w:bCs/>
                <w:sz w:val="20"/>
                <w:szCs w:val="20"/>
              </w:rPr>
            </w:pPr>
          </w:p>
        </w:tc>
        <w:tc>
          <w:tcPr>
            <w:tcW w:w="956" w:type="dxa"/>
            <w:shd w:val="clear" w:color="auto" w:fill="auto"/>
            <w:vAlign w:val="bottom"/>
          </w:tcPr>
          <w:p w:rsidR="008637A8" w:rsidRPr="00DE475B" w:rsidRDefault="008637A8" w:rsidP="00A056EE">
            <w:pPr>
              <w:jc w:val="right"/>
              <w:rPr>
                <w:rFonts w:ascii="Arial" w:hAnsi="Arial" w:cs="Arial"/>
                <w:b/>
                <w:bCs/>
                <w:sz w:val="20"/>
                <w:szCs w:val="20"/>
              </w:rPr>
            </w:pPr>
            <w:r w:rsidRPr="00DE475B">
              <w:rPr>
                <w:rFonts w:ascii="Arial" w:hAnsi="Arial" w:cs="Arial"/>
                <w:b/>
                <w:bCs/>
                <w:sz w:val="20"/>
                <w:szCs w:val="20"/>
              </w:rPr>
              <w:t>$'000</w:t>
            </w:r>
          </w:p>
        </w:tc>
        <w:tc>
          <w:tcPr>
            <w:tcW w:w="956" w:type="dxa"/>
            <w:shd w:val="clear" w:color="auto" w:fill="auto"/>
            <w:vAlign w:val="bottom"/>
          </w:tcPr>
          <w:p w:rsidR="008637A8" w:rsidRPr="00DE475B" w:rsidRDefault="008637A8" w:rsidP="00A056EE">
            <w:pPr>
              <w:jc w:val="right"/>
              <w:rPr>
                <w:rFonts w:ascii="Arial" w:hAnsi="Arial" w:cs="Arial"/>
                <w:b/>
                <w:bCs/>
                <w:sz w:val="20"/>
                <w:szCs w:val="20"/>
              </w:rPr>
            </w:pPr>
            <w:r w:rsidRPr="00DE475B">
              <w:rPr>
                <w:rFonts w:ascii="Arial" w:hAnsi="Arial" w:cs="Arial"/>
                <w:b/>
                <w:bCs/>
                <w:sz w:val="20"/>
                <w:szCs w:val="20"/>
              </w:rPr>
              <w:t>$'000</w:t>
            </w:r>
          </w:p>
        </w:tc>
        <w:tc>
          <w:tcPr>
            <w:tcW w:w="956" w:type="dxa"/>
            <w:shd w:val="clear" w:color="auto" w:fill="auto"/>
            <w:vAlign w:val="bottom"/>
          </w:tcPr>
          <w:p w:rsidR="008637A8" w:rsidRPr="00DE475B" w:rsidRDefault="008637A8" w:rsidP="00A056EE">
            <w:pPr>
              <w:jc w:val="right"/>
              <w:rPr>
                <w:rFonts w:ascii="Arial" w:hAnsi="Arial" w:cs="Arial"/>
                <w:b/>
                <w:bCs/>
                <w:sz w:val="20"/>
                <w:szCs w:val="20"/>
              </w:rPr>
            </w:pPr>
            <w:r w:rsidRPr="00DE475B">
              <w:rPr>
                <w:rFonts w:ascii="Arial" w:hAnsi="Arial" w:cs="Arial"/>
                <w:b/>
                <w:bCs/>
                <w:sz w:val="20"/>
                <w:szCs w:val="20"/>
              </w:rPr>
              <w:t>$'000</w:t>
            </w:r>
          </w:p>
        </w:tc>
        <w:tc>
          <w:tcPr>
            <w:tcW w:w="956" w:type="dxa"/>
            <w:shd w:val="clear" w:color="auto" w:fill="auto"/>
            <w:vAlign w:val="bottom"/>
          </w:tcPr>
          <w:p w:rsidR="008637A8" w:rsidRPr="00DE475B" w:rsidRDefault="008637A8" w:rsidP="00A056EE">
            <w:pPr>
              <w:jc w:val="right"/>
              <w:rPr>
                <w:rFonts w:ascii="Arial" w:hAnsi="Arial" w:cs="Arial"/>
                <w:b/>
                <w:bCs/>
                <w:sz w:val="16"/>
                <w:szCs w:val="16"/>
              </w:rPr>
            </w:pPr>
            <w:r w:rsidRPr="00DE475B">
              <w:rPr>
                <w:rFonts w:ascii="Arial" w:hAnsi="Arial" w:cs="Arial"/>
                <w:b/>
                <w:bCs/>
                <w:sz w:val="20"/>
                <w:szCs w:val="20"/>
              </w:rPr>
              <w:t>$'000</w:t>
            </w:r>
          </w:p>
        </w:tc>
      </w:tr>
      <w:tr w:rsidR="008637A8" w:rsidRPr="00DE475B" w:rsidTr="00AD2F55">
        <w:trPr>
          <w:trHeight w:val="255"/>
        </w:trPr>
        <w:tc>
          <w:tcPr>
            <w:tcW w:w="4823" w:type="dxa"/>
            <w:gridSpan w:val="4"/>
            <w:shd w:val="clear" w:color="auto" w:fill="auto"/>
            <w:vAlign w:val="bottom"/>
          </w:tcPr>
          <w:p w:rsidR="008637A8" w:rsidRPr="00DE475B" w:rsidRDefault="008637A8" w:rsidP="00A056EE">
            <w:pPr>
              <w:rPr>
                <w:rFonts w:ascii="Arial" w:hAnsi="Arial" w:cs="Arial"/>
                <w:b/>
                <w:bCs/>
                <w:sz w:val="20"/>
                <w:szCs w:val="20"/>
              </w:rPr>
            </w:pPr>
            <w:r w:rsidRPr="00DE475B">
              <w:rPr>
                <w:rFonts w:ascii="Arial" w:hAnsi="Arial" w:cs="Arial"/>
                <w:b/>
                <w:bCs/>
                <w:sz w:val="20"/>
                <w:szCs w:val="20"/>
              </w:rPr>
              <w:t>Commitments for Expenditure</w:t>
            </w:r>
          </w:p>
        </w:tc>
        <w:tc>
          <w:tcPr>
            <w:tcW w:w="956" w:type="dxa"/>
            <w:shd w:val="clear" w:color="auto" w:fill="auto"/>
            <w:vAlign w:val="bottom"/>
          </w:tcPr>
          <w:p w:rsidR="008637A8" w:rsidRPr="00DE475B" w:rsidRDefault="008637A8" w:rsidP="00A056EE">
            <w:pPr>
              <w:jc w:val="right"/>
              <w:rPr>
                <w:rFonts w:ascii="Arial" w:hAnsi="Arial" w:cs="Arial"/>
                <w:sz w:val="20"/>
                <w:szCs w:val="20"/>
              </w:rPr>
            </w:pPr>
          </w:p>
        </w:tc>
        <w:tc>
          <w:tcPr>
            <w:tcW w:w="956" w:type="dxa"/>
            <w:shd w:val="clear" w:color="auto" w:fill="auto"/>
            <w:vAlign w:val="bottom"/>
          </w:tcPr>
          <w:p w:rsidR="008637A8" w:rsidRPr="00DE475B" w:rsidRDefault="008637A8" w:rsidP="00A056EE">
            <w:pPr>
              <w:jc w:val="right"/>
              <w:rPr>
                <w:rFonts w:ascii="Arial" w:hAnsi="Arial" w:cs="Arial"/>
                <w:sz w:val="20"/>
                <w:szCs w:val="20"/>
              </w:rPr>
            </w:pPr>
          </w:p>
        </w:tc>
        <w:tc>
          <w:tcPr>
            <w:tcW w:w="956" w:type="dxa"/>
            <w:shd w:val="clear" w:color="auto" w:fill="auto"/>
            <w:vAlign w:val="bottom"/>
          </w:tcPr>
          <w:p w:rsidR="008637A8" w:rsidRPr="00DE475B" w:rsidRDefault="008637A8" w:rsidP="00A056EE">
            <w:pPr>
              <w:jc w:val="right"/>
              <w:rPr>
                <w:rFonts w:ascii="Arial" w:hAnsi="Arial" w:cs="Arial"/>
                <w:sz w:val="20"/>
                <w:szCs w:val="20"/>
              </w:rPr>
            </w:pPr>
          </w:p>
        </w:tc>
        <w:tc>
          <w:tcPr>
            <w:tcW w:w="956" w:type="dxa"/>
            <w:shd w:val="clear" w:color="auto" w:fill="auto"/>
            <w:vAlign w:val="bottom"/>
          </w:tcPr>
          <w:p w:rsidR="008637A8" w:rsidRPr="00DE475B" w:rsidRDefault="008637A8" w:rsidP="00A056EE">
            <w:pPr>
              <w:jc w:val="right"/>
              <w:rPr>
                <w:rFonts w:ascii="Arial" w:hAnsi="Arial" w:cs="Arial"/>
                <w:sz w:val="20"/>
                <w:szCs w:val="20"/>
              </w:rPr>
            </w:pPr>
          </w:p>
        </w:tc>
      </w:tr>
      <w:tr w:rsidR="008637A8" w:rsidRPr="00DE475B" w:rsidTr="00AD2F55">
        <w:trPr>
          <w:trHeight w:val="255"/>
        </w:trPr>
        <w:tc>
          <w:tcPr>
            <w:tcW w:w="5779" w:type="dxa"/>
            <w:gridSpan w:val="5"/>
            <w:shd w:val="clear" w:color="auto" w:fill="auto"/>
          </w:tcPr>
          <w:p w:rsidR="008637A8" w:rsidRPr="00DE475B" w:rsidRDefault="008637A8" w:rsidP="008637A8">
            <w:pPr>
              <w:rPr>
                <w:rFonts w:ascii="Arial" w:hAnsi="Arial" w:cs="Arial"/>
                <w:sz w:val="20"/>
                <w:szCs w:val="20"/>
              </w:rPr>
            </w:pPr>
            <w:r w:rsidRPr="00DE475B">
              <w:rPr>
                <w:rFonts w:ascii="Arial" w:hAnsi="Arial" w:cs="Arial"/>
                <w:b/>
                <w:bCs/>
                <w:i/>
                <w:iCs/>
                <w:sz w:val="20"/>
                <w:szCs w:val="20"/>
              </w:rPr>
              <w:t>Non-cancellable operating lease commitments</w:t>
            </w:r>
          </w:p>
        </w:tc>
        <w:tc>
          <w:tcPr>
            <w:tcW w:w="956" w:type="dxa"/>
            <w:shd w:val="clear" w:color="auto" w:fill="auto"/>
            <w:vAlign w:val="bottom"/>
          </w:tcPr>
          <w:p w:rsidR="008637A8" w:rsidRPr="00DE475B" w:rsidRDefault="008637A8" w:rsidP="00A056EE">
            <w:pPr>
              <w:jc w:val="right"/>
              <w:rPr>
                <w:rFonts w:ascii="Arial" w:hAnsi="Arial" w:cs="Arial"/>
                <w:sz w:val="20"/>
                <w:szCs w:val="20"/>
              </w:rPr>
            </w:pPr>
          </w:p>
        </w:tc>
        <w:tc>
          <w:tcPr>
            <w:tcW w:w="956" w:type="dxa"/>
            <w:shd w:val="clear" w:color="auto" w:fill="auto"/>
            <w:vAlign w:val="bottom"/>
          </w:tcPr>
          <w:p w:rsidR="008637A8" w:rsidRPr="00DE475B" w:rsidRDefault="008637A8" w:rsidP="00A056EE">
            <w:pPr>
              <w:jc w:val="right"/>
              <w:rPr>
                <w:rFonts w:ascii="Arial" w:hAnsi="Arial" w:cs="Arial"/>
                <w:sz w:val="20"/>
                <w:szCs w:val="20"/>
              </w:rPr>
            </w:pPr>
          </w:p>
        </w:tc>
        <w:tc>
          <w:tcPr>
            <w:tcW w:w="956" w:type="dxa"/>
            <w:shd w:val="clear" w:color="auto" w:fill="auto"/>
            <w:vAlign w:val="bottom"/>
          </w:tcPr>
          <w:p w:rsidR="008637A8" w:rsidRPr="00DE475B" w:rsidRDefault="008637A8" w:rsidP="00A056EE">
            <w:pPr>
              <w:jc w:val="right"/>
              <w:rPr>
                <w:rFonts w:ascii="Arial" w:hAnsi="Arial" w:cs="Arial"/>
                <w:sz w:val="20"/>
                <w:szCs w:val="20"/>
              </w:rPr>
            </w:pPr>
          </w:p>
        </w:tc>
      </w:tr>
      <w:tr w:rsidR="008637A8" w:rsidRPr="00DE475B" w:rsidTr="00AD2F55">
        <w:trPr>
          <w:trHeight w:val="255"/>
        </w:trPr>
        <w:tc>
          <w:tcPr>
            <w:tcW w:w="8647" w:type="dxa"/>
            <w:gridSpan w:val="8"/>
            <w:shd w:val="clear" w:color="auto" w:fill="auto"/>
            <w:vAlign w:val="bottom"/>
          </w:tcPr>
          <w:p w:rsidR="008637A8" w:rsidRPr="00DE475B" w:rsidRDefault="008637A8" w:rsidP="00AD2F55">
            <w:pPr>
              <w:rPr>
                <w:rFonts w:ascii="Arial" w:hAnsi="Arial" w:cs="Arial"/>
                <w:sz w:val="20"/>
                <w:szCs w:val="20"/>
              </w:rPr>
            </w:pPr>
            <w:r w:rsidRPr="00DE475B">
              <w:rPr>
                <w:rFonts w:ascii="Arial" w:hAnsi="Arial" w:cs="Arial"/>
                <w:sz w:val="20"/>
                <w:szCs w:val="20"/>
              </w:rPr>
              <w:t xml:space="preserve">Commitments under operating leases at reporting date are inclusive of </w:t>
            </w:r>
            <w:r w:rsidR="00AD2F55" w:rsidRPr="00DE475B">
              <w:rPr>
                <w:rFonts w:ascii="Arial" w:hAnsi="Arial" w:cs="Arial"/>
                <w:sz w:val="20"/>
                <w:szCs w:val="20"/>
              </w:rPr>
              <w:t>non-recoverable</w:t>
            </w:r>
            <w:r w:rsidRPr="00DE475B">
              <w:rPr>
                <w:rFonts w:ascii="Arial" w:hAnsi="Arial" w:cs="Arial"/>
                <w:sz w:val="20"/>
                <w:szCs w:val="20"/>
              </w:rPr>
              <w:t xml:space="preserve"> GST </w:t>
            </w:r>
            <w:r w:rsidR="00AD2F55" w:rsidRPr="00DE475B">
              <w:rPr>
                <w:rFonts w:ascii="Arial" w:hAnsi="Arial" w:cs="Arial"/>
                <w:sz w:val="20"/>
                <w:szCs w:val="20"/>
              </w:rPr>
              <w:t xml:space="preserve">only </w:t>
            </w:r>
            <w:r w:rsidRPr="00DE475B">
              <w:rPr>
                <w:rFonts w:ascii="Arial" w:hAnsi="Arial" w:cs="Arial"/>
                <w:sz w:val="20"/>
                <w:szCs w:val="20"/>
              </w:rPr>
              <w:t>and are payable as follows:</w:t>
            </w:r>
          </w:p>
        </w:tc>
      </w:tr>
      <w:tr w:rsidR="007D1DE7" w:rsidRPr="00DE475B" w:rsidTr="00AD2F55">
        <w:trPr>
          <w:trHeight w:val="255"/>
        </w:trPr>
        <w:tc>
          <w:tcPr>
            <w:tcW w:w="4823" w:type="dxa"/>
            <w:gridSpan w:val="4"/>
            <w:shd w:val="clear" w:color="auto" w:fill="auto"/>
            <w:vAlign w:val="bottom"/>
          </w:tcPr>
          <w:p w:rsidR="007D1DE7" w:rsidRPr="00DE475B" w:rsidRDefault="009D6102" w:rsidP="00A056EE">
            <w:pPr>
              <w:rPr>
                <w:rFonts w:ascii="Arial" w:hAnsi="Arial" w:cs="Arial"/>
                <w:b/>
                <w:bCs/>
                <w:sz w:val="20"/>
                <w:szCs w:val="20"/>
              </w:rPr>
            </w:pPr>
            <w:r>
              <w:rPr>
                <w:rFonts w:ascii="Arial" w:hAnsi="Arial" w:cs="Arial"/>
                <w:sz w:val="20"/>
                <w:szCs w:val="20"/>
              </w:rPr>
              <w:t xml:space="preserve">  </w:t>
            </w:r>
            <w:r w:rsidR="007D1DE7" w:rsidRPr="00DE475B">
              <w:rPr>
                <w:rFonts w:ascii="Arial" w:hAnsi="Arial" w:cs="Arial"/>
                <w:sz w:val="20"/>
                <w:szCs w:val="20"/>
              </w:rPr>
              <w:t>Not later than one year</w:t>
            </w:r>
          </w:p>
        </w:tc>
        <w:tc>
          <w:tcPr>
            <w:tcW w:w="956" w:type="dxa"/>
            <w:shd w:val="clear" w:color="auto" w:fill="auto"/>
            <w:vAlign w:val="bottom"/>
          </w:tcPr>
          <w:p w:rsidR="007D1DE7" w:rsidRPr="00DE475B" w:rsidRDefault="001F6E07" w:rsidP="00AD2F55">
            <w:pPr>
              <w:jc w:val="right"/>
              <w:rPr>
                <w:rFonts w:ascii="Arial" w:hAnsi="Arial" w:cs="Arial"/>
                <w:sz w:val="20"/>
                <w:szCs w:val="20"/>
              </w:rPr>
            </w:pPr>
            <w:r>
              <w:rPr>
                <w:rFonts w:ascii="Arial" w:hAnsi="Arial" w:cs="Arial"/>
                <w:sz w:val="20"/>
                <w:szCs w:val="20"/>
              </w:rPr>
              <w:t>502</w:t>
            </w:r>
          </w:p>
        </w:tc>
        <w:tc>
          <w:tcPr>
            <w:tcW w:w="956" w:type="dxa"/>
            <w:shd w:val="clear" w:color="auto" w:fill="auto"/>
            <w:vAlign w:val="bottom"/>
          </w:tcPr>
          <w:p w:rsidR="007D1DE7" w:rsidRPr="00DE475B" w:rsidRDefault="007D1DE7" w:rsidP="00A2292F">
            <w:pPr>
              <w:jc w:val="right"/>
              <w:rPr>
                <w:rFonts w:ascii="Arial" w:hAnsi="Arial" w:cs="Arial"/>
                <w:sz w:val="20"/>
                <w:szCs w:val="20"/>
              </w:rPr>
            </w:pPr>
            <w:r w:rsidRPr="00DE475B">
              <w:rPr>
                <w:rFonts w:ascii="Arial" w:hAnsi="Arial" w:cs="Arial"/>
                <w:sz w:val="20"/>
                <w:szCs w:val="20"/>
              </w:rPr>
              <w:t>252</w:t>
            </w:r>
          </w:p>
        </w:tc>
        <w:tc>
          <w:tcPr>
            <w:tcW w:w="956" w:type="dxa"/>
            <w:shd w:val="clear" w:color="auto" w:fill="auto"/>
            <w:vAlign w:val="bottom"/>
          </w:tcPr>
          <w:p w:rsidR="007D1DE7" w:rsidRPr="00DE475B" w:rsidRDefault="001F6E07" w:rsidP="00A2292F">
            <w:pPr>
              <w:jc w:val="right"/>
              <w:rPr>
                <w:rFonts w:ascii="Arial" w:hAnsi="Arial" w:cs="Arial"/>
                <w:sz w:val="20"/>
                <w:szCs w:val="20"/>
              </w:rPr>
            </w:pPr>
            <w:r>
              <w:rPr>
                <w:rFonts w:ascii="Arial" w:hAnsi="Arial" w:cs="Arial"/>
                <w:sz w:val="20"/>
                <w:szCs w:val="20"/>
              </w:rPr>
              <w:t>502</w:t>
            </w:r>
          </w:p>
        </w:tc>
        <w:tc>
          <w:tcPr>
            <w:tcW w:w="956" w:type="dxa"/>
            <w:shd w:val="clear" w:color="auto" w:fill="auto"/>
            <w:vAlign w:val="bottom"/>
          </w:tcPr>
          <w:p w:rsidR="007D1DE7" w:rsidRPr="00DE475B" w:rsidRDefault="007D1DE7" w:rsidP="00A2292F">
            <w:pPr>
              <w:jc w:val="right"/>
              <w:rPr>
                <w:rFonts w:ascii="Arial" w:hAnsi="Arial" w:cs="Arial"/>
                <w:sz w:val="20"/>
                <w:szCs w:val="20"/>
              </w:rPr>
            </w:pPr>
            <w:r w:rsidRPr="00DE475B">
              <w:rPr>
                <w:rFonts w:ascii="Arial" w:hAnsi="Arial" w:cs="Arial"/>
                <w:sz w:val="20"/>
                <w:szCs w:val="20"/>
              </w:rPr>
              <w:t>252</w:t>
            </w:r>
          </w:p>
        </w:tc>
      </w:tr>
      <w:tr w:rsidR="007D1DE7" w:rsidRPr="00DE475B" w:rsidTr="00AD2F55">
        <w:trPr>
          <w:trHeight w:val="255"/>
        </w:trPr>
        <w:tc>
          <w:tcPr>
            <w:tcW w:w="4823" w:type="dxa"/>
            <w:gridSpan w:val="4"/>
            <w:shd w:val="clear" w:color="auto" w:fill="auto"/>
            <w:vAlign w:val="bottom"/>
          </w:tcPr>
          <w:p w:rsidR="007D1DE7" w:rsidRPr="00DE475B" w:rsidRDefault="009D6102" w:rsidP="00A056EE">
            <w:pPr>
              <w:rPr>
                <w:rFonts w:ascii="Arial" w:hAnsi="Arial" w:cs="Arial"/>
                <w:b/>
                <w:bCs/>
                <w:sz w:val="20"/>
                <w:szCs w:val="20"/>
              </w:rPr>
            </w:pPr>
            <w:r>
              <w:rPr>
                <w:rFonts w:ascii="Arial" w:hAnsi="Arial" w:cs="Arial"/>
                <w:sz w:val="20"/>
                <w:szCs w:val="20"/>
              </w:rPr>
              <w:t xml:space="preserve">  </w:t>
            </w:r>
            <w:r w:rsidR="007D1DE7" w:rsidRPr="00DE475B">
              <w:rPr>
                <w:rFonts w:ascii="Arial" w:hAnsi="Arial" w:cs="Arial"/>
                <w:sz w:val="20"/>
                <w:szCs w:val="20"/>
              </w:rPr>
              <w:t>Later than one year and not later than five years</w:t>
            </w:r>
          </w:p>
        </w:tc>
        <w:tc>
          <w:tcPr>
            <w:tcW w:w="956" w:type="dxa"/>
            <w:shd w:val="clear" w:color="auto" w:fill="auto"/>
            <w:vAlign w:val="bottom"/>
          </w:tcPr>
          <w:p w:rsidR="007D1DE7" w:rsidRPr="00DE475B" w:rsidRDefault="001F6E07" w:rsidP="00A056EE">
            <w:pPr>
              <w:jc w:val="right"/>
              <w:rPr>
                <w:rFonts w:ascii="Arial" w:hAnsi="Arial" w:cs="Arial"/>
                <w:sz w:val="20"/>
                <w:szCs w:val="20"/>
              </w:rPr>
            </w:pPr>
            <w:r>
              <w:rPr>
                <w:rFonts w:ascii="Arial" w:hAnsi="Arial" w:cs="Arial"/>
                <w:sz w:val="20"/>
                <w:szCs w:val="20"/>
              </w:rPr>
              <w:t>1,941</w:t>
            </w:r>
          </w:p>
        </w:tc>
        <w:tc>
          <w:tcPr>
            <w:tcW w:w="956" w:type="dxa"/>
            <w:shd w:val="clear" w:color="auto" w:fill="auto"/>
            <w:vAlign w:val="bottom"/>
          </w:tcPr>
          <w:p w:rsidR="007D1DE7" w:rsidRPr="00DE475B" w:rsidRDefault="007D1DE7" w:rsidP="00A2292F">
            <w:pPr>
              <w:jc w:val="right"/>
              <w:rPr>
                <w:rFonts w:ascii="Arial" w:hAnsi="Arial" w:cs="Arial"/>
                <w:sz w:val="20"/>
                <w:szCs w:val="20"/>
              </w:rPr>
            </w:pPr>
            <w:r w:rsidRPr="00DE475B">
              <w:rPr>
                <w:rFonts w:ascii="Arial" w:hAnsi="Arial" w:cs="Arial"/>
                <w:sz w:val="20"/>
                <w:szCs w:val="20"/>
              </w:rPr>
              <w:t>195</w:t>
            </w:r>
          </w:p>
        </w:tc>
        <w:tc>
          <w:tcPr>
            <w:tcW w:w="956" w:type="dxa"/>
            <w:shd w:val="clear" w:color="auto" w:fill="auto"/>
            <w:vAlign w:val="bottom"/>
          </w:tcPr>
          <w:p w:rsidR="007D1DE7" w:rsidRPr="00DE475B" w:rsidRDefault="001F6E07" w:rsidP="00A2292F">
            <w:pPr>
              <w:jc w:val="right"/>
              <w:rPr>
                <w:rFonts w:ascii="Arial" w:hAnsi="Arial" w:cs="Arial"/>
                <w:sz w:val="20"/>
                <w:szCs w:val="20"/>
              </w:rPr>
            </w:pPr>
            <w:r>
              <w:rPr>
                <w:rFonts w:ascii="Arial" w:hAnsi="Arial" w:cs="Arial"/>
                <w:sz w:val="20"/>
                <w:szCs w:val="20"/>
              </w:rPr>
              <w:t>1,941</w:t>
            </w:r>
          </w:p>
        </w:tc>
        <w:tc>
          <w:tcPr>
            <w:tcW w:w="956" w:type="dxa"/>
            <w:shd w:val="clear" w:color="auto" w:fill="auto"/>
            <w:vAlign w:val="bottom"/>
          </w:tcPr>
          <w:p w:rsidR="007D1DE7" w:rsidRPr="00DE475B" w:rsidRDefault="007D1DE7" w:rsidP="00A2292F">
            <w:pPr>
              <w:jc w:val="right"/>
              <w:rPr>
                <w:rFonts w:ascii="Arial" w:hAnsi="Arial" w:cs="Arial"/>
                <w:sz w:val="20"/>
                <w:szCs w:val="20"/>
              </w:rPr>
            </w:pPr>
            <w:r w:rsidRPr="00DE475B">
              <w:rPr>
                <w:rFonts w:ascii="Arial" w:hAnsi="Arial" w:cs="Arial"/>
                <w:sz w:val="20"/>
                <w:szCs w:val="20"/>
              </w:rPr>
              <w:t>195</w:t>
            </w:r>
          </w:p>
        </w:tc>
      </w:tr>
      <w:tr w:rsidR="007D1DE7" w:rsidRPr="00DE475B" w:rsidTr="00AD2F55">
        <w:trPr>
          <w:trHeight w:val="255"/>
        </w:trPr>
        <w:tc>
          <w:tcPr>
            <w:tcW w:w="4823" w:type="dxa"/>
            <w:gridSpan w:val="4"/>
            <w:shd w:val="clear" w:color="auto" w:fill="auto"/>
            <w:vAlign w:val="bottom"/>
          </w:tcPr>
          <w:p w:rsidR="007D1DE7" w:rsidRPr="00DE475B" w:rsidRDefault="009D6102" w:rsidP="00A056EE">
            <w:pPr>
              <w:rPr>
                <w:rFonts w:ascii="Arial" w:hAnsi="Arial" w:cs="Arial"/>
                <w:sz w:val="20"/>
                <w:szCs w:val="20"/>
              </w:rPr>
            </w:pPr>
            <w:r>
              <w:rPr>
                <w:rFonts w:ascii="Arial" w:hAnsi="Arial" w:cs="Arial"/>
                <w:sz w:val="20"/>
                <w:szCs w:val="20"/>
              </w:rPr>
              <w:t xml:space="preserve">  </w:t>
            </w:r>
            <w:r w:rsidR="007D1DE7">
              <w:rPr>
                <w:rFonts w:ascii="Arial" w:hAnsi="Arial" w:cs="Arial"/>
                <w:sz w:val="20"/>
                <w:szCs w:val="20"/>
              </w:rPr>
              <w:t>Later than five years</w:t>
            </w:r>
          </w:p>
        </w:tc>
        <w:tc>
          <w:tcPr>
            <w:tcW w:w="956" w:type="dxa"/>
            <w:shd w:val="clear" w:color="auto" w:fill="auto"/>
            <w:vAlign w:val="bottom"/>
          </w:tcPr>
          <w:p w:rsidR="007D1DE7" w:rsidRPr="00DE475B" w:rsidRDefault="001F6E07" w:rsidP="00A056EE">
            <w:pPr>
              <w:jc w:val="right"/>
              <w:rPr>
                <w:rFonts w:ascii="Arial" w:hAnsi="Arial" w:cs="Arial"/>
                <w:sz w:val="20"/>
                <w:szCs w:val="20"/>
              </w:rPr>
            </w:pPr>
            <w:r>
              <w:rPr>
                <w:rFonts w:ascii="Arial" w:hAnsi="Arial" w:cs="Arial"/>
                <w:sz w:val="20"/>
                <w:szCs w:val="20"/>
              </w:rPr>
              <w:t>2,976</w:t>
            </w:r>
          </w:p>
        </w:tc>
        <w:tc>
          <w:tcPr>
            <w:tcW w:w="956" w:type="dxa"/>
            <w:shd w:val="clear" w:color="auto" w:fill="auto"/>
            <w:vAlign w:val="bottom"/>
          </w:tcPr>
          <w:p w:rsidR="007D1DE7" w:rsidRPr="00DE475B" w:rsidRDefault="001F6E07" w:rsidP="00A056EE">
            <w:pPr>
              <w:jc w:val="right"/>
              <w:rPr>
                <w:rFonts w:ascii="Arial" w:hAnsi="Arial" w:cs="Arial"/>
                <w:sz w:val="20"/>
                <w:szCs w:val="20"/>
              </w:rPr>
            </w:pPr>
            <w:r>
              <w:rPr>
                <w:rFonts w:ascii="Arial" w:hAnsi="Arial" w:cs="Arial"/>
                <w:sz w:val="20"/>
                <w:szCs w:val="20"/>
              </w:rPr>
              <w:t>-</w:t>
            </w:r>
          </w:p>
        </w:tc>
        <w:tc>
          <w:tcPr>
            <w:tcW w:w="956" w:type="dxa"/>
            <w:shd w:val="clear" w:color="auto" w:fill="auto"/>
            <w:vAlign w:val="bottom"/>
          </w:tcPr>
          <w:p w:rsidR="007D1DE7" w:rsidRPr="00DE475B" w:rsidRDefault="001F6E07" w:rsidP="00206538">
            <w:pPr>
              <w:jc w:val="right"/>
              <w:rPr>
                <w:rFonts w:ascii="Arial" w:hAnsi="Arial" w:cs="Arial"/>
                <w:sz w:val="20"/>
                <w:szCs w:val="20"/>
              </w:rPr>
            </w:pPr>
            <w:r>
              <w:rPr>
                <w:rFonts w:ascii="Arial" w:hAnsi="Arial" w:cs="Arial"/>
                <w:sz w:val="20"/>
                <w:szCs w:val="20"/>
              </w:rPr>
              <w:t>2,976</w:t>
            </w:r>
          </w:p>
        </w:tc>
        <w:tc>
          <w:tcPr>
            <w:tcW w:w="956" w:type="dxa"/>
            <w:shd w:val="clear" w:color="auto" w:fill="auto"/>
            <w:vAlign w:val="bottom"/>
          </w:tcPr>
          <w:p w:rsidR="007D1DE7" w:rsidRPr="00DE475B" w:rsidRDefault="001F6E07" w:rsidP="00A056EE">
            <w:pPr>
              <w:jc w:val="right"/>
              <w:rPr>
                <w:rFonts w:ascii="Arial" w:hAnsi="Arial" w:cs="Arial"/>
                <w:sz w:val="20"/>
                <w:szCs w:val="20"/>
              </w:rPr>
            </w:pPr>
            <w:r>
              <w:rPr>
                <w:rFonts w:ascii="Arial" w:hAnsi="Arial" w:cs="Arial"/>
                <w:sz w:val="20"/>
                <w:szCs w:val="20"/>
              </w:rPr>
              <w:t>-</w:t>
            </w:r>
          </w:p>
        </w:tc>
      </w:tr>
      <w:tr w:rsidR="007D1DE7" w:rsidRPr="00DE475B" w:rsidTr="00AD2F55">
        <w:trPr>
          <w:trHeight w:val="255"/>
        </w:trPr>
        <w:tc>
          <w:tcPr>
            <w:tcW w:w="449" w:type="dxa"/>
            <w:shd w:val="clear" w:color="auto" w:fill="auto"/>
            <w:vAlign w:val="bottom"/>
          </w:tcPr>
          <w:p w:rsidR="007D1DE7" w:rsidRPr="00DE475B" w:rsidRDefault="007D1DE7" w:rsidP="00A056EE">
            <w:pPr>
              <w:rPr>
                <w:rFonts w:ascii="Arial" w:hAnsi="Arial" w:cs="Arial"/>
                <w:b/>
                <w:bCs/>
                <w:sz w:val="20"/>
                <w:szCs w:val="20"/>
              </w:rPr>
            </w:pPr>
          </w:p>
        </w:tc>
        <w:tc>
          <w:tcPr>
            <w:tcW w:w="1157" w:type="dxa"/>
            <w:shd w:val="clear" w:color="auto" w:fill="auto"/>
            <w:vAlign w:val="bottom"/>
          </w:tcPr>
          <w:p w:rsidR="007D1DE7" w:rsidRPr="00DE475B" w:rsidRDefault="007D1DE7" w:rsidP="00A056EE">
            <w:pPr>
              <w:rPr>
                <w:rFonts w:ascii="Arial" w:hAnsi="Arial" w:cs="Arial"/>
                <w:b/>
                <w:bCs/>
                <w:sz w:val="20"/>
                <w:szCs w:val="20"/>
              </w:rPr>
            </w:pPr>
          </w:p>
        </w:tc>
        <w:tc>
          <w:tcPr>
            <w:tcW w:w="805" w:type="dxa"/>
            <w:shd w:val="clear" w:color="auto" w:fill="auto"/>
            <w:vAlign w:val="bottom"/>
          </w:tcPr>
          <w:p w:rsidR="007D1DE7" w:rsidRPr="00DE475B" w:rsidRDefault="007D1DE7" w:rsidP="00A056EE">
            <w:pPr>
              <w:rPr>
                <w:rFonts w:ascii="Arial" w:hAnsi="Arial" w:cs="Arial"/>
                <w:b/>
                <w:bCs/>
                <w:sz w:val="20"/>
                <w:szCs w:val="20"/>
              </w:rPr>
            </w:pPr>
          </w:p>
        </w:tc>
        <w:tc>
          <w:tcPr>
            <w:tcW w:w="2412" w:type="dxa"/>
            <w:shd w:val="clear" w:color="auto" w:fill="auto"/>
            <w:vAlign w:val="bottom"/>
          </w:tcPr>
          <w:p w:rsidR="007D1DE7" w:rsidRPr="00DE475B" w:rsidRDefault="007D1DE7" w:rsidP="00A056EE">
            <w:pPr>
              <w:rPr>
                <w:rFonts w:ascii="Arial" w:hAnsi="Arial" w:cs="Arial"/>
                <w:b/>
                <w:bCs/>
                <w:sz w:val="20"/>
                <w:szCs w:val="20"/>
              </w:rPr>
            </w:pPr>
          </w:p>
        </w:tc>
        <w:tc>
          <w:tcPr>
            <w:tcW w:w="956" w:type="dxa"/>
            <w:tcBorders>
              <w:bottom w:val="single" w:sz="8" w:space="0" w:color="000000"/>
            </w:tcBorders>
            <w:shd w:val="clear" w:color="auto" w:fill="auto"/>
            <w:vAlign w:val="bottom"/>
          </w:tcPr>
          <w:p w:rsidR="007D1DE7" w:rsidRPr="00DE475B" w:rsidRDefault="007D1DE7" w:rsidP="00A056EE">
            <w:pPr>
              <w:jc w:val="right"/>
              <w:rPr>
                <w:rFonts w:ascii="Arial" w:hAnsi="Arial" w:cs="Arial"/>
                <w:sz w:val="20"/>
                <w:szCs w:val="20"/>
              </w:rPr>
            </w:pPr>
          </w:p>
        </w:tc>
        <w:tc>
          <w:tcPr>
            <w:tcW w:w="956" w:type="dxa"/>
            <w:tcBorders>
              <w:bottom w:val="single" w:sz="8" w:space="0" w:color="000000"/>
            </w:tcBorders>
            <w:shd w:val="clear" w:color="auto" w:fill="auto"/>
            <w:vAlign w:val="bottom"/>
          </w:tcPr>
          <w:p w:rsidR="007D1DE7" w:rsidRPr="00DE475B" w:rsidRDefault="007D1DE7" w:rsidP="00A056EE">
            <w:pPr>
              <w:jc w:val="right"/>
              <w:rPr>
                <w:rFonts w:ascii="Arial" w:hAnsi="Arial" w:cs="Arial"/>
                <w:sz w:val="20"/>
                <w:szCs w:val="20"/>
              </w:rPr>
            </w:pPr>
          </w:p>
        </w:tc>
        <w:tc>
          <w:tcPr>
            <w:tcW w:w="956" w:type="dxa"/>
            <w:tcBorders>
              <w:bottom w:val="single" w:sz="8" w:space="0" w:color="000000"/>
            </w:tcBorders>
            <w:shd w:val="clear" w:color="auto" w:fill="auto"/>
            <w:vAlign w:val="bottom"/>
          </w:tcPr>
          <w:p w:rsidR="007D1DE7" w:rsidRPr="00DE475B" w:rsidRDefault="007D1DE7" w:rsidP="00A056EE">
            <w:pPr>
              <w:jc w:val="right"/>
              <w:rPr>
                <w:rFonts w:ascii="Arial" w:hAnsi="Arial" w:cs="Arial"/>
                <w:sz w:val="20"/>
                <w:szCs w:val="20"/>
              </w:rPr>
            </w:pPr>
          </w:p>
        </w:tc>
        <w:tc>
          <w:tcPr>
            <w:tcW w:w="956" w:type="dxa"/>
            <w:tcBorders>
              <w:bottom w:val="single" w:sz="8" w:space="0" w:color="000000"/>
            </w:tcBorders>
            <w:shd w:val="clear" w:color="auto" w:fill="auto"/>
            <w:vAlign w:val="bottom"/>
          </w:tcPr>
          <w:p w:rsidR="007D1DE7" w:rsidRPr="00DE475B" w:rsidRDefault="007D1DE7" w:rsidP="00A056EE">
            <w:pPr>
              <w:jc w:val="right"/>
              <w:rPr>
                <w:rFonts w:ascii="Arial" w:hAnsi="Arial" w:cs="Arial"/>
                <w:sz w:val="20"/>
                <w:szCs w:val="20"/>
              </w:rPr>
            </w:pPr>
          </w:p>
        </w:tc>
      </w:tr>
      <w:tr w:rsidR="007D1DE7" w:rsidRPr="00DE475B" w:rsidTr="0054075F">
        <w:trPr>
          <w:trHeight w:val="353"/>
        </w:trPr>
        <w:tc>
          <w:tcPr>
            <w:tcW w:w="449" w:type="dxa"/>
            <w:shd w:val="clear" w:color="auto" w:fill="auto"/>
            <w:vAlign w:val="bottom"/>
          </w:tcPr>
          <w:p w:rsidR="007D1DE7" w:rsidRPr="00DE475B" w:rsidRDefault="007D1DE7" w:rsidP="00A056EE">
            <w:pPr>
              <w:rPr>
                <w:rFonts w:ascii="Arial" w:hAnsi="Arial" w:cs="Arial"/>
                <w:b/>
                <w:bCs/>
                <w:sz w:val="20"/>
                <w:szCs w:val="20"/>
              </w:rPr>
            </w:pPr>
          </w:p>
        </w:tc>
        <w:tc>
          <w:tcPr>
            <w:tcW w:w="1157" w:type="dxa"/>
            <w:shd w:val="clear" w:color="auto" w:fill="auto"/>
            <w:vAlign w:val="bottom"/>
          </w:tcPr>
          <w:p w:rsidR="007D1DE7" w:rsidRPr="00DE475B" w:rsidRDefault="007D1DE7" w:rsidP="00A056EE">
            <w:pPr>
              <w:rPr>
                <w:rFonts w:ascii="Arial" w:hAnsi="Arial" w:cs="Arial"/>
                <w:b/>
                <w:bCs/>
                <w:sz w:val="20"/>
                <w:szCs w:val="20"/>
              </w:rPr>
            </w:pPr>
          </w:p>
        </w:tc>
        <w:tc>
          <w:tcPr>
            <w:tcW w:w="805" w:type="dxa"/>
            <w:shd w:val="clear" w:color="auto" w:fill="auto"/>
            <w:vAlign w:val="bottom"/>
          </w:tcPr>
          <w:p w:rsidR="007D1DE7" w:rsidRPr="00DE475B" w:rsidRDefault="007D1DE7" w:rsidP="00A056EE">
            <w:pPr>
              <w:rPr>
                <w:rFonts w:ascii="Arial" w:hAnsi="Arial" w:cs="Arial"/>
                <w:b/>
                <w:bCs/>
                <w:sz w:val="20"/>
                <w:szCs w:val="20"/>
              </w:rPr>
            </w:pPr>
          </w:p>
        </w:tc>
        <w:tc>
          <w:tcPr>
            <w:tcW w:w="2412" w:type="dxa"/>
            <w:shd w:val="clear" w:color="auto" w:fill="auto"/>
            <w:vAlign w:val="bottom"/>
          </w:tcPr>
          <w:p w:rsidR="007D1DE7" w:rsidRPr="00DE475B" w:rsidRDefault="007D1DE7" w:rsidP="00A056EE">
            <w:pPr>
              <w:rPr>
                <w:rFonts w:ascii="Arial" w:hAnsi="Arial" w:cs="Arial"/>
                <w:b/>
                <w:bCs/>
                <w:sz w:val="20"/>
                <w:szCs w:val="20"/>
              </w:rPr>
            </w:pPr>
          </w:p>
        </w:tc>
        <w:tc>
          <w:tcPr>
            <w:tcW w:w="956" w:type="dxa"/>
            <w:tcBorders>
              <w:top w:val="single" w:sz="8" w:space="0" w:color="000000"/>
              <w:bottom w:val="single" w:sz="12" w:space="0" w:color="000000"/>
            </w:tcBorders>
            <w:shd w:val="clear" w:color="auto" w:fill="auto"/>
            <w:vAlign w:val="bottom"/>
          </w:tcPr>
          <w:p w:rsidR="007D1DE7" w:rsidRPr="00DE475B" w:rsidRDefault="001F6E07" w:rsidP="00A056EE">
            <w:pPr>
              <w:jc w:val="right"/>
              <w:rPr>
                <w:rFonts w:ascii="Arial" w:hAnsi="Arial" w:cs="Arial"/>
                <w:sz w:val="20"/>
                <w:szCs w:val="20"/>
              </w:rPr>
            </w:pPr>
            <w:r>
              <w:rPr>
                <w:rFonts w:ascii="Arial" w:hAnsi="Arial" w:cs="Arial"/>
                <w:sz w:val="20"/>
                <w:szCs w:val="20"/>
              </w:rPr>
              <w:t>5,419</w:t>
            </w:r>
          </w:p>
        </w:tc>
        <w:tc>
          <w:tcPr>
            <w:tcW w:w="956" w:type="dxa"/>
            <w:tcBorders>
              <w:top w:val="single" w:sz="8" w:space="0" w:color="000000"/>
              <w:bottom w:val="single" w:sz="12" w:space="0" w:color="000000"/>
            </w:tcBorders>
            <w:shd w:val="clear" w:color="auto" w:fill="auto"/>
            <w:vAlign w:val="bottom"/>
          </w:tcPr>
          <w:p w:rsidR="007D1DE7" w:rsidRPr="00DE475B" w:rsidRDefault="007D1DE7" w:rsidP="00A2292F">
            <w:pPr>
              <w:jc w:val="right"/>
              <w:rPr>
                <w:rFonts w:ascii="Arial" w:hAnsi="Arial" w:cs="Arial"/>
                <w:sz w:val="20"/>
                <w:szCs w:val="20"/>
              </w:rPr>
            </w:pPr>
            <w:r w:rsidRPr="00DE475B">
              <w:rPr>
                <w:rFonts w:ascii="Arial" w:hAnsi="Arial" w:cs="Arial"/>
                <w:sz w:val="20"/>
                <w:szCs w:val="20"/>
              </w:rPr>
              <w:t>447</w:t>
            </w:r>
          </w:p>
        </w:tc>
        <w:tc>
          <w:tcPr>
            <w:tcW w:w="956" w:type="dxa"/>
            <w:tcBorders>
              <w:top w:val="single" w:sz="8" w:space="0" w:color="000000"/>
              <w:bottom w:val="single" w:sz="12" w:space="0" w:color="000000"/>
            </w:tcBorders>
            <w:shd w:val="clear" w:color="auto" w:fill="auto"/>
            <w:vAlign w:val="bottom"/>
          </w:tcPr>
          <w:p w:rsidR="007D1DE7" w:rsidRPr="00DE475B" w:rsidRDefault="001F6E07" w:rsidP="00A2292F">
            <w:pPr>
              <w:jc w:val="right"/>
              <w:rPr>
                <w:rFonts w:ascii="Arial" w:hAnsi="Arial" w:cs="Arial"/>
                <w:sz w:val="20"/>
                <w:szCs w:val="20"/>
              </w:rPr>
            </w:pPr>
            <w:r>
              <w:rPr>
                <w:rFonts w:ascii="Arial" w:hAnsi="Arial" w:cs="Arial"/>
                <w:sz w:val="20"/>
                <w:szCs w:val="20"/>
              </w:rPr>
              <w:t>5,419</w:t>
            </w:r>
          </w:p>
        </w:tc>
        <w:tc>
          <w:tcPr>
            <w:tcW w:w="956" w:type="dxa"/>
            <w:tcBorders>
              <w:top w:val="single" w:sz="8" w:space="0" w:color="000000"/>
              <w:bottom w:val="single" w:sz="12" w:space="0" w:color="000000"/>
            </w:tcBorders>
            <w:shd w:val="clear" w:color="auto" w:fill="auto"/>
            <w:vAlign w:val="bottom"/>
          </w:tcPr>
          <w:p w:rsidR="007D1DE7" w:rsidRPr="00DE475B" w:rsidRDefault="007D1DE7" w:rsidP="00A2292F">
            <w:pPr>
              <w:jc w:val="right"/>
              <w:rPr>
                <w:rFonts w:ascii="Arial" w:hAnsi="Arial" w:cs="Arial"/>
                <w:sz w:val="20"/>
                <w:szCs w:val="20"/>
              </w:rPr>
            </w:pPr>
            <w:r w:rsidRPr="00DE475B">
              <w:rPr>
                <w:rFonts w:ascii="Arial" w:hAnsi="Arial" w:cs="Arial"/>
                <w:sz w:val="20"/>
                <w:szCs w:val="20"/>
              </w:rPr>
              <w:t>447</w:t>
            </w:r>
          </w:p>
        </w:tc>
      </w:tr>
    </w:tbl>
    <w:p w:rsidR="004174C2" w:rsidRPr="00DE475B" w:rsidRDefault="008637A8" w:rsidP="008637A8">
      <w:pPr>
        <w:spacing w:before="240" w:after="120"/>
        <w:rPr>
          <w:rFonts w:ascii="Arial" w:hAnsi="Arial" w:cs="Arial"/>
          <w:sz w:val="20"/>
          <w:szCs w:val="20"/>
        </w:rPr>
      </w:pPr>
      <w:r w:rsidRPr="00DE475B">
        <w:rPr>
          <w:rFonts w:ascii="Arial" w:hAnsi="Arial" w:cs="Arial"/>
          <w:sz w:val="20"/>
          <w:szCs w:val="20"/>
        </w:rPr>
        <w:t>Operating leases are entered into as a means of acquiring access to office accommodation necessary for effective operations. Lease payments are generally fixed, but with escalation clauses on which contingent rentals are determined.</w:t>
      </w:r>
    </w:p>
    <w:p w:rsidR="00251296" w:rsidRPr="00DE475B" w:rsidRDefault="008637A8" w:rsidP="008637A8">
      <w:pPr>
        <w:spacing w:after="120"/>
        <w:rPr>
          <w:rFonts w:ascii="Arial" w:hAnsi="Arial" w:cs="Arial"/>
          <w:sz w:val="20"/>
          <w:szCs w:val="20"/>
        </w:rPr>
      </w:pPr>
      <w:r w:rsidRPr="00DE475B">
        <w:rPr>
          <w:rFonts w:ascii="Arial" w:hAnsi="Arial" w:cs="Arial"/>
          <w:sz w:val="20"/>
          <w:szCs w:val="20"/>
        </w:rPr>
        <w:t>No renewal or purchase options exist in relation to operating leases and no operating leases contain restrictions on financing or other leasing activities.</w:t>
      </w:r>
    </w:p>
    <w:tbl>
      <w:tblPr>
        <w:tblW w:w="8647" w:type="dxa"/>
        <w:tblInd w:w="108" w:type="dxa"/>
        <w:tblLayout w:type="fixed"/>
        <w:tblLook w:val="0000" w:firstRow="0" w:lastRow="0" w:firstColumn="0" w:lastColumn="0" w:noHBand="0" w:noVBand="0"/>
      </w:tblPr>
      <w:tblGrid>
        <w:gridCol w:w="4803"/>
        <w:gridCol w:w="961"/>
        <w:gridCol w:w="961"/>
        <w:gridCol w:w="961"/>
        <w:gridCol w:w="961"/>
      </w:tblGrid>
      <w:tr w:rsidR="00251296" w:rsidRPr="00DE475B" w:rsidTr="007D1DE7">
        <w:trPr>
          <w:trHeight w:val="255"/>
        </w:trPr>
        <w:tc>
          <w:tcPr>
            <w:tcW w:w="8647" w:type="dxa"/>
            <w:gridSpan w:val="5"/>
            <w:shd w:val="clear" w:color="auto" w:fill="auto"/>
            <w:vAlign w:val="bottom"/>
          </w:tcPr>
          <w:p w:rsidR="00251296" w:rsidRPr="00DE475B" w:rsidRDefault="00251296" w:rsidP="00A056EE">
            <w:pPr>
              <w:rPr>
                <w:rFonts w:ascii="Arial" w:hAnsi="Arial" w:cs="Arial"/>
                <w:b/>
                <w:bCs/>
                <w:i/>
                <w:sz w:val="20"/>
                <w:szCs w:val="20"/>
              </w:rPr>
            </w:pPr>
            <w:r w:rsidRPr="00DE475B">
              <w:rPr>
                <w:rFonts w:ascii="Arial" w:hAnsi="Arial" w:cs="Arial"/>
                <w:b/>
                <w:bCs/>
                <w:i/>
                <w:sz w:val="20"/>
                <w:szCs w:val="20"/>
              </w:rPr>
              <w:t>Expenditure Commitments</w:t>
            </w:r>
          </w:p>
        </w:tc>
      </w:tr>
      <w:tr w:rsidR="00251296" w:rsidRPr="00DE475B" w:rsidTr="007D1DE7">
        <w:trPr>
          <w:trHeight w:val="330"/>
        </w:trPr>
        <w:tc>
          <w:tcPr>
            <w:tcW w:w="4803" w:type="dxa"/>
            <w:shd w:val="clear" w:color="auto" w:fill="auto"/>
            <w:vAlign w:val="bottom"/>
          </w:tcPr>
          <w:p w:rsidR="00251296" w:rsidRPr="00DE475B" w:rsidRDefault="00251296" w:rsidP="00A056EE">
            <w:pPr>
              <w:rPr>
                <w:rFonts w:ascii="Arial" w:hAnsi="Arial" w:cs="Arial"/>
                <w:b/>
                <w:bCs/>
                <w:sz w:val="20"/>
                <w:szCs w:val="20"/>
              </w:rPr>
            </w:pPr>
            <w:r w:rsidRPr="00DE475B">
              <w:rPr>
                <w:rFonts w:ascii="Arial" w:hAnsi="Arial" w:cs="Arial"/>
                <w:sz w:val="20"/>
                <w:szCs w:val="20"/>
              </w:rPr>
              <w:t>Payable</w:t>
            </w:r>
          </w:p>
        </w:tc>
        <w:tc>
          <w:tcPr>
            <w:tcW w:w="961" w:type="dxa"/>
            <w:shd w:val="clear" w:color="auto" w:fill="auto"/>
            <w:vAlign w:val="bottom"/>
          </w:tcPr>
          <w:p w:rsidR="00251296" w:rsidRPr="00DE475B" w:rsidRDefault="00251296" w:rsidP="00A056EE">
            <w:pPr>
              <w:snapToGrid w:val="0"/>
              <w:jc w:val="right"/>
              <w:rPr>
                <w:rFonts w:ascii="Arial" w:hAnsi="Arial" w:cs="Arial"/>
                <w:b/>
                <w:bCs/>
                <w:sz w:val="20"/>
                <w:szCs w:val="20"/>
              </w:rPr>
            </w:pPr>
          </w:p>
        </w:tc>
        <w:tc>
          <w:tcPr>
            <w:tcW w:w="961" w:type="dxa"/>
            <w:shd w:val="clear" w:color="auto" w:fill="auto"/>
            <w:vAlign w:val="bottom"/>
          </w:tcPr>
          <w:p w:rsidR="00251296" w:rsidRPr="00DE475B" w:rsidRDefault="00251296" w:rsidP="00A056EE">
            <w:pPr>
              <w:snapToGrid w:val="0"/>
              <w:jc w:val="right"/>
              <w:rPr>
                <w:rFonts w:ascii="Arial" w:hAnsi="Arial" w:cs="Arial"/>
                <w:b/>
                <w:bCs/>
                <w:sz w:val="20"/>
                <w:szCs w:val="20"/>
              </w:rPr>
            </w:pPr>
          </w:p>
        </w:tc>
        <w:tc>
          <w:tcPr>
            <w:tcW w:w="961" w:type="dxa"/>
            <w:shd w:val="clear" w:color="auto" w:fill="auto"/>
            <w:vAlign w:val="bottom"/>
          </w:tcPr>
          <w:p w:rsidR="00251296" w:rsidRPr="00DE475B" w:rsidRDefault="00251296" w:rsidP="00A056EE">
            <w:pPr>
              <w:snapToGrid w:val="0"/>
              <w:jc w:val="right"/>
              <w:rPr>
                <w:rFonts w:ascii="Arial" w:hAnsi="Arial" w:cs="Arial"/>
                <w:b/>
                <w:bCs/>
                <w:sz w:val="20"/>
                <w:szCs w:val="20"/>
              </w:rPr>
            </w:pPr>
          </w:p>
        </w:tc>
        <w:tc>
          <w:tcPr>
            <w:tcW w:w="961" w:type="dxa"/>
            <w:shd w:val="clear" w:color="auto" w:fill="auto"/>
            <w:vAlign w:val="bottom"/>
          </w:tcPr>
          <w:p w:rsidR="00251296" w:rsidRPr="00DE475B" w:rsidRDefault="00251296" w:rsidP="00A056EE">
            <w:pPr>
              <w:snapToGrid w:val="0"/>
              <w:jc w:val="right"/>
              <w:rPr>
                <w:rFonts w:ascii="Arial" w:hAnsi="Arial" w:cs="Arial"/>
                <w:b/>
                <w:bCs/>
                <w:sz w:val="20"/>
                <w:szCs w:val="20"/>
              </w:rPr>
            </w:pPr>
          </w:p>
        </w:tc>
      </w:tr>
      <w:tr w:rsidR="007D1DE7" w:rsidRPr="00DE475B" w:rsidTr="007D1DE7">
        <w:trPr>
          <w:trHeight w:val="330"/>
        </w:trPr>
        <w:tc>
          <w:tcPr>
            <w:tcW w:w="4803" w:type="dxa"/>
            <w:shd w:val="clear" w:color="auto" w:fill="auto"/>
            <w:vAlign w:val="bottom"/>
          </w:tcPr>
          <w:p w:rsidR="007D1DE7" w:rsidRPr="00DE475B" w:rsidRDefault="009D6102" w:rsidP="00A056EE">
            <w:pPr>
              <w:rPr>
                <w:rFonts w:ascii="Arial" w:hAnsi="Arial" w:cs="Arial"/>
                <w:sz w:val="20"/>
                <w:szCs w:val="20"/>
              </w:rPr>
            </w:pPr>
            <w:r>
              <w:rPr>
                <w:rFonts w:ascii="Arial" w:hAnsi="Arial" w:cs="Arial"/>
                <w:sz w:val="20"/>
                <w:szCs w:val="20"/>
              </w:rPr>
              <w:t xml:space="preserve">  </w:t>
            </w:r>
            <w:r w:rsidR="007D1DE7" w:rsidRPr="00DE475B">
              <w:rPr>
                <w:rFonts w:ascii="Arial" w:hAnsi="Arial" w:cs="Arial"/>
                <w:sz w:val="20"/>
                <w:szCs w:val="20"/>
              </w:rPr>
              <w:t>Not later than one year*</w:t>
            </w:r>
          </w:p>
        </w:tc>
        <w:tc>
          <w:tcPr>
            <w:tcW w:w="961" w:type="dxa"/>
            <w:shd w:val="clear" w:color="auto" w:fill="auto"/>
            <w:vAlign w:val="bottom"/>
          </w:tcPr>
          <w:p w:rsidR="007D1DE7" w:rsidRPr="00DE475B" w:rsidRDefault="00D15DA1" w:rsidP="00A056EE">
            <w:pPr>
              <w:jc w:val="right"/>
              <w:rPr>
                <w:rFonts w:ascii="Arial" w:hAnsi="Arial" w:cs="Arial"/>
                <w:sz w:val="20"/>
                <w:szCs w:val="20"/>
              </w:rPr>
            </w:pPr>
            <w:r>
              <w:rPr>
                <w:rFonts w:ascii="Arial" w:hAnsi="Arial" w:cs="Arial"/>
                <w:sz w:val="20"/>
                <w:szCs w:val="20"/>
              </w:rPr>
              <w:t>3,304</w:t>
            </w:r>
          </w:p>
        </w:tc>
        <w:tc>
          <w:tcPr>
            <w:tcW w:w="961" w:type="dxa"/>
            <w:shd w:val="clear" w:color="auto" w:fill="auto"/>
            <w:vAlign w:val="bottom"/>
          </w:tcPr>
          <w:p w:rsidR="007D1DE7" w:rsidRPr="00DE475B" w:rsidRDefault="007D1DE7" w:rsidP="00A2292F">
            <w:pPr>
              <w:jc w:val="right"/>
              <w:rPr>
                <w:rFonts w:ascii="Arial" w:hAnsi="Arial" w:cs="Arial"/>
                <w:sz w:val="20"/>
                <w:szCs w:val="20"/>
              </w:rPr>
            </w:pPr>
            <w:r w:rsidRPr="00DE475B">
              <w:rPr>
                <w:rFonts w:ascii="Arial" w:hAnsi="Arial" w:cs="Arial"/>
                <w:sz w:val="20"/>
                <w:szCs w:val="20"/>
              </w:rPr>
              <w:t>3,157</w:t>
            </w:r>
          </w:p>
        </w:tc>
        <w:tc>
          <w:tcPr>
            <w:tcW w:w="961" w:type="dxa"/>
            <w:shd w:val="clear" w:color="auto" w:fill="auto"/>
            <w:vAlign w:val="bottom"/>
          </w:tcPr>
          <w:p w:rsidR="007D1DE7" w:rsidRPr="00DE475B" w:rsidRDefault="00D15DA1" w:rsidP="00A2292F">
            <w:pPr>
              <w:jc w:val="right"/>
              <w:rPr>
                <w:rFonts w:ascii="Arial" w:hAnsi="Arial" w:cs="Arial"/>
                <w:sz w:val="20"/>
                <w:szCs w:val="20"/>
              </w:rPr>
            </w:pPr>
            <w:r>
              <w:rPr>
                <w:rFonts w:ascii="Arial" w:hAnsi="Arial" w:cs="Arial"/>
                <w:sz w:val="20"/>
                <w:szCs w:val="20"/>
              </w:rPr>
              <w:t>3,002</w:t>
            </w:r>
          </w:p>
        </w:tc>
        <w:tc>
          <w:tcPr>
            <w:tcW w:w="961" w:type="dxa"/>
            <w:shd w:val="clear" w:color="auto" w:fill="auto"/>
            <w:vAlign w:val="bottom"/>
          </w:tcPr>
          <w:p w:rsidR="007D1DE7" w:rsidRPr="00DE475B" w:rsidRDefault="007D1DE7" w:rsidP="00A2292F">
            <w:pPr>
              <w:jc w:val="right"/>
              <w:rPr>
                <w:rFonts w:ascii="Arial" w:hAnsi="Arial" w:cs="Arial"/>
                <w:sz w:val="20"/>
                <w:szCs w:val="20"/>
              </w:rPr>
            </w:pPr>
            <w:r w:rsidRPr="00DE475B">
              <w:rPr>
                <w:rFonts w:ascii="Arial" w:hAnsi="Arial" w:cs="Arial"/>
                <w:sz w:val="20"/>
                <w:szCs w:val="20"/>
              </w:rPr>
              <w:t>2,781</w:t>
            </w:r>
          </w:p>
        </w:tc>
      </w:tr>
      <w:tr w:rsidR="007D1DE7" w:rsidRPr="00DE475B" w:rsidTr="007D1DE7">
        <w:trPr>
          <w:trHeight w:val="300"/>
        </w:trPr>
        <w:tc>
          <w:tcPr>
            <w:tcW w:w="4803" w:type="dxa"/>
            <w:shd w:val="clear" w:color="auto" w:fill="auto"/>
            <w:vAlign w:val="bottom"/>
          </w:tcPr>
          <w:p w:rsidR="007D1DE7" w:rsidRPr="00DE475B" w:rsidRDefault="009D6102" w:rsidP="00A056EE">
            <w:pPr>
              <w:rPr>
                <w:rFonts w:ascii="Arial" w:hAnsi="Arial" w:cs="Arial"/>
                <w:sz w:val="20"/>
                <w:szCs w:val="20"/>
              </w:rPr>
            </w:pPr>
            <w:r>
              <w:rPr>
                <w:rFonts w:ascii="Arial" w:hAnsi="Arial" w:cs="Arial"/>
                <w:sz w:val="20"/>
                <w:szCs w:val="20"/>
              </w:rPr>
              <w:t xml:space="preserve">  </w:t>
            </w:r>
            <w:r w:rsidR="007D1DE7" w:rsidRPr="00DE475B">
              <w:rPr>
                <w:rFonts w:ascii="Arial" w:hAnsi="Arial" w:cs="Arial"/>
                <w:sz w:val="20"/>
                <w:szCs w:val="20"/>
              </w:rPr>
              <w:t>Later than one year and not later than five years*</w:t>
            </w:r>
          </w:p>
        </w:tc>
        <w:tc>
          <w:tcPr>
            <w:tcW w:w="961" w:type="dxa"/>
            <w:shd w:val="clear" w:color="auto" w:fill="auto"/>
            <w:vAlign w:val="bottom"/>
          </w:tcPr>
          <w:p w:rsidR="007D1DE7" w:rsidRPr="00DE475B" w:rsidRDefault="00D15DA1" w:rsidP="00A056EE">
            <w:pPr>
              <w:jc w:val="right"/>
              <w:rPr>
                <w:rFonts w:ascii="Arial" w:hAnsi="Arial" w:cs="Arial"/>
                <w:sz w:val="20"/>
                <w:szCs w:val="20"/>
              </w:rPr>
            </w:pPr>
            <w:r>
              <w:rPr>
                <w:rFonts w:ascii="Arial" w:hAnsi="Arial" w:cs="Arial"/>
                <w:sz w:val="20"/>
                <w:szCs w:val="20"/>
              </w:rPr>
              <w:t>1,081</w:t>
            </w:r>
          </w:p>
        </w:tc>
        <w:tc>
          <w:tcPr>
            <w:tcW w:w="961" w:type="dxa"/>
            <w:shd w:val="clear" w:color="auto" w:fill="auto"/>
            <w:vAlign w:val="bottom"/>
          </w:tcPr>
          <w:p w:rsidR="007D1DE7" w:rsidRPr="00DE475B" w:rsidRDefault="007D1DE7" w:rsidP="00A2292F">
            <w:pPr>
              <w:jc w:val="right"/>
              <w:rPr>
                <w:rFonts w:ascii="Arial" w:hAnsi="Arial" w:cs="Arial"/>
                <w:sz w:val="20"/>
                <w:szCs w:val="20"/>
              </w:rPr>
            </w:pPr>
            <w:r w:rsidRPr="00DE475B">
              <w:rPr>
                <w:rFonts w:ascii="Arial" w:hAnsi="Arial" w:cs="Arial"/>
                <w:sz w:val="20"/>
                <w:szCs w:val="20"/>
              </w:rPr>
              <w:t>1,602</w:t>
            </w:r>
          </w:p>
        </w:tc>
        <w:tc>
          <w:tcPr>
            <w:tcW w:w="961" w:type="dxa"/>
            <w:shd w:val="clear" w:color="auto" w:fill="auto"/>
            <w:vAlign w:val="bottom"/>
          </w:tcPr>
          <w:p w:rsidR="007D1DE7" w:rsidRPr="00DE475B" w:rsidRDefault="00D15DA1" w:rsidP="00A2292F">
            <w:pPr>
              <w:jc w:val="right"/>
              <w:rPr>
                <w:rFonts w:ascii="Arial" w:hAnsi="Arial" w:cs="Arial"/>
                <w:sz w:val="20"/>
                <w:szCs w:val="20"/>
              </w:rPr>
            </w:pPr>
            <w:r>
              <w:rPr>
                <w:rFonts w:ascii="Arial" w:hAnsi="Arial" w:cs="Arial"/>
                <w:sz w:val="20"/>
                <w:szCs w:val="20"/>
              </w:rPr>
              <w:t>930</w:t>
            </w:r>
          </w:p>
        </w:tc>
        <w:tc>
          <w:tcPr>
            <w:tcW w:w="961" w:type="dxa"/>
            <w:shd w:val="clear" w:color="auto" w:fill="auto"/>
            <w:vAlign w:val="bottom"/>
          </w:tcPr>
          <w:p w:rsidR="007D1DE7" w:rsidRPr="00DE475B" w:rsidRDefault="007D1DE7" w:rsidP="00A2292F">
            <w:pPr>
              <w:jc w:val="right"/>
              <w:rPr>
                <w:rFonts w:ascii="Arial" w:hAnsi="Arial" w:cs="Arial"/>
                <w:sz w:val="20"/>
                <w:szCs w:val="20"/>
              </w:rPr>
            </w:pPr>
            <w:r w:rsidRPr="00DE475B">
              <w:rPr>
                <w:rFonts w:ascii="Arial" w:hAnsi="Arial" w:cs="Arial"/>
                <w:sz w:val="20"/>
                <w:szCs w:val="20"/>
              </w:rPr>
              <w:t>1,602</w:t>
            </w:r>
          </w:p>
        </w:tc>
      </w:tr>
      <w:tr w:rsidR="007D1DE7" w:rsidRPr="00DE475B" w:rsidTr="007D1DE7">
        <w:trPr>
          <w:trHeight w:val="139"/>
        </w:trPr>
        <w:tc>
          <w:tcPr>
            <w:tcW w:w="4803" w:type="dxa"/>
            <w:shd w:val="clear" w:color="auto" w:fill="auto"/>
            <w:vAlign w:val="bottom"/>
          </w:tcPr>
          <w:p w:rsidR="007D1DE7" w:rsidRPr="00DE475B" w:rsidRDefault="007D1DE7" w:rsidP="00A056EE">
            <w:pPr>
              <w:snapToGrid w:val="0"/>
              <w:rPr>
                <w:rFonts w:ascii="Arial" w:hAnsi="Arial" w:cs="Arial"/>
                <w:sz w:val="20"/>
                <w:szCs w:val="20"/>
              </w:rPr>
            </w:pPr>
          </w:p>
        </w:tc>
        <w:tc>
          <w:tcPr>
            <w:tcW w:w="961" w:type="dxa"/>
            <w:tcBorders>
              <w:bottom w:val="single" w:sz="8" w:space="0" w:color="000000"/>
            </w:tcBorders>
            <w:shd w:val="clear" w:color="auto" w:fill="auto"/>
            <w:vAlign w:val="bottom"/>
          </w:tcPr>
          <w:p w:rsidR="007D1DE7" w:rsidRPr="00DE475B" w:rsidRDefault="007D1DE7" w:rsidP="00A056EE">
            <w:pPr>
              <w:rPr>
                <w:rFonts w:ascii="Arial" w:hAnsi="Arial" w:cs="Arial"/>
                <w:sz w:val="20"/>
                <w:szCs w:val="20"/>
              </w:rPr>
            </w:pPr>
          </w:p>
        </w:tc>
        <w:tc>
          <w:tcPr>
            <w:tcW w:w="961" w:type="dxa"/>
            <w:tcBorders>
              <w:bottom w:val="single" w:sz="8" w:space="0" w:color="000000"/>
            </w:tcBorders>
            <w:shd w:val="clear" w:color="auto" w:fill="auto"/>
            <w:vAlign w:val="bottom"/>
          </w:tcPr>
          <w:p w:rsidR="007D1DE7" w:rsidRPr="00DE475B" w:rsidRDefault="007D1DE7" w:rsidP="00A056EE">
            <w:pPr>
              <w:rPr>
                <w:rFonts w:ascii="Arial" w:hAnsi="Arial" w:cs="Arial"/>
                <w:sz w:val="20"/>
                <w:szCs w:val="20"/>
              </w:rPr>
            </w:pPr>
            <w:r w:rsidRPr="00DE475B">
              <w:rPr>
                <w:rFonts w:ascii="Arial" w:hAnsi="Arial" w:cs="Arial"/>
                <w:sz w:val="20"/>
                <w:szCs w:val="20"/>
              </w:rPr>
              <w:t> </w:t>
            </w:r>
          </w:p>
        </w:tc>
        <w:tc>
          <w:tcPr>
            <w:tcW w:w="961" w:type="dxa"/>
            <w:tcBorders>
              <w:bottom w:val="single" w:sz="8" w:space="0" w:color="000000"/>
            </w:tcBorders>
            <w:shd w:val="clear" w:color="auto" w:fill="auto"/>
            <w:vAlign w:val="bottom"/>
          </w:tcPr>
          <w:p w:rsidR="007D1DE7" w:rsidRPr="00DE475B" w:rsidRDefault="007D1DE7" w:rsidP="00A056EE">
            <w:pPr>
              <w:rPr>
                <w:rFonts w:ascii="Arial" w:hAnsi="Arial" w:cs="Arial"/>
                <w:sz w:val="20"/>
                <w:szCs w:val="20"/>
              </w:rPr>
            </w:pPr>
          </w:p>
        </w:tc>
        <w:tc>
          <w:tcPr>
            <w:tcW w:w="961" w:type="dxa"/>
            <w:tcBorders>
              <w:bottom w:val="single" w:sz="8" w:space="0" w:color="000000"/>
            </w:tcBorders>
            <w:shd w:val="clear" w:color="auto" w:fill="auto"/>
            <w:vAlign w:val="bottom"/>
          </w:tcPr>
          <w:p w:rsidR="007D1DE7" w:rsidRPr="00DE475B" w:rsidRDefault="007D1DE7" w:rsidP="00A056EE">
            <w:pPr>
              <w:rPr>
                <w:rFonts w:ascii="Arial" w:hAnsi="Arial" w:cs="Arial"/>
                <w:sz w:val="20"/>
                <w:szCs w:val="20"/>
              </w:rPr>
            </w:pPr>
            <w:r w:rsidRPr="00DE475B">
              <w:rPr>
                <w:rFonts w:ascii="Arial" w:hAnsi="Arial" w:cs="Arial"/>
                <w:sz w:val="20"/>
                <w:szCs w:val="20"/>
              </w:rPr>
              <w:t> </w:t>
            </w:r>
          </w:p>
        </w:tc>
      </w:tr>
      <w:tr w:rsidR="007D1DE7" w:rsidRPr="00DE475B" w:rsidTr="007D1DE7">
        <w:trPr>
          <w:trHeight w:val="330"/>
        </w:trPr>
        <w:tc>
          <w:tcPr>
            <w:tcW w:w="4803" w:type="dxa"/>
            <w:shd w:val="clear" w:color="auto" w:fill="auto"/>
            <w:vAlign w:val="bottom"/>
          </w:tcPr>
          <w:p w:rsidR="007D1DE7" w:rsidRPr="00DE475B" w:rsidRDefault="007D1DE7" w:rsidP="00A056EE">
            <w:pPr>
              <w:snapToGrid w:val="0"/>
              <w:rPr>
                <w:rFonts w:ascii="Arial" w:hAnsi="Arial" w:cs="Arial"/>
                <w:sz w:val="20"/>
                <w:szCs w:val="20"/>
              </w:rPr>
            </w:pPr>
          </w:p>
        </w:tc>
        <w:tc>
          <w:tcPr>
            <w:tcW w:w="961" w:type="dxa"/>
            <w:tcBorders>
              <w:top w:val="single" w:sz="8" w:space="0" w:color="000000"/>
              <w:bottom w:val="single" w:sz="12" w:space="0" w:color="000000"/>
            </w:tcBorders>
            <w:shd w:val="clear" w:color="auto" w:fill="auto"/>
            <w:vAlign w:val="bottom"/>
          </w:tcPr>
          <w:p w:rsidR="007D1DE7" w:rsidRPr="00DE475B" w:rsidRDefault="00D15DA1" w:rsidP="00A056EE">
            <w:pPr>
              <w:jc w:val="right"/>
              <w:rPr>
                <w:rFonts w:ascii="Arial" w:hAnsi="Arial" w:cs="Arial"/>
                <w:sz w:val="20"/>
                <w:szCs w:val="20"/>
              </w:rPr>
            </w:pPr>
            <w:r>
              <w:rPr>
                <w:rFonts w:ascii="Arial" w:hAnsi="Arial" w:cs="Arial"/>
                <w:sz w:val="20"/>
                <w:szCs w:val="20"/>
              </w:rPr>
              <w:t>4,385</w:t>
            </w:r>
          </w:p>
        </w:tc>
        <w:tc>
          <w:tcPr>
            <w:tcW w:w="961" w:type="dxa"/>
            <w:tcBorders>
              <w:top w:val="single" w:sz="8" w:space="0" w:color="000000"/>
              <w:bottom w:val="single" w:sz="12" w:space="0" w:color="000000"/>
            </w:tcBorders>
            <w:shd w:val="clear" w:color="auto" w:fill="auto"/>
            <w:vAlign w:val="bottom"/>
          </w:tcPr>
          <w:p w:rsidR="007D1DE7" w:rsidRPr="00DE475B" w:rsidRDefault="007D1DE7" w:rsidP="00A2292F">
            <w:pPr>
              <w:jc w:val="right"/>
              <w:rPr>
                <w:rFonts w:ascii="Arial" w:hAnsi="Arial" w:cs="Arial"/>
                <w:sz w:val="20"/>
                <w:szCs w:val="20"/>
              </w:rPr>
            </w:pPr>
            <w:r w:rsidRPr="00DE475B">
              <w:rPr>
                <w:rFonts w:ascii="Arial" w:hAnsi="Arial" w:cs="Arial"/>
                <w:sz w:val="20"/>
                <w:szCs w:val="20"/>
              </w:rPr>
              <w:t>4,759</w:t>
            </w:r>
          </w:p>
        </w:tc>
        <w:tc>
          <w:tcPr>
            <w:tcW w:w="961" w:type="dxa"/>
            <w:tcBorders>
              <w:top w:val="single" w:sz="8" w:space="0" w:color="000000"/>
              <w:bottom w:val="single" w:sz="12" w:space="0" w:color="000000"/>
            </w:tcBorders>
            <w:shd w:val="clear" w:color="auto" w:fill="auto"/>
            <w:vAlign w:val="bottom"/>
          </w:tcPr>
          <w:p w:rsidR="007D1DE7" w:rsidRPr="00DE475B" w:rsidRDefault="00D15DA1" w:rsidP="00A2292F">
            <w:pPr>
              <w:jc w:val="right"/>
              <w:rPr>
                <w:rFonts w:ascii="Arial" w:hAnsi="Arial" w:cs="Arial"/>
                <w:sz w:val="20"/>
                <w:szCs w:val="20"/>
              </w:rPr>
            </w:pPr>
            <w:r>
              <w:rPr>
                <w:rFonts w:ascii="Arial" w:hAnsi="Arial" w:cs="Arial"/>
                <w:sz w:val="20"/>
                <w:szCs w:val="20"/>
              </w:rPr>
              <w:t>3,932</w:t>
            </w:r>
          </w:p>
        </w:tc>
        <w:tc>
          <w:tcPr>
            <w:tcW w:w="961" w:type="dxa"/>
            <w:tcBorders>
              <w:top w:val="single" w:sz="8" w:space="0" w:color="000000"/>
              <w:bottom w:val="single" w:sz="12" w:space="0" w:color="000000"/>
            </w:tcBorders>
            <w:shd w:val="clear" w:color="auto" w:fill="auto"/>
            <w:vAlign w:val="bottom"/>
          </w:tcPr>
          <w:p w:rsidR="007D1DE7" w:rsidRPr="00DE475B" w:rsidRDefault="007D1DE7" w:rsidP="00A2292F">
            <w:pPr>
              <w:jc w:val="right"/>
              <w:rPr>
                <w:rFonts w:ascii="Arial" w:hAnsi="Arial" w:cs="Arial"/>
                <w:sz w:val="20"/>
                <w:szCs w:val="20"/>
              </w:rPr>
            </w:pPr>
            <w:r w:rsidRPr="00DE475B">
              <w:rPr>
                <w:rFonts w:ascii="Arial" w:hAnsi="Arial" w:cs="Arial"/>
                <w:sz w:val="20"/>
                <w:szCs w:val="20"/>
              </w:rPr>
              <w:t>4,383</w:t>
            </w:r>
          </w:p>
        </w:tc>
      </w:tr>
      <w:tr w:rsidR="007D1DE7" w:rsidRPr="00DE475B" w:rsidTr="007D1DE7">
        <w:trPr>
          <w:trHeight w:val="139"/>
        </w:trPr>
        <w:tc>
          <w:tcPr>
            <w:tcW w:w="4803" w:type="dxa"/>
            <w:shd w:val="clear" w:color="auto" w:fill="auto"/>
            <w:vAlign w:val="bottom"/>
          </w:tcPr>
          <w:p w:rsidR="007D1DE7" w:rsidRPr="00DE475B" w:rsidRDefault="007D1DE7" w:rsidP="00A056EE">
            <w:pPr>
              <w:snapToGrid w:val="0"/>
              <w:rPr>
                <w:rFonts w:ascii="Arial" w:hAnsi="Arial" w:cs="Arial"/>
                <w:sz w:val="16"/>
                <w:szCs w:val="16"/>
              </w:rPr>
            </w:pPr>
            <w:r w:rsidRPr="00DE475B">
              <w:rPr>
                <w:rFonts w:ascii="Arial" w:hAnsi="Arial" w:cs="Arial"/>
                <w:sz w:val="16"/>
                <w:szCs w:val="16"/>
              </w:rPr>
              <w:t xml:space="preserve">*Includes </w:t>
            </w:r>
            <w:r w:rsidRPr="00DE475B">
              <w:rPr>
                <w:rFonts w:ascii="Arial" w:hAnsi="Arial" w:cs="Arial"/>
                <w:i/>
                <w:sz w:val="16"/>
                <w:szCs w:val="16"/>
              </w:rPr>
              <w:t>Q ANZAC 100</w:t>
            </w:r>
            <w:r w:rsidRPr="00DE475B">
              <w:rPr>
                <w:rFonts w:ascii="Arial" w:hAnsi="Arial" w:cs="Arial"/>
                <w:sz w:val="16"/>
                <w:szCs w:val="16"/>
              </w:rPr>
              <w:t xml:space="preserve"> Project funding</w:t>
            </w:r>
          </w:p>
        </w:tc>
        <w:tc>
          <w:tcPr>
            <w:tcW w:w="961" w:type="dxa"/>
            <w:tcBorders>
              <w:top w:val="single" w:sz="12" w:space="0" w:color="000000"/>
            </w:tcBorders>
            <w:shd w:val="clear" w:color="auto" w:fill="auto"/>
            <w:vAlign w:val="bottom"/>
          </w:tcPr>
          <w:p w:rsidR="007D1DE7" w:rsidRPr="00DE475B" w:rsidRDefault="007D1DE7" w:rsidP="00A056EE">
            <w:pPr>
              <w:rPr>
                <w:rFonts w:ascii="Arial" w:hAnsi="Arial" w:cs="Arial"/>
                <w:sz w:val="20"/>
                <w:szCs w:val="20"/>
              </w:rPr>
            </w:pPr>
          </w:p>
        </w:tc>
        <w:tc>
          <w:tcPr>
            <w:tcW w:w="961" w:type="dxa"/>
            <w:tcBorders>
              <w:top w:val="single" w:sz="12" w:space="0" w:color="000000"/>
            </w:tcBorders>
            <w:shd w:val="clear" w:color="auto" w:fill="auto"/>
            <w:vAlign w:val="bottom"/>
          </w:tcPr>
          <w:p w:rsidR="007D1DE7" w:rsidRPr="00DE475B" w:rsidRDefault="007D1DE7" w:rsidP="00A056EE">
            <w:pPr>
              <w:rPr>
                <w:rFonts w:ascii="Arial" w:hAnsi="Arial" w:cs="Arial"/>
                <w:sz w:val="20"/>
                <w:szCs w:val="20"/>
              </w:rPr>
            </w:pPr>
          </w:p>
        </w:tc>
        <w:tc>
          <w:tcPr>
            <w:tcW w:w="961" w:type="dxa"/>
            <w:tcBorders>
              <w:top w:val="single" w:sz="12" w:space="0" w:color="000000"/>
            </w:tcBorders>
            <w:shd w:val="clear" w:color="auto" w:fill="auto"/>
            <w:vAlign w:val="bottom"/>
          </w:tcPr>
          <w:p w:rsidR="007D1DE7" w:rsidRPr="00DE475B" w:rsidRDefault="007D1DE7" w:rsidP="00A056EE">
            <w:pPr>
              <w:rPr>
                <w:rFonts w:ascii="Arial" w:hAnsi="Arial" w:cs="Arial"/>
                <w:sz w:val="20"/>
                <w:szCs w:val="20"/>
              </w:rPr>
            </w:pPr>
          </w:p>
        </w:tc>
        <w:tc>
          <w:tcPr>
            <w:tcW w:w="961" w:type="dxa"/>
            <w:tcBorders>
              <w:top w:val="single" w:sz="12" w:space="0" w:color="000000"/>
            </w:tcBorders>
            <w:shd w:val="clear" w:color="auto" w:fill="auto"/>
            <w:vAlign w:val="bottom"/>
          </w:tcPr>
          <w:p w:rsidR="007D1DE7" w:rsidRPr="00DE475B" w:rsidRDefault="007D1DE7" w:rsidP="00A056EE">
            <w:pPr>
              <w:rPr>
                <w:rFonts w:ascii="Arial" w:hAnsi="Arial" w:cs="Arial"/>
                <w:sz w:val="20"/>
                <w:szCs w:val="20"/>
              </w:rPr>
            </w:pPr>
          </w:p>
        </w:tc>
      </w:tr>
    </w:tbl>
    <w:p w:rsidR="00251296" w:rsidRPr="00DE475B" w:rsidRDefault="00251296" w:rsidP="008637A8">
      <w:pPr>
        <w:spacing w:after="120"/>
        <w:rPr>
          <w:rFonts w:ascii="Arial" w:hAnsi="Arial" w:cs="Arial"/>
          <w:sz w:val="20"/>
          <w:szCs w:val="20"/>
        </w:rPr>
      </w:pPr>
    </w:p>
    <w:p w:rsidR="00876846" w:rsidRPr="00DE475B" w:rsidRDefault="00B93C73" w:rsidP="00876846">
      <w:pPr>
        <w:pStyle w:val="ARheading3"/>
        <w:widowControl w:val="0"/>
        <w:tabs>
          <w:tab w:val="left" w:pos="851"/>
        </w:tabs>
        <w:spacing w:after="120"/>
        <w:rPr>
          <w:color w:val="808080"/>
        </w:rPr>
        <w:sectPr w:rsidR="00876846" w:rsidRPr="00DE475B" w:rsidSect="00B53922">
          <w:type w:val="continuous"/>
          <w:pgSz w:w="11906" w:h="16838"/>
          <w:pgMar w:top="1440" w:right="1701" w:bottom="1440" w:left="1701" w:header="680" w:footer="680" w:gutter="0"/>
          <w:cols w:space="720"/>
          <w:docGrid w:linePitch="360"/>
        </w:sectPr>
      </w:pPr>
      <w:r>
        <w:rPr>
          <w:color w:val="808080"/>
        </w:rPr>
        <w:t>D5</w:t>
      </w:r>
      <w:r w:rsidR="00876846" w:rsidRPr="00DE475B">
        <w:rPr>
          <w:color w:val="808080"/>
        </w:rPr>
        <w:t xml:space="preserve"> Events after the balance date</w:t>
      </w:r>
    </w:p>
    <w:p w:rsidR="00876846" w:rsidRPr="00DE475B" w:rsidRDefault="00876846" w:rsidP="008637A8">
      <w:pPr>
        <w:spacing w:after="120"/>
        <w:rPr>
          <w:rFonts w:ascii="Arial" w:hAnsi="Arial" w:cs="Arial"/>
          <w:sz w:val="20"/>
          <w:szCs w:val="20"/>
        </w:rPr>
      </w:pPr>
      <w:r w:rsidRPr="00DE475B">
        <w:rPr>
          <w:rFonts w:ascii="Arial" w:hAnsi="Arial" w:cs="Arial"/>
          <w:sz w:val="20"/>
          <w:szCs w:val="20"/>
        </w:rPr>
        <w:lastRenderedPageBreak/>
        <w:t>There were no significant events occurring after the ba</w:t>
      </w:r>
      <w:r w:rsidRPr="00DE475B">
        <w:rPr>
          <w:rFonts w:ascii="Arial" w:hAnsi="Arial" w:cs="Arial"/>
          <w:sz w:val="18"/>
          <w:szCs w:val="20"/>
        </w:rPr>
        <w:t>l</w:t>
      </w:r>
      <w:r w:rsidRPr="00DE475B">
        <w:rPr>
          <w:rFonts w:ascii="Arial" w:hAnsi="Arial" w:cs="Arial"/>
          <w:sz w:val="20"/>
          <w:szCs w:val="20"/>
        </w:rPr>
        <w:t>ance date.</w:t>
      </w:r>
    </w:p>
    <w:p w:rsidR="00876846" w:rsidRPr="00DE475B" w:rsidRDefault="00876846" w:rsidP="008637A8">
      <w:pPr>
        <w:spacing w:after="120"/>
        <w:rPr>
          <w:rFonts w:ascii="Arial" w:hAnsi="Arial" w:cs="Arial"/>
          <w:sz w:val="20"/>
          <w:szCs w:val="20"/>
        </w:rPr>
      </w:pPr>
    </w:p>
    <w:p w:rsidR="00876846" w:rsidRPr="00DE475B" w:rsidRDefault="00876846" w:rsidP="00876846">
      <w:pPr>
        <w:pStyle w:val="ARbodytext"/>
        <w:rPr>
          <w:b/>
          <w:bCs/>
        </w:rPr>
      </w:pPr>
      <w:r w:rsidRPr="00DE475B">
        <w:br w:type="page"/>
      </w:r>
      <w:r w:rsidRPr="00DE475B">
        <w:rPr>
          <w:b/>
          <w:bCs/>
          <w:i/>
          <w:iCs/>
        </w:rPr>
        <w:lastRenderedPageBreak/>
        <w:t>Library Board of Queensland and controlled entities</w:t>
      </w:r>
    </w:p>
    <w:p w:rsidR="00876846" w:rsidRPr="00DE475B" w:rsidRDefault="00373FFE" w:rsidP="00876846">
      <w:pPr>
        <w:rPr>
          <w:rFonts w:ascii="Arial" w:hAnsi="Arial" w:cs="Arial"/>
          <w:b/>
          <w:bCs/>
          <w:sz w:val="20"/>
          <w:szCs w:val="20"/>
        </w:rPr>
      </w:pPr>
      <w:r w:rsidRPr="00DE475B">
        <w:rPr>
          <w:noProof/>
          <w:lang w:eastAsia="en-AU"/>
        </w:rPr>
        <mc:AlternateContent>
          <mc:Choice Requires="wps">
            <w:drawing>
              <wp:anchor distT="0" distB="0" distL="114300" distR="114300" simplePos="0" relativeHeight="251664384" behindDoc="0" locked="0" layoutInCell="1" allowOverlap="1" wp14:anchorId="6E48D61C" wp14:editId="7B4AE5F5">
                <wp:simplePos x="0" y="0"/>
                <wp:positionH relativeFrom="column">
                  <wp:posOffset>-66040</wp:posOffset>
                </wp:positionH>
                <wp:positionV relativeFrom="paragraph">
                  <wp:posOffset>-222250</wp:posOffset>
                </wp:positionV>
                <wp:extent cx="5573395" cy="0"/>
                <wp:effectExtent l="13970" t="9525" r="13335" b="9525"/>
                <wp:wrapNone/>
                <wp:docPr id="3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mfmwIAAHoFAAAOAAAAZHJzL2Uyb0RvYy54bWysVN9v2yAQfp+0/wHx7tqOnV9Wnal1nL10&#10;W6V22jMBHKNh8IDGqab97ztI4jXdyzQ1kSwO7o7v7vuO6w+HTqI9N1ZoVeL0KsGIK6qZULsSf33c&#10;RAuMrCOKEakVL/Ezt/jD6v2766Ev+ES3WjJuECRRthj6ErfO9UUcW9ryjtgr3XMFh402HXFgml3M&#10;DBkgeyfjSZLM4kEb1htNubWwuz4e4lXI3zScui9NY7lDssSAzYWvCd+t/8ara1LsDOlbQU8wyH+g&#10;6IhQcOmYak0cQU9G/JWqE9Roqxt3RXUX66YRlIcaoJo0eVXNQ0t6HmqB5th+bJN9u7T08/7eIMFK&#10;nEF7FOmAozuhOJrkS9+cobcF+FTq3vjy6EE99HeafrdI6aolascDyMfnHgJTHxFfhHjD9nDFdvik&#10;GfiQJ6dDpw6N6XxK6AE6BEKeR0L4wSEKm9PpPMuWU4zo+SwmxTmwN9Z95LpDflFiCahDYrK/s84D&#10;IcXZxd+j9EZIGfiWCg0lXmYzKJkSUJ39ESKtloJ5L+9vzW5bSYP2xEsn/EJ5cPLSrRMOBCxFV+LF&#10;6ESKlhNWKxauc0TI4xogSeWT8yDNI06wDg6WYR8KD7L5uUyW9aJe5FE+mdVRnqzX0c2myqPZJp1P&#10;19m6qtbpL486zYtWMMaVB36WcJr/m0ROw3QU3yjisVXxZfbQUwB7ifRmM03mebaI5vNpFuVZnUS3&#10;i00V3VTpbDavb6vb+hXSOlRv3wbs2EqPSj8BGw8tGxATXhTZdDlJMRgw8pP5kR9E5A7eKuoMRka7&#10;b8K1QcNefT7HBfGLxP9PxI/Zj404c+itkYVTbX9aBZyf+Q2j4afhOFdbzZ7vzXlkYMBD0Okx8i/I&#10;SxvWL5/M1W8AAAD//wMAUEsDBBQABgAIAAAAIQDe2Ktn4AAAAAsBAAAPAAAAZHJzL2Rvd25yZXYu&#10;eG1sTI9BS8NAEIXvgv9hGcGLtJuaWEvMpoggHgRpqyjettkxG8zOht1tE/+9Iwh6m5n3ePO9aj25&#10;XhwxxM6TgsU8A4HUeNNRq+Dl+X62AhGTJqN7T6jgCyOs69OTSpfGj7TF4y61gkMollqBTWkopYyN&#10;Rafj3A9IrH344HTiNbTSBD1yuOvlZZYtpdMd8QerB7yz2HzuDk7BUxi7mPKi2GB6f314fLObC7dV&#10;6vxsur0BkXBKf2b4wWd0qJlp7w9kougVzBZZwVYe8isuxY7V8joHsf+9yLqS/zvU3wAAAP//AwBQ&#10;SwECLQAUAAYACAAAACEAtoM4kv4AAADhAQAAEwAAAAAAAAAAAAAAAAAAAAAAW0NvbnRlbnRfVHlw&#10;ZXNdLnhtbFBLAQItABQABgAIAAAAIQA4/SH/1gAAAJQBAAALAAAAAAAAAAAAAAAAAC8BAABfcmVs&#10;cy8ucmVsc1BLAQItABQABgAIAAAAIQDNQNmfmwIAAHoFAAAOAAAAAAAAAAAAAAAAAC4CAABkcnMv&#10;ZTJvRG9jLnhtbFBLAQItABQABgAIAAAAIQDe2Ktn4AAAAAsBAAAPAAAAAAAAAAAAAAAAAPUEAABk&#10;cnMvZG93bnJldi54bWxQSwUGAAAAAAQABADzAAAAAgYAAAAA&#10;" strokeweight=".26mm">
                <v:stroke joinstyle="miter" endcap="square"/>
              </v:line>
            </w:pict>
          </mc:Fallback>
        </mc:AlternateContent>
      </w:r>
      <w:r w:rsidR="00876846" w:rsidRPr="00DE475B">
        <w:rPr>
          <w:rFonts w:ascii="Arial" w:hAnsi="Arial" w:cs="Arial"/>
          <w:b/>
          <w:bCs/>
          <w:sz w:val="20"/>
          <w:szCs w:val="20"/>
        </w:rPr>
        <w:t>NOTES TO THE FINANCIAL STATEMENTS</w:t>
      </w:r>
    </w:p>
    <w:p w:rsidR="00876846" w:rsidRPr="00DE475B" w:rsidRDefault="00DE1BFB" w:rsidP="00876846">
      <w:r>
        <w:rPr>
          <w:rFonts w:ascii="Arial" w:hAnsi="Arial" w:cs="Arial"/>
          <w:b/>
          <w:bCs/>
          <w:sz w:val="20"/>
          <w:szCs w:val="20"/>
        </w:rPr>
        <w:t>For the year ended 30 June 2017</w:t>
      </w:r>
    </w:p>
    <w:p w:rsidR="00876846" w:rsidRPr="00DE475B" w:rsidRDefault="00373FFE" w:rsidP="00876846">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663360" behindDoc="0" locked="0" layoutInCell="1" allowOverlap="1" wp14:anchorId="0364D687" wp14:editId="4E86A985">
                <wp:simplePos x="0" y="0"/>
                <wp:positionH relativeFrom="column">
                  <wp:posOffset>-66040</wp:posOffset>
                </wp:positionH>
                <wp:positionV relativeFrom="paragraph">
                  <wp:posOffset>70485</wp:posOffset>
                </wp:positionV>
                <wp:extent cx="5573395" cy="0"/>
                <wp:effectExtent l="13970" t="13335" r="13335" b="5715"/>
                <wp:wrapNone/>
                <wp:docPr id="29"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5NQmwIAAHoFAAAOAAAAZHJzL2Uyb0RvYy54bWysVFFvmzAQfp+0/2D5nQKBJASVVC0he+m2&#10;Su20Z8eYYM3YzHZDoqn/fWcnYU33Mk1NJOSz787f3fedr2/2nUA7pg1XssDxVYQRk1TVXG4L/O1p&#10;HWQYGUtkTYSSrMAHZvDN8uOH66HP2US1StRMI0giTT70BW6t7fMwNLRlHTFXqmcSDhulO2LB1Nuw&#10;1mSA7J0IJ1E0Cwel614ryoyB3dXxEC99/qZh1H5tGsMsEgUGbNZ/tf9u3DdcXpN8q0nfcnqCQf4D&#10;RUe4hEvHVCtiCXrW/K9UHadaGdXYK6q6UDUNp8zXANXE0ZtqHlvSM18LNMf0Y5vM+6WlX3YPGvG6&#10;wJMFRpJ0wNE9lwxN0sw1Z+hNDj6lfNCuPLqXj/29oj8MkqpsidwyD/Lp0ENg7CLCixBnmB6u2Ayf&#10;VQ0+5Nkq36l9ozuXEnqA9p6Qw0gI21tEYXM6nSfJYooRPZ+FJD8H9trYT0x1yC0KLAC1T0x298Y6&#10;ICQ/u7h7pFpzITzfQqKhwItkBoqgBFRnfvpIowSvnZfzN3q7KYVGO+Kk43++PDh57dZxCwIWvCtw&#10;NjqRvGWkrmTtr7OEi+MaIAnpkjMvzSNOsPYWln4fCvey+bWIFlVWZWmQTmZVkEarVXC7LtNgto7n&#10;01WyKstV/OJQx2ne8rpm0gE/SzhO/00ip2E6im8U8diq8DK77ymAvUR6u55G8zTJgvl8mgRpUkXB&#10;XbYug9syns3m1V15V71BWvnqzfuAHVvpUKlnYOOxrQdUcyeKZLqYxBgMGPnJ/MgPImILbxW1GiOt&#10;7HduW69hpz6X44L4LHL/E/Fj9mMjzhw6a2ThVNufVgHnZ379aLhpOM7VRtWHB30eGRhwH3R6jNwL&#10;8tqG9esnc/kbAAD//wMAUEsDBBQABgAIAAAAIQDwQGlx3gAAAAkBAAAPAAAAZHJzL2Rvd25yZXYu&#10;eG1sTI/BSsNAEIbvgu+wjOBF2k1sqCVmU0QQD4K0VRRv2+yYDWZnw+62iW/vSA96nPk//vmmWk+u&#10;F0cMsfOkIJ9nIJAabzpqFby+PMxWIGLSZHTvCRV8Y4R1fX5W6dL4kbZ43KVWcAnFUiuwKQ2llLGx&#10;6HSc+wGJs08fnE48hlaaoEcud728zrKldLojvmD1gPcWm6/dwSl4DmMX06IoNpg+3h6f3u3mym2V&#10;uryY7m5BJJzSHwy/+qwONTvt/YFMFL2CWZ4VjHKQ5yAYWC1vFiD2p4WsK/n/g/oHAAD//wMAUEsB&#10;Ai0AFAAGAAgAAAAhALaDOJL+AAAA4QEAABMAAAAAAAAAAAAAAAAAAAAAAFtDb250ZW50X1R5cGVz&#10;XS54bWxQSwECLQAUAAYACAAAACEAOP0h/9YAAACUAQAACwAAAAAAAAAAAAAAAAAvAQAAX3JlbHMv&#10;LnJlbHNQSwECLQAUAAYACAAAACEAte+TUJsCAAB6BQAADgAAAAAAAAAAAAAAAAAuAgAAZHJzL2Uy&#10;b0RvYy54bWxQSwECLQAUAAYACAAAACEA8EBpcd4AAAAJAQAADwAAAAAAAAAAAAAAAAD1BAAAZHJz&#10;L2Rvd25yZXYueG1sUEsFBgAAAAAEAAQA8wAAAAAGAAAAAA==&#10;" strokeweight=".26mm">
                <v:stroke joinstyle="miter" endcap="square"/>
              </v:line>
            </w:pict>
          </mc:Fallback>
        </mc:AlternateContent>
      </w:r>
    </w:p>
    <w:p w:rsidR="00876846" w:rsidRPr="00DE475B" w:rsidRDefault="00876846" w:rsidP="00876846">
      <w:pPr>
        <w:pStyle w:val="ARheading3"/>
        <w:widowControl w:val="0"/>
        <w:tabs>
          <w:tab w:val="left" w:pos="851"/>
        </w:tabs>
        <w:spacing w:after="120"/>
        <w:rPr>
          <w:color w:val="808080"/>
        </w:rPr>
        <w:sectPr w:rsidR="00876846" w:rsidRPr="00DE475B" w:rsidSect="00B53922">
          <w:type w:val="continuous"/>
          <w:pgSz w:w="11906" w:h="16838"/>
          <w:pgMar w:top="1440" w:right="1701" w:bottom="1440" w:left="1701" w:header="680" w:footer="680" w:gutter="0"/>
          <w:cols w:space="720"/>
          <w:docGrid w:linePitch="360"/>
        </w:sectPr>
      </w:pPr>
      <w:r w:rsidRPr="00DE475B">
        <w:rPr>
          <w:color w:val="808080"/>
        </w:rPr>
        <w:t>D</w:t>
      </w:r>
      <w:r w:rsidR="00DE1BFB">
        <w:rPr>
          <w:color w:val="808080"/>
        </w:rPr>
        <w:t>6</w:t>
      </w:r>
      <w:r w:rsidRPr="00DE475B">
        <w:rPr>
          <w:color w:val="808080"/>
        </w:rPr>
        <w:t xml:space="preserve"> Future impact of accounting standards not yet effective</w:t>
      </w:r>
    </w:p>
    <w:p w:rsidR="00DE1BFB" w:rsidRPr="00DE1BFB" w:rsidRDefault="007F4DCE" w:rsidP="00DE1BFB">
      <w:pPr>
        <w:spacing w:after="120"/>
        <w:rPr>
          <w:rFonts w:ascii="Arial" w:hAnsi="Arial" w:cs="Arial"/>
          <w:sz w:val="20"/>
          <w:szCs w:val="20"/>
        </w:rPr>
      </w:pPr>
      <w:r w:rsidRPr="00DE475B">
        <w:rPr>
          <w:rFonts w:ascii="Arial" w:hAnsi="Arial" w:cs="Arial"/>
          <w:sz w:val="20"/>
          <w:szCs w:val="20"/>
        </w:rPr>
        <w:lastRenderedPageBreak/>
        <w:t>At the date of authorisation of the financial report, the expected impacts of new or amended Australian Accounting Standards issued but with future commencement dates are set out below:</w:t>
      </w:r>
    </w:p>
    <w:p w:rsidR="00DE1BFB" w:rsidRPr="00DE1BFB" w:rsidRDefault="00DE1BFB" w:rsidP="00DE1BFB">
      <w:pPr>
        <w:rPr>
          <w:rFonts w:ascii="Arial" w:hAnsi="Arial" w:cs="Arial"/>
          <w:b/>
          <w:bCs/>
          <w:color w:val="auto"/>
          <w:sz w:val="20"/>
          <w:szCs w:val="20"/>
          <w:lang w:eastAsia="en-AU"/>
        </w:rPr>
      </w:pPr>
      <w:proofErr w:type="spellStart"/>
      <w:r w:rsidRPr="00DE1BFB">
        <w:rPr>
          <w:rFonts w:ascii="Arial" w:hAnsi="Arial" w:cs="Arial"/>
          <w:i/>
          <w:iCs/>
          <w:sz w:val="20"/>
          <w:szCs w:val="20"/>
        </w:rPr>
        <w:t>AASB</w:t>
      </w:r>
      <w:proofErr w:type="spellEnd"/>
      <w:r w:rsidRPr="00DE1BFB">
        <w:rPr>
          <w:rFonts w:ascii="Arial" w:hAnsi="Arial" w:cs="Arial"/>
          <w:i/>
          <w:iCs/>
          <w:sz w:val="20"/>
          <w:szCs w:val="20"/>
        </w:rPr>
        <w:t xml:space="preserve"> 1058 Income of Not-for-Profit Entities and </w:t>
      </w:r>
      <w:proofErr w:type="spellStart"/>
      <w:proofErr w:type="gramStart"/>
      <w:r w:rsidRPr="00DE1BFB">
        <w:rPr>
          <w:rFonts w:ascii="Arial" w:hAnsi="Arial" w:cs="Arial"/>
          <w:i/>
          <w:iCs/>
          <w:sz w:val="20"/>
          <w:szCs w:val="20"/>
        </w:rPr>
        <w:t>AASB</w:t>
      </w:r>
      <w:proofErr w:type="spellEnd"/>
      <w:r w:rsidRPr="00DE1BFB">
        <w:rPr>
          <w:rFonts w:ascii="Arial" w:hAnsi="Arial" w:cs="Arial"/>
          <w:i/>
          <w:iCs/>
          <w:sz w:val="20"/>
          <w:szCs w:val="20"/>
        </w:rPr>
        <w:t xml:space="preserve"> 15 Revenue from Contracts with Customers</w:t>
      </w:r>
      <w:proofErr w:type="gramEnd"/>
    </w:p>
    <w:p w:rsidR="00DE1BFB" w:rsidRPr="00DE1BFB" w:rsidRDefault="00DE1BFB" w:rsidP="00DE1BFB">
      <w:pPr>
        <w:spacing w:after="120"/>
        <w:rPr>
          <w:rFonts w:ascii="Arial" w:hAnsi="Arial" w:cs="Arial"/>
          <w:spacing w:val="2"/>
          <w:sz w:val="20"/>
          <w:szCs w:val="20"/>
        </w:rPr>
      </w:pPr>
      <w:r w:rsidRPr="00DE1BFB">
        <w:rPr>
          <w:rFonts w:ascii="Arial" w:hAnsi="Arial" w:cs="Arial"/>
          <w:spacing w:val="2"/>
          <w:sz w:val="20"/>
          <w:szCs w:val="20"/>
        </w:rPr>
        <w:t>These standards will apply to the Library Board for its financial statements from 2019</w:t>
      </w:r>
      <w:r w:rsidR="00E41CC5">
        <w:rPr>
          <w:rFonts w:ascii="Arial" w:hAnsi="Arial" w:cs="Arial"/>
          <w:spacing w:val="2"/>
          <w:sz w:val="20"/>
          <w:szCs w:val="20"/>
        </w:rPr>
        <w:t>–</w:t>
      </w:r>
      <w:r w:rsidRPr="00DE1BFB">
        <w:rPr>
          <w:rFonts w:ascii="Arial" w:hAnsi="Arial" w:cs="Arial"/>
          <w:spacing w:val="2"/>
          <w:sz w:val="20"/>
          <w:szCs w:val="20"/>
        </w:rPr>
        <w:t>20.</w:t>
      </w:r>
    </w:p>
    <w:p w:rsidR="00DE1BFB" w:rsidRPr="00DE1BFB" w:rsidRDefault="00DE1BFB" w:rsidP="00D774BA">
      <w:pPr>
        <w:spacing w:after="40"/>
        <w:rPr>
          <w:rFonts w:ascii="Arial" w:hAnsi="Arial" w:cs="Arial"/>
          <w:sz w:val="20"/>
          <w:szCs w:val="20"/>
        </w:rPr>
      </w:pPr>
      <w:r w:rsidRPr="00DE1BFB">
        <w:rPr>
          <w:rFonts w:ascii="Arial" w:hAnsi="Arial" w:cs="Arial"/>
          <w:sz w:val="20"/>
          <w:szCs w:val="20"/>
        </w:rPr>
        <w:t>The Library Board has commenced analysing the new revenue recognition requirements under these standards and is yet to form conclusions about significant impacts. Potential future impacts identifiable at the date of this report are as follows:</w:t>
      </w:r>
    </w:p>
    <w:p w:rsidR="00DE1BFB" w:rsidRPr="00D774BA" w:rsidRDefault="00DE1BFB" w:rsidP="00DE1BFB">
      <w:pPr>
        <w:numPr>
          <w:ilvl w:val="0"/>
          <w:numId w:val="5"/>
        </w:numPr>
        <w:tabs>
          <w:tab w:val="left" w:pos="284"/>
          <w:tab w:val="left" w:pos="360"/>
        </w:tabs>
        <w:spacing w:after="40"/>
        <w:ind w:left="284" w:hanging="284"/>
        <w:rPr>
          <w:rFonts w:ascii="Arial" w:hAnsi="Arial" w:cs="Arial"/>
          <w:spacing w:val="-2"/>
          <w:sz w:val="20"/>
          <w:szCs w:val="20"/>
        </w:rPr>
      </w:pPr>
      <w:proofErr w:type="gramStart"/>
      <w:r w:rsidRPr="00D774BA">
        <w:rPr>
          <w:rFonts w:ascii="Arial" w:hAnsi="Arial" w:cs="Arial"/>
          <w:spacing w:val="-2"/>
          <w:sz w:val="20"/>
          <w:szCs w:val="20"/>
        </w:rPr>
        <w:t>grants</w:t>
      </w:r>
      <w:proofErr w:type="gramEnd"/>
      <w:r w:rsidRPr="00D774BA">
        <w:rPr>
          <w:rFonts w:ascii="Arial" w:hAnsi="Arial" w:cs="Arial"/>
          <w:spacing w:val="-2"/>
          <w:sz w:val="20"/>
          <w:szCs w:val="20"/>
        </w:rPr>
        <w:t xml:space="preserve"> received to construct a non-financial asset will be recognised as a liability, and subsequently progressively recognised as revenue as the Library Board satisfies its performance obligations under the grant. At present such grants are recognised as revenue upfront.</w:t>
      </w:r>
    </w:p>
    <w:p w:rsidR="00DE1BFB" w:rsidRPr="00DE1BFB" w:rsidRDefault="00DE1BFB" w:rsidP="00DE1BFB">
      <w:pPr>
        <w:numPr>
          <w:ilvl w:val="0"/>
          <w:numId w:val="5"/>
        </w:numPr>
        <w:tabs>
          <w:tab w:val="left" w:pos="284"/>
          <w:tab w:val="left" w:pos="360"/>
        </w:tabs>
        <w:spacing w:after="40"/>
        <w:ind w:left="284" w:hanging="284"/>
        <w:rPr>
          <w:rFonts w:ascii="Arial" w:hAnsi="Arial" w:cs="Arial"/>
          <w:sz w:val="20"/>
          <w:szCs w:val="20"/>
        </w:rPr>
      </w:pPr>
      <w:proofErr w:type="gramStart"/>
      <w:r w:rsidRPr="00DE1BFB">
        <w:rPr>
          <w:rFonts w:ascii="Arial" w:hAnsi="Arial" w:cs="Arial"/>
          <w:sz w:val="20"/>
          <w:szCs w:val="20"/>
        </w:rPr>
        <w:t>under</w:t>
      </w:r>
      <w:proofErr w:type="gramEnd"/>
      <w:r w:rsidRPr="00DE1BFB">
        <w:rPr>
          <w:rFonts w:ascii="Arial" w:hAnsi="Arial" w:cs="Arial"/>
          <w:sz w:val="20"/>
          <w:szCs w:val="20"/>
        </w:rPr>
        <w:t xml:space="preserve"> the new standards other grants presently recognised as revenue upfront may be eligible to be recognised as revenue progressively as the associated performance obligations are satisfied, but only if the associated performance obligations are enforceable and sufficiently specific. The Library Board is yet to evaluate the existing grant arrangements as to whether revenue from those grants could be deferred under the new requirements.</w:t>
      </w:r>
    </w:p>
    <w:p w:rsidR="00DE1BFB" w:rsidRPr="00DE1BFB" w:rsidRDefault="00DE1BFB" w:rsidP="00DE1BFB">
      <w:pPr>
        <w:numPr>
          <w:ilvl w:val="0"/>
          <w:numId w:val="5"/>
        </w:numPr>
        <w:tabs>
          <w:tab w:val="left" w:pos="284"/>
          <w:tab w:val="left" w:pos="360"/>
        </w:tabs>
        <w:spacing w:after="40"/>
        <w:ind w:left="284" w:hanging="284"/>
        <w:rPr>
          <w:rFonts w:ascii="Arial" w:hAnsi="Arial" w:cs="Arial"/>
          <w:sz w:val="20"/>
          <w:szCs w:val="20"/>
        </w:rPr>
      </w:pPr>
      <w:proofErr w:type="gramStart"/>
      <w:r w:rsidRPr="00DE1BFB">
        <w:rPr>
          <w:rFonts w:ascii="Arial" w:hAnsi="Arial" w:cs="Arial"/>
          <w:sz w:val="20"/>
          <w:szCs w:val="20"/>
        </w:rPr>
        <w:t>grants</w:t>
      </w:r>
      <w:proofErr w:type="gramEnd"/>
      <w:r w:rsidRPr="00DE1BFB">
        <w:rPr>
          <w:rFonts w:ascii="Arial" w:hAnsi="Arial" w:cs="Arial"/>
          <w:sz w:val="20"/>
          <w:szCs w:val="20"/>
        </w:rPr>
        <w:t xml:space="preserve"> that are not enforceable and or sufficiently specific will not qualify for deferral, and continue to be recognised as revenue as soon as they are controlled. The Library Board receives several grants for which there are no sufficiently specific performance obligations, so these grants will continue to be recognised as revenue upfront.</w:t>
      </w:r>
    </w:p>
    <w:p w:rsidR="00DE1BFB" w:rsidRPr="00DE1BFB" w:rsidRDefault="00DE1BFB" w:rsidP="00DE1BFB">
      <w:pPr>
        <w:numPr>
          <w:ilvl w:val="0"/>
          <w:numId w:val="5"/>
        </w:numPr>
        <w:tabs>
          <w:tab w:val="left" w:pos="284"/>
          <w:tab w:val="left" w:pos="360"/>
        </w:tabs>
        <w:spacing w:after="40"/>
        <w:ind w:left="284" w:hanging="284"/>
        <w:rPr>
          <w:rFonts w:ascii="Arial" w:hAnsi="Arial" w:cs="Arial"/>
          <w:sz w:val="20"/>
          <w:szCs w:val="20"/>
        </w:rPr>
      </w:pPr>
      <w:r w:rsidRPr="00DE1BFB">
        <w:rPr>
          <w:rFonts w:ascii="Arial" w:hAnsi="Arial" w:cs="Arial"/>
          <w:sz w:val="20"/>
          <w:szCs w:val="20"/>
        </w:rPr>
        <w:t xml:space="preserve">depending on the respective contractual terms, the new requirements will potentially result in a change to the timing of revenue from sales to the Library Board's goods and services such that </w:t>
      </w:r>
      <w:r w:rsidRPr="00DE1BFB">
        <w:rPr>
          <w:rFonts w:ascii="Arial" w:hAnsi="Arial" w:cs="Arial"/>
          <w:sz w:val="20"/>
          <w:szCs w:val="20"/>
        </w:rPr>
        <w:lastRenderedPageBreak/>
        <w:t>some revenue may need to be deferred to a later reporting period to the extent that the Library Board has received cash but has not met its associated obligations (such amounts would be reported as a liability in the meantime). The Library Board is yet to complete its analysis of existing arrangements for sale of its goods and services, but at this stage does not expect a significant impact on its present accounting practices.</w:t>
      </w:r>
    </w:p>
    <w:p w:rsidR="00DE1BFB" w:rsidRPr="00DE1BFB" w:rsidRDefault="00DE1BFB" w:rsidP="00DE1BFB">
      <w:pPr>
        <w:numPr>
          <w:ilvl w:val="0"/>
          <w:numId w:val="5"/>
        </w:numPr>
        <w:tabs>
          <w:tab w:val="left" w:pos="284"/>
          <w:tab w:val="left" w:pos="360"/>
        </w:tabs>
        <w:spacing w:after="120"/>
        <w:ind w:left="284" w:hanging="284"/>
        <w:rPr>
          <w:rFonts w:ascii="Arial" w:hAnsi="Arial" w:cs="Arial"/>
          <w:sz w:val="20"/>
          <w:szCs w:val="20"/>
        </w:rPr>
      </w:pPr>
      <w:proofErr w:type="gramStart"/>
      <w:r w:rsidRPr="00DE1BFB">
        <w:rPr>
          <w:rFonts w:ascii="Arial" w:hAnsi="Arial" w:cs="Arial"/>
          <w:sz w:val="20"/>
          <w:szCs w:val="20"/>
        </w:rPr>
        <w:t>a</w:t>
      </w:r>
      <w:proofErr w:type="gramEnd"/>
      <w:r w:rsidRPr="00DE1BFB">
        <w:rPr>
          <w:rFonts w:ascii="Arial" w:hAnsi="Arial" w:cs="Arial"/>
          <w:sz w:val="20"/>
          <w:szCs w:val="20"/>
        </w:rPr>
        <w:t xml:space="preserve"> range of new disclosures may be required by the new standards in respect of the Library Board's revenue.</w:t>
      </w:r>
    </w:p>
    <w:p w:rsidR="00A2292F" w:rsidRPr="00E41CC5" w:rsidRDefault="007F4DCE" w:rsidP="00E41CC5">
      <w:pPr>
        <w:rPr>
          <w:rFonts w:ascii="Arial" w:hAnsi="Arial" w:cs="Arial"/>
          <w:i/>
          <w:iCs/>
          <w:sz w:val="20"/>
          <w:szCs w:val="20"/>
        </w:rPr>
      </w:pPr>
      <w:proofErr w:type="spellStart"/>
      <w:r w:rsidRPr="00DE475B">
        <w:rPr>
          <w:rFonts w:ascii="Arial" w:hAnsi="Arial" w:cs="Arial"/>
          <w:i/>
          <w:iCs/>
          <w:sz w:val="20"/>
          <w:szCs w:val="20"/>
        </w:rPr>
        <w:t>AASB</w:t>
      </w:r>
      <w:proofErr w:type="spellEnd"/>
      <w:r w:rsidRPr="00DE475B">
        <w:rPr>
          <w:rFonts w:ascii="Arial" w:hAnsi="Arial" w:cs="Arial"/>
          <w:i/>
          <w:iCs/>
          <w:sz w:val="20"/>
          <w:szCs w:val="20"/>
        </w:rPr>
        <w:t xml:space="preserve"> 9 Financial Instruments and </w:t>
      </w:r>
      <w:proofErr w:type="spellStart"/>
      <w:r w:rsidRPr="00DE475B">
        <w:rPr>
          <w:rFonts w:ascii="Arial" w:hAnsi="Arial" w:cs="Arial"/>
          <w:i/>
          <w:iCs/>
          <w:sz w:val="20"/>
          <w:szCs w:val="20"/>
        </w:rPr>
        <w:t>AASB</w:t>
      </w:r>
      <w:proofErr w:type="spellEnd"/>
      <w:r w:rsidRPr="00DE475B">
        <w:rPr>
          <w:rFonts w:ascii="Arial" w:hAnsi="Arial" w:cs="Arial"/>
          <w:i/>
          <w:iCs/>
          <w:sz w:val="20"/>
          <w:szCs w:val="20"/>
        </w:rPr>
        <w:t xml:space="preserve"> 2014-7 Amendments to Australian Accounting Standards aris</w:t>
      </w:r>
      <w:r w:rsidR="00E41CC5">
        <w:rPr>
          <w:rFonts w:ascii="Arial" w:hAnsi="Arial" w:cs="Arial"/>
          <w:i/>
          <w:iCs/>
          <w:sz w:val="20"/>
          <w:szCs w:val="20"/>
        </w:rPr>
        <w:t xml:space="preserve">ing from </w:t>
      </w:r>
      <w:proofErr w:type="spellStart"/>
      <w:r w:rsidR="00E41CC5">
        <w:rPr>
          <w:rFonts w:ascii="Arial" w:hAnsi="Arial" w:cs="Arial"/>
          <w:i/>
          <w:iCs/>
          <w:sz w:val="20"/>
          <w:szCs w:val="20"/>
        </w:rPr>
        <w:t>AASB</w:t>
      </w:r>
      <w:proofErr w:type="spellEnd"/>
      <w:r w:rsidR="00E41CC5">
        <w:rPr>
          <w:rFonts w:ascii="Arial" w:hAnsi="Arial" w:cs="Arial"/>
          <w:i/>
          <w:iCs/>
          <w:sz w:val="20"/>
          <w:szCs w:val="20"/>
        </w:rPr>
        <w:t xml:space="preserve"> 9 (December 2014)</w:t>
      </w:r>
    </w:p>
    <w:p w:rsidR="00A2292F" w:rsidRPr="00E41CC5" w:rsidRDefault="00E41CC5" w:rsidP="008637A8">
      <w:pPr>
        <w:spacing w:after="120"/>
        <w:rPr>
          <w:rFonts w:ascii="Arial" w:hAnsi="Arial" w:cs="Arial"/>
          <w:sz w:val="20"/>
          <w:szCs w:val="20"/>
        </w:rPr>
      </w:pPr>
      <w:r w:rsidRPr="00E41CC5">
        <w:rPr>
          <w:rFonts w:ascii="Arial" w:hAnsi="Arial" w:cs="Arial"/>
          <w:sz w:val="20"/>
          <w:szCs w:val="20"/>
        </w:rPr>
        <w:t xml:space="preserve">These standards will first apply to the Library Board for its financial statements from 2018–19. The main </w:t>
      </w:r>
      <w:proofErr w:type="gramStart"/>
      <w:r w:rsidRPr="00E41CC5">
        <w:rPr>
          <w:rFonts w:ascii="Arial" w:hAnsi="Arial" w:cs="Arial"/>
          <w:sz w:val="20"/>
          <w:szCs w:val="20"/>
        </w:rPr>
        <w:t>impact of these standards are</w:t>
      </w:r>
      <w:proofErr w:type="gramEnd"/>
      <w:r w:rsidRPr="00E41CC5">
        <w:rPr>
          <w:rFonts w:ascii="Arial" w:hAnsi="Arial" w:cs="Arial"/>
          <w:sz w:val="20"/>
          <w:szCs w:val="20"/>
        </w:rPr>
        <w:t xml:space="preserve"> that they will change the requirements for the classification, measurement, impairment and disclosures associated with the Library Board's financial assets. </w:t>
      </w:r>
      <w:proofErr w:type="spellStart"/>
      <w:r w:rsidRPr="00E41CC5">
        <w:rPr>
          <w:rFonts w:ascii="Arial" w:hAnsi="Arial" w:cs="Arial"/>
          <w:sz w:val="20"/>
          <w:szCs w:val="20"/>
        </w:rPr>
        <w:t>AASB</w:t>
      </w:r>
      <w:proofErr w:type="spellEnd"/>
      <w:r w:rsidRPr="00E41CC5">
        <w:rPr>
          <w:rFonts w:ascii="Arial" w:hAnsi="Arial" w:cs="Arial"/>
          <w:sz w:val="20"/>
          <w:szCs w:val="20"/>
        </w:rPr>
        <w:t xml:space="preserve"> 9 will introduce different criteria for whether financial assets can be measured at amortised cost or fair value.</w:t>
      </w:r>
    </w:p>
    <w:p w:rsidR="00986735" w:rsidRDefault="00E41CC5" w:rsidP="00986735">
      <w:pPr>
        <w:spacing w:after="120"/>
        <w:rPr>
          <w:rFonts w:ascii="Arial" w:hAnsi="Arial" w:cs="Arial"/>
          <w:spacing w:val="-4"/>
          <w:sz w:val="20"/>
          <w:szCs w:val="20"/>
        </w:rPr>
      </w:pPr>
      <w:r w:rsidRPr="00E41CC5">
        <w:rPr>
          <w:rFonts w:ascii="Arial" w:hAnsi="Arial" w:cs="Arial"/>
          <w:spacing w:val="-4"/>
          <w:sz w:val="20"/>
          <w:szCs w:val="20"/>
        </w:rPr>
        <w:t xml:space="preserve">The Library Board has commenced reviewing the measurement of its financial assets against the new </w:t>
      </w:r>
      <w:proofErr w:type="spellStart"/>
      <w:r w:rsidRPr="00E41CC5">
        <w:rPr>
          <w:rFonts w:ascii="Arial" w:hAnsi="Arial" w:cs="Arial"/>
          <w:spacing w:val="-4"/>
          <w:sz w:val="20"/>
          <w:szCs w:val="20"/>
        </w:rPr>
        <w:t>AASB</w:t>
      </w:r>
      <w:proofErr w:type="spellEnd"/>
      <w:r w:rsidRPr="00E41CC5">
        <w:rPr>
          <w:rFonts w:ascii="Arial" w:hAnsi="Arial" w:cs="Arial"/>
          <w:spacing w:val="-4"/>
          <w:sz w:val="20"/>
          <w:szCs w:val="20"/>
        </w:rPr>
        <w:t xml:space="preserve"> 9 classification and measurement requirements. However, as the classification of financial assets at the date of initial application of the new standard will depend on the facts and circumstances existing at that date, the Library Board's conclusions will not be confirmed until closer to that time. At this stage and assuming no change in the types of transactions the Library Board enters into, all of the Library Board's financial assets are expected to be required to be measured at fair value. In case of the Library Board's current receivables, as they are short term in nature, the carrying amount is expected to be a reasonable approximation of fair value. Changes in the fair value of those assets will be reflected in the Library Board's operating result.</w:t>
      </w:r>
    </w:p>
    <w:p w:rsidR="00E41CC5" w:rsidRDefault="00E41CC5" w:rsidP="00986735">
      <w:pPr>
        <w:spacing w:after="120"/>
        <w:rPr>
          <w:rFonts w:ascii="Arial" w:hAnsi="Arial" w:cs="Arial"/>
          <w:spacing w:val="-4"/>
          <w:sz w:val="20"/>
          <w:szCs w:val="20"/>
        </w:rPr>
      </w:pPr>
    </w:p>
    <w:p w:rsidR="00E41CC5" w:rsidRDefault="00E41CC5" w:rsidP="00986735">
      <w:pPr>
        <w:spacing w:after="120"/>
        <w:rPr>
          <w:rFonts w:ascii="Arial" w:hAnsi="Arial" w:cs="Arial"/>
          <w:spacing w:val="-4"/>
          <w:sz w:val="20"/>
          <w:szCs w:val="20"/>
        </w:rPr>
      </w:pPr>
    </w:p>
    <w:p w:rsidR="00E41CC5" w:rsidRPr="00DE475B" w:rsidRDefault="00E41CC5" w:rsidP="00986735">
      <w:pPr>
        <w:spacing w:after="120"/>
        <w:rPr>
          <w:rFonts w:ascii="Arial" w:hAnsi="Arial" w:cs="Arial"/>
          <w:sz w:val="20"/>
          <w:szCs w:val="20"/>
        </w:rPr>
        <w:sectPr w:rsidR="00E41CC5" w:rsidRPr="00DE475B" w:rsidSect="00B53922">
          <w:type w:val="continuous"/>
          <w:pgSz w:w="11906" w:h="16838"/>
          <w:pgMar w:top="1440" w:right="1701" w:bottom="1440" w:left="1701" w:header="680" w:footer="680" w:gutter="0"/>
          <w:cols w:num="2" w:space="566"/>
          <w:docGrid w:linePitch="360"/>
        </w:sectPr>
      </w:pPr>
    </w:p>
    <w:p w:rsidR="00986735" w:rsidRPr="00DE475B" w:rsidRDefault="00986735" w:rsidP="007F4DCE">
      <w:pPr>
        <w:pStyle w:val="ARbodytext"/>
        <w:rPr>
          <w:b/>
          <w:bCs/>
          <w:i/>
          <w:iCs/>
        </w:rPr>
      </w:pPr>
    </w:p>
    <w:p w:rsidR="00986735" w:rsidRPr="00DE475B" w:rsidRDefault="00986735" w:rsidP="007F4DCE">
      <w:pPr>
        <w:pStyle w:val="ARbodytext"/>
        <w:rPr>
          <w:b/>
          <w:bCs/>
          <w:i/>
          <w:iCs/>
        </w:rPr>
      </w:pPr>
    </w:p>
    <w:p w:rsidR="007F4DCE" w:rsidRPr="00DE475B" w:rsidRDefault="007F4DCE" w:rsidP="007F4DCE">
      <w:pPr>
        <w:pStyle w:val="ARbodytext"/>
        <w:rPr>
          <w:b/>
          <w:bCs/>
        </w:rPr>
      </w:pPr>
      <w:r w:rsidRPr="00DE475B">
        <w:rPr>
          <w:b/>
          <w:bCs/>
          <w:i/>
          <w:iCs/>
        </w:rPr>
        <w:lastRenderedPageBreak/>
        <w:t>Library Board of Queensland and controlled entities</w:t>
      </w:r>
    </w:p>
    <w:p w:rsidR="007F4DCE" w:rsidRPr="00DE475B" w:rsidRDefault="00373FFE" w:rsidP="007F4DCE">
      <w:pPr>
        <w:rPr>
          <w:rFonts w:ascii="Arial" w:hAnsi="Arial" w:cs="Arial"/>
          <w:b/>
          <w:bCs/>
          <w:sz w:val="20"/>
          <w:szCs w:val="20"/>
        </w:rPr>
      </w:pPr>
      <w:r w:rsidRPr="00DE475B">
        <w:rPr>
          <w:noProof/>
          <w:lang w:eastAsia="en-AU"/>
        </w:rPr>
        <mc:AlternateContent>
          <mc:Choice Requires="wps">
            <w:drawing>
              <wp:anchor distT="0" distB="0" distL="114300" distR="114300" simplePos="0" relativeHeight="251666432" behindDoc="0" locked="0" layoutInCell="1" allowOverlap="1" wp14:anchorId="5912D47A" wp14:editId="426E35BF">
                <wp:simplePos x="0" y="0"/>
                <wp:positionH relativeFrom="column">
                  <wp:posOffset>-66040</wp:posOffset>
                </wp:positionH>
                <wp:positionV relativeFrom="paragraph">
                  <wp:posOffset>-222250</wp:posOffset>
                </wp:positionV>
                <wp:extent cx="5573395" cy="0"/>
                <wp:effectExtent l="13970" t="9525" r="13335" b="9525"/>
                <wp:wrapNone/>
                <wp:docPr id="28"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4nnAIAAHoFAAAOAAAAZHJzL2Uyb0RvYy54bWysVF1vmzAUfZ+0/2D5nQIB8oFKqpaQvXRb&#10;pXbas2ObYA1sZrsh0dT/vmsnoUv3Mk1NJGTDvcfn3nOur2/2XYt2XBuhZIHjqwgjLqliQm4L/O1p&#10;HcwxMpZIRloleYEP3OCb5ccP10Of84lqVMu4RgAiTT70BW6s7fMwNLThHTFXqucSPtZKd8TCVm9D&#10;pskA6F0bTqJoGg5Ks14ryo2Bt6vjR7z0+HXNqf1a14Zb1BYYuFn/1P65cc9weU3yrSZ9I+iJBvkP&#10;Fh0REg4doVbEEvSsxV9QnaBaGVXbK6q6UNW1oNzXANXE0ZtqHhvSc18LNMf0Y5vM+8HSL7sHjQQr&#10;8ASUkqQDje6F5GiSxa45Q29yiCnlg3bl0b187O8V/WGQVGVD5JZ7kk+HHhJ9RniR4jamhyM2w2fF&#10;IIY8W+U7ta915yChB2jvBTmMgvC9RRReZtksSRYZRvT8LST5ObHXxn7iqkNuUeAWWHtgsrs3FqhD&#10;6DnEnSPVWrSt17uVaCjwIpmCIygB15mfPtOoVjAX5eKN3m7KVqMdcdbxP9cQQL0I64QFA7eiK/B8&#10;DCJ5wwmrJPPHWSLa4xqSW+nAubfmkSfs9haW/j0U7m3zaxEtqnk1T4N0Mq2CNFqtgtt1mQbTdTzL&#10;VsmqLFfxi2Mdp3kjGOPSET9bOE7/zSKnYTqabzTx2KrwEt1XD2Qvmd6us2iWJvNgNsuSIE2qKLib&#10;r8vgtoyn01l1V95Vb5hWvnrzPmTHVjpW6hnUeGzYgJhwpkiyxSTGsIGRn8yO+iDSbuGuolZjpJX9&#10;LmzjPezc5zAuhJ9H7n8SfkQ/NuKsoduNKpxqe20VaH7W14+Gm4bjXG0UOzxo5yk3JTDgPul0Gbkb&#10;5M+9j3q9Mpe/AQAA//8DAFBLAwQUAAYACAAAACEA3tirZ+AAAAALAQAADwAAAGRycy9kb3ducmV2&#10;LnhtbEyPQUvDQBCF74L/YRnBi7SbmlhLzKaIIB4Eaaso3rbZMRvMzobdbRP/vSMIepuZ93jzvWo9&#10;uV4cMcTOk4LFPAOB1HjTUavg5fl+tgIRkyaje0+o4AsjrOvTk0qXxo+0xeMutYJDKJZagU1pKKWM&#10;jUWn49wPSKx9+OB04jW00gQ9crjr5WWWLaXTHfEHqwe8s9h87g5OwVMYu5jyothgen99eHyzmwu3&#10;Ver8bLq9AZFwSn9m+MFndKiZae8PZKLoFcwWWcFWHvIrLsWO1fI6B7H/vci6kv871N8AAAD//wMA&#10;UEsBAi0AFAAGAAgAAAAhALaDOJL+AAAA4QEAABMAAAAAAAAAAAAAAAAAAAAAAFtDb250ZW50X1R5&#10;cGVzXS54bWxQSwECLQAUAAYACAAAACEAOP0h/9YAAACUAQAACwAAAAAAAAAAAAAAAAAvAQAAX3Jl&#10;bHMvLnJlbHNQSwECLQAUAAYACAAAACEA62ZeJ5wCAAB6BQAADgAAAAAAAAAAAAAAAAAuAgAAZHJz&#10;L2Uyb0RvYy54bWxQSwECLQAUAAYACAAAACEA3tirZ+AAAAALAQAADwAAAAAAAAAAAAAAAAD2BAAA&#10;ZHJzL2Rvd25yZXYueG1sUEsFBgAAAAAEAAQA8wAAAAMGAAAAAA==&#10;" strokeweight=".26mm">
                <v:stroke joinstyle="miter" endcap="square"/>
              </v:line>
            </w:pict>
          </mc:Fallback>
        </mc:AlternateContent>
      </w:r>
      <w:r w:rsidR="007F4DCE" w:rsidRPr="00DE475B">
        <w:rPr>
          <w:rFonts w:ascii="Arial" w:hAnsi="Arial" w:cs="Arial"/>
          <w:b/>
          <w:bCs/>
          <w:sz w:val="20"/>
          <w:szCs w:val="20"/>
        </w:rPr>
        <w:t>NOTES TO THE FINANCIAL STATEMENTS</w:t>
      </w:r>
    </w:p>
    <w:p w:rsidR="007F4DCE" w:rsidRPr="00DE475B" w:rsidRDefault="00E41CC5" w:rsidP="007F4DCE">
      <w:r>
        <w:rPr>
          <w:rFonts w:ascii="Arial" w:hAnsi="Arial" w:cs="Arial"/>
          <w:b/>
          <w:bCs/>
          <w:sz w:val="20"/>
          <w:szCs w:val="20"/>
        </w:rPr>
        <w:t>For the year ended 30 June 2017</w:t>
      </w:r>
    </w:p>
    <w:p w:rsidR="00206538" w:rsidRPr="00DE475B" w:rsidRDefault="00373FFE" w:rsidP="00206538">
      <w:pPr>
        <w:pStyle w:val="ARbodytext"/>
        <w:rPr>
          <w:color w:val="808080"/>
        </w:rPr>
      </w:pPr>
      <w:r w:rsidRPr="00DE475B">
        <w:rPr>
          <w:rFonts w:eastAsia="Times New Roman"/>
          <w:b/>
          <w:bCs/>
          <w:noProof/>
          <w:sz w:val="24"/>
          <w:szCs w:val="24"/>
          <w:lang w:eastAsia="en-AU"/>
        </w:rPr>
        <mc:AlternateContent>
          <mc:Choice Requires="wps">
            <w:drawing>
              <wp:anchor distT="0" distB="0" distL="114300" distR="114300" simplePos="0" relativeHeight="251665408" behindDoc="0" locked="0" layoutInCell="1" allowOverlap="1" wp14:anchorId="1910A9AB" wp14:editId="2F49D153">
                <wp:simplePos x="0" y="0"/>
                <wp:positionH relativeFrom="column">
                  <wp:posOffset>-66040</wp:posOffset>
                </wp:positionH>
                <wp:positionV relativeFrom="paragraph">
                  <wp:posOffset>70485</wp:posOffset>
                </wp:positionV>
                <wp:extent cx="5573395" cy="0"/>
                <wp:effectExtent l="13970" t="13335" r="13335" b="5715"/>
                <wp:wrapNone/>
                <wp:docPr id="27"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sKnAIAAHoFAAAOAAAAZHJzL2Uyb0RvYy54bWysVF1vmzAUfZ+0/2D5nQIBQoJKppaQvXRb&#10;pXbas2ObYA1sZrsh1bT/vmsnYU33Mk1NJOSP6+Nz7znX1x8OfYf2XBuhZInjqwgjLqliQu5K/PVx&#10;EywwMpZIRjoleYmfucEfVu/fXY9DwWeqVR3jGgGINMU4lLi1dijC0NCW98RcqYFL2GyU7omFqd6F&#10;TJMR0PsunEXRPByVZoNWlBsDq+vjJl55/Kbh1H5pGsMt6koM3Kz/av/dum+4uibFTpOhFfREg/wH&#10;i54ICZdOUGtiCXrS4i+oXlCtjGrsFVV9qJpGUO5zgGzi6FU2Dy0ZuM8FimOGqUzm7WDp5/29RoKV&#10;eJZjJEkPGt0JydEs88UZB1NATCXvtUuPHuTDcKfod4Okqloid9yTfHwe4GDsyhleHHETM8AV2/GT&#10;YhBDnqzylTo0uneQUAN08II8T4Lwg0UUFrMsT5JlhhE974WkOB8ctLEfueqRG5S4A9YemOzvjHVE&#10;SHEOcfdItRFd5/XuJBpLvEzm4AhKwHXmhz9pVCeYi3LxRu+2VafRnjjr+J9PD3ZehvXCgoE70Zd4&#10;MQWRouWE1ZL56ywR3XEMlDrpwLm35pEnzA4Whn4dEve2+bmMlvWiXqRBOpvXQRqt18HNpkqD+SbO&#10;s3Wyrqp1/MuxjtOiFYxx6YifLRyn/2aRUzMdzTeZeCpVeInuawpkL5nebLIoT5NFkOdZEqRJHQW3&#10;i00V3FTxfJ7Xt9Vt/Ypp7bM3b0N2KqVjpZ5AjYeWjYgJZ4okW85iDBNo+Vl+1AeRbgdvFbUaI63s&#10;N2Fb72HnPodxIfwicv+T8BP6sRBnDd1sUuGU259SgeZnfX1ruG5wz5Mptoo93+tzy0CD+0Onx8i9&#10;IC/nMH75ZK5+AwAA//8DAFBLAwQUAAYACAAAACEA8EBpcd4AAAAJAQAADwAAAGRycy9kb3ducmV2&#10;LnhtbEyPwUrDQBCG74LvsIzgRdpNbKglZlNEEA+CtFUUb9vsmA1mZ8Putolv70gPepz5P/75plpP&#10;rhdHDLHzpCCfZyCQGm86ahW8vjzMViBi0mR07wkVfGOEdX1+VunS+JG2eNylVnAJxVIrsCkNpZSx&#10;seh0nPsBibNPH5xOPIZWmqBHLne9vM6ypXS6I75g9YD3Fpuv3cEpeA5jF9OiKDaYPt4en97t5spt&#10;lbq8mO5uQSSc0h8Mv/qsDjU77f2BTBS9glmeFYxykOcgGFgtbxYg9qeFrCv5/4P6BwAA//8DAFBL&#10;AQItABQABgAIAAAAIQC2gziS/gAAAOEBAAATAAAAAAAAAAAAAAAAAAAAAABbQ29udGVudF9UeXBl&#10;c10ueG1sUEsBAi0AFAAGAAgAAAAhADj9If/WAAAAlAEAAAsAAAAAAAAAAAAAAAAALwEAAF9yZWxz&#10;Ly5yZWxzUEsBAi0AFAAGAAgAAAAhALNxewqcAgAAegUAAA4AAAAAAAAAAAAAAAAALgIAAGRycy9l&#10;Mm9Eb2MueG1sUEsBAi0AFAAGAAgAAAAhAPBAaXHeAAAACQEAAA8AAAAAAAAAAAAAAAAA9gQAAGRy&#10;cy9kb3ducmV2LnhtbFBLBQYAAAAABAAEAPMAAAABBgAAAAA=&#10;" strokeweight=".26mm">
                <v:stroke joinstyle="miter" endcap="square"/>
              </v:line>
            </w:pict>
          </mc:Fallback>
        </mc:AlternateContent>
      </w:r>
    </w:p>
    <w:p w:rsidR="00206538" w:rsidRPr="00DE475B" w:rsidRDefault="00E41CC5" w:rsidP="00206538">
      <w:pPr>
        <w:pStyle w:val="ARheading3"/>
        <w:widowControl w:val="0"/>
        <w:tabs>
          <w:tab w:val="left" w:pos="851"/>
        </w:tabs>
        <w:spacing w:after="120"/>
        <w:rPr>
          <w:color w:val="808080"/>
        </w:rPr>
      </w:pPr>
      <w:r>
        <w:rPr>
          <w:color w:val="808080"/>
        </w:rPr>
        <w:t>D6</w:t>
      </w:r>
      <w:r w:rsidR="00206538" w:rsidRPr="00DE475B">
        <w:rPr>
          <w:color w:val="808080"/>
        </w:rPr>
        <w:t xml:space="preserve"> Future impact of accounting standards not yet effective (continued)</w:t>
      </w:r>
    </w:p>
    <w:p w:rsidR="008246BE" w:rsidRPr="00DE475B" w:rsidRDefault="008246BE" w:rsidP="00206538">
      <w:pPr>
        <w:rPr>
          <w:rFonts w:ascii="Arial" w:hAnsi="Arial" w:cs="Arial"/>
          <w:i/>
          <w:iCs/>
          <w:sz w:val="20"/>
          <w:szCs w:val="20"/>
        </w:rPr>
        <w:sectPr w:rsidR="008246BE" w:rsidRPr="00DE475B" w:rsidSect="00B53922">
          <w:type w:val="continuous"/>
          <w:pgSz w:w="11906" w:h="16838"/>
          <w:pgMar w:top="1440" w:right="1701" w:bottom="1440" w:left="1701" w:header="680" w:footer="680" w:gutter="0"/>
          <w:cols w:space="566"/>
          <w:docGrid w:linePitch="360"/>
        </w:sectPr>
      </w:pPr>
    </w:p>
    <w:p w:rsidR="00E41CC5" w:rsidRPr="00E41CC5" w:rsidRDefault="00E41CC5" w:rsidP="00E41CC5">
      <w:pPr>
        <w:rPr>
          <w:rFonts w:ascii="Arial" w:hAnsi="Arial" w:cs="Arial"/>
          <w:i/>
          <w:iCs/>
          <w:sz w:val="20"/>
          <w:szCs w:val="20"/>
        </w:rPr>
      </w:pPr>
      <w:proofErr w:type="spellStart"/>
      <w:r w:rsidRPr="00DE475B">
        <w:rPr>
          <w:rFonts w:ascii="Arial" w:hAnsi="Arial" w:cs="Arial"/>
          <w:i/>
          <w:iCs/>
          <w:sz w:val="20"/>
          <w:szCs w:val="20"/>
        </w:rPr>
        <w:lastRenderedPageBreak/>
        <w:t>AASB</w:t>
      </w:r>
      <w:proofErr w:type="spellEnd"/>
      <w:r w:rsidRPr="00DE475B">
        <w:rPr>
          <w:rFonts w:ascii="Arial" w:hAnsi="Arial" w:cs="Arial"/>
          <w:i/>
          <w:iCs/>
          <w:sz w:val="20"/>
          <w:szCs w:val="20"/>
        </w:rPr>
        <w:t xml:space="preserve"> 9 Financial Instruments and </w:t>
      </w:r>
      <w:proofErr w:type="spellStart"/>
      <w:r w:rsidRPr="00DE475B">
        <w:rPr>
          <w:rFonts w:ascii="Arial" w:hAnsi="Arial" w:cs="Arial"/>
          <w:i/>
          <w:iCs/>
          <w:sz w:val="20"/>
          <w:szCs w:val="20"/>
        </w:rPr>
        <w:t>AASB</w:t>
      </w:r>
      <w:proofErr w:type="spellEnd"/>
      <w:r w:rsidRPr="00DE475B">
        <w:rPr>
          <w:rFonts w:ascii="Arial" w:hAnsi="Arial" w:cs="Arial"/>
          <w:i/>
          <w:iCs/>
          <w:sz w:val="20"/>
          <w:szCs w:val="20"/>
        </w:rPr>
        <w:t xml:space="preserve"> 2014-7 Amendments to Australian Accounting Standards aris</w:t>
      </w:r>
      <w:r>
        <w:rPr>
          <w:rFonts w:ascii="Arial" w:hAnsi="Arial" w:cs="Arial"/>
          <w:i/>
          <w:iCs/>
          <w:sz w:val="20"/>
          <w:szCs w:val="20"/>
        </w:rPr>
        <w:t xml:space="preserve">ing from </w:t>
      </w:r>
      <w:proofErr w:type="spellStart"/>
      <w:r>
        <w:rPr>
          <w:rFonts w:ascii="Arial" w:hAnsi="Arial" w:cs="Arial"/>
          <w:i/>
          <w:iCs/>
          <w:sz w:val="20"/>
          <w:szCs w:val="20"/>
        </w:rPr>
        <w:t>AASB</w:t>
      </w:r>
      <w:proofErr w:type="spellEnd"/>
      <w:r>
        <w:rPr>
          <w:rFonts w:ascii="Arial" w:hAnsi="Arial" w:cs="Arial"/>
          <w:i/>
          <w:iCs/>
          <w:sz w:val="20"/>
          <w:szCs w:val="20"/>
        </w:rPr>
        <w:t xml:space="preserve"> 9 (December 2014) (continued)</w:t>
      </w:r>
    </w:p>
    <w:p w:rsidR="00E41CC5" w:rsidRPr="00E41CC5" w:rsidRDefault="00E41CC5" w:rsidP="00E41CC5">
      <w:pPr>
        <w:spacing w:after="120"/>
        <w:rPr>
          <w:rFonts w:ascii="Arial" w:hAnsi="Arial" w:cs="Arial"/>
          <w:sz w:val="20"/>
          <w:szCs w:val="20"/>
        </w:rPr>
      </w:pPr>
      <w:r w:rsidRPr="00E41CC5">
        <w:rPr>
          <w:rFonts w:ascii="Arial" w:hAnsi="Arial" w:cs="Arial"/>
          <w:sz w:val="20"/>
          <w:szCs w:val="20"/>
        </w:rPr>
        <w:t xml:space="preserve">Another impact of </w:t>
      </w:r>
      <w:proofErr w:type="spellStart"/>
      <w:r w:rsidRPr="00E41CC5">
        <w:rPr>
          <w:rFonts w:ascii="Arial" w:hAnsi="Arial" w:cs="Arial"/>
          <w:sz w:val="20"/>
          <w:szCs w:val="20"/>
        </w:rPr>
        <w:t>AASB</w:t>
      </w:r>
      <w:proofErr w:type="spellEnd"/>
      <w:r w:rsidRPr="00E41CC5">
        <w:rPr>
          <w:rFonts w:ascii="Arial" w:hAnsi="Arial" w:cs="Arial"/>
          <w:sz w:val="20"/>
          <w:szCs w:val="20"/>
        </w:rPr>
        <w:t xml:space="preserve"> 9 relates to calculating impairment losses for the Library Board's receivables. Assuming no substantial change in the nature of the Library Board's receivables, as they don’t include a significant financing component, impairment losses will be determined according to the amount of lifetime expected credit losses. On initial adoption of </w:t>
      </w:r>
      <w:proofErr w:type="spellStart"/>
      <w:r w:rsidRPr="00E41CC5">
        <w:rPr>
          <w:rFonts w:ascii="Arial" w:hAnsi="Arial" w:cs="Arial"/>
          <w:sz w:val="20"/>
          <w:szCs w:val="20"/>
        </w:rPr>
        <w:t>AASB</w:t>
      </w:r>
      <w:proofErr w:type="spellEnd"/>
      <w:r w:rsidRPr="00E41CC5">
        <w:rPr>
          <w:rFonts w:ascii="Arial" w:hAnsi="Arial" w:cs="Arial"/>
          <w:sz w:val="20"/>
          <w:szCs w:val="20"/>
        </w:rPr>
        <w:t xml:space="preserve"> 9, the Library Board will need to determine the expected credit losses for its receivables by comparing the credit risk at that time to the credit risk that existed when those receivables were initially recognised.</w:t>
      </w:r>
    </w:p>
    <w:p w:rsidR="00E41CC5" w:rsidRPr="00E41CC5" w:rsidRDefault="00E41CC5" w:rsidP="00E41CC5">
      <w:pPr>
        <w:spacing w:after="120"/>
        <w:rPr>
          <w:rFonts w:ascii="Arial" w:hAnsi="Arial" w:cs="Arial"/>
          <w:sz w:val="20"/>
          <w:szCs w:val="20"/>
        </w:rPr>
      </w:pPr>
      <w:r w:rsidRPr="00E41CC5">
        <w:rPr>
          <w:rFonts w:ascii="Arial" w:hAnsi="Arial" w:cs="Arial"/>
          <w:sz w:val="20"/>
          <w:szCs w:val="20"/>
        </w:rPr>
        <w:t xml:space="preserve">The Library Board will not need to restate comparative figures for financial instruments </w:t>
      </w:r>
      <w:r>
        <w:rPr>
          <w:rFonts w:ascii="Arial" w:hAnsi="Arial" w:cs="Arial"/>
          <w:sz w:val="20"/>
          <w:szCs w:val="20"/>
        </w:rPr>
        <w:t xml:space="preserve">on adopting </w:t>
      </w:r>
      <w:proofErr w:type="spellStart"/>
      <w:r>
        <w:rPr>
          <w:rFonts w:ascii="Arial" w:hAnsi="Arial" w:cs="Arial"/>
          <w:sz w:val="20"/>
          <w:szCs w:val="20"/>
        </w:rPr>
        <w:t>AASB</w:t>
      </w:r>
      <w:proofErr w:type="spellEnd"/>
      <w:r>
        <w:rPr>
          <w:rFonts w:ascii="Arial" w:hAnsi="Arial" w:cs="Arial"/>
          <w:sz w:val="20"/>
          <w:szCs w:val="20"/>
        </w:rPr>
        <w:t xml:space="preserve"> 9 as from 2018–</w:t>
      </w:r>
      <w:r w:rsidRPr="00E41CC5">
        <w:rPr>
          <w:rFonts w:ascii="Arial" w:hAnsi="Arial" w:cs="Arial"/>
          <w:sz w:val="20"/>
          <w:szCs w:val="20"/>
        </w:rPr>
        <w:t>19. However changed disclosure requirements will apply from that time. A number of one-off disclosur</w:t>
      </w:r>
      <w:r>
        <w:rPr>
          <w:rFonts w:ascii="Arial" w:hAnsi="Arial" w:cs="Arial"/>
          <w:sz w:val="20"/>
          <w:szCs w:val="20"/>
        </w:rPr>
        <w:t>es will be required in the 2018–</w:t>
      </w:r>
      <w:r w:rsidRPr="00E41CC5">
        <w:rPr>
          <w:rFonts w:ascii="Arial" w:hAnsi="Arial" w:cs="Arial"/>
          <w:sz w:val="20"/>
          <w:szCs w:val="20"/>
        </w:rPr>
        <w:t xml:space="preserve">19 financial statements to explain the impact of adopting </w:t>
      </w:r>
      <w:proofErr w:type="spellStart"/>
      <w:r w:rsidRPr="00E41CC5">
        <w:rPr>
          <w:rFonts w:ascii="Arial" w:hAnsi="Arial" w:cs="Arial"/>
          <w:sz w:val="20"/>
          <w:szCs w:val="20"/>
        </w:rPr>
        <w:t>AASB</w:t>
      </w:r>
      <w:proofErr w:type="spellEnd"/>
      <w:r w:rsidRPr="00E41CC5">
        <w:rPr>
          <w:rFonts w:ascii="Arial" w:hAnsi="Arial" w:cs="Arial"/>
          <w:sz w:val="20"/>
          <w:szCs w:val="20"/>
        </w:rPr>
        <w:t xml:space="preserve"> 9. Assuming no change in the types of financial instruments that the Library Board enters into, the most likely ongoing disclosure impacts are expected to relate to the credit risk of financial assets subject to impairment.</w:t>
      </w:r>
    </w:p>
    <w:p w:rsidR="00206538" w:rsidRPr="00DE475B" w:rsidRDefault="00206538" w:rsidP="00206538">
      <w:pPr>
        <w:rPr>
          <w:rFonts w:ascii="Arial" w:hAnsi="Arial" w:cs="Arial"/>
          <w:i/>
          <w:iCs/>
          <w:sz w:val="20"/>
          <w:szCs w:val="20"/>
        </w:rPr>
      </w:pPr>
      <w:proofErr w:type="spellStart"/>
      <w:r w:rsidRPr="00DE475B">
        <w:rPr>
          <w:rFonts w:ascii="Arial" w:hAnsi="Arial" w:cs="Arial"/>
          <w:i/>
          <w:iCs/>
          <w:sz w:val="20"/>
          <w:szCs w:val="20"/>
        </w:rPr>
        <w:t>AASB</w:t>
      </w:r>
      <w:proofErr w:type="spellEnd"/>
      <w:r w:rsidRPr="00DE475B">
        <w:rPr>
          <w:rFonts w:ascii="Arial" w:hAnsi="Arial" w:cs="Arial"/>
          <w:i/>
          <w:iCs/>
          <w:sz w:val="20"/>
          <w:szCs w:val="20"/>
        </w:rPr>
        <w:t xml:space="preserve"> 16 Leases</w:t>
      </w:r>
    </w:p>
    <w:p w:rsidR="00E41CC5" w:rsidRDefault="00E41CC5" w:rsidP="00E41CC5">
      <w:pPr>
        <w:spacing w:after="120"/>
        <w:rPr>
          <w:rFonts w:ascii="Arial" w:hAnsi="Arial" w:cs="Arial"/>
          <w:spacing w:val="-2"/>
          <w:sz w:val="20"/>
          <w:szCs w:val="20"/>
        </w:rPr>
      </w:pPr>
      <w:r w:rsidRPr="00E41CC5">
        <w:rPr>
          <w:rFonts w:ascii="Arial" w:hAnsi="Arial" w:cs="Arial"/>
          <w:spacing w:val="-2"/>
          <w:sz w:val="20"/>
          <w:szCs w:val="20"/>
        </w:rPr>
        <w:t xml:space="preserve">This standard will first apply to the Board for its financial statements from 2019-20. When applied the standard supersedes </w:t>
      </w:r>
      <w:proofErr w:type="spellStart"/>
      <w:r w:rsidRPr="00E41CC5">
        <w:rPr>
          <w:rFonts w:ascii="Arial" w:hAnsi="Arial" w:cs="Arial"/>
          <w:spacing w:val="-2"/>
          <w:sz w:val="20"/>
          <w:szCs w:val="20"/>
        </w:rPr>
        <w:t>AASB</w:t>
      </w:r>
      <w:proofErr w:type="spellEnd"/>
      <w:r w:rsidRPr="00E41CC5">
        <w:rPr>
          <w:rFonts w:ascii="Arial" w:hAnsi="Arial" w:cs="Arial"/>
          <w:spacing w:val="-2"/>
          <w:sz w:val="20"/>
          <w:szCs w:val="20"/>
        </w:rPr>
        <w:t xml:space="preserve"> 117 </w:t>
      </w:r>
      <w:r w:rsidRPr="00E41CC5">
        <w:rPr>
          <w:rFonts w:ascii="Arial" w:hAnsi="Arial" w:cs="Arial"/>
          <w:i/>
          <w:spacing w:val="-2"/>
          <w:sz w:val="20"/>
          <w:szCs w:val="20"/>
        </w:rPr>
        <w:t>Leases</w:t>
      </w:r>
      <w:r w:rsidRPr="00E41CC5">
        <w:rPr>
          <w:rFonts w:ascii="Arial" w:hAnsi="Arial" w:cs="Arial"/>
          <w:spacing w:val="-2"/>
          <w:sz w:val="20"/>
          <w:szCs w:val="20"/>
        </w:rPr>
        <w:t xml:space="preserve">, </w:t>
      </w:r>
      <w:proofErr w:type="spellStart"/>
      <w:r w:rsidRPr="00E41CC5">
        <w:rPr>
          <w:rFonts w:ascii="Arial" w:hAnsi="Arial" w:cs="Arial"/>
          <w:spacing w:val="-2"/>
          <w:sz w:val="20"/>
          <w:szCs w:val="20"/>
        </w:rPr>
        <w:t>AASB</w:t>
      </w:r>
      <w:proofErr w:type="spellEnd"/>
      <w:r w:rsidRPr="00E41CC5">
        <w:rPr>
          <w:rFonts w:ascii="Arial" w:hAnsi="Arial" w:cs="Arial"/>
          <w:spacing w:val="-2"/>
          <w:sz w:val="20"/>
          <w:szCs w:val="20"/>
        </w:rPr>
        <w:t xml:space="preserve"> Interpretation 4 </w:t>
      </w:r>
      <w:r w:rsidRPr="00E41CC5">
        <w:rPr>
          <w:rFonts w:ascii="Arial" w:hAnsi="Arial" w:cs="Arial"/>
          <w:i/>
          <w:spacing w:val="-2"/>
          <w:sz w:val="20"/>
          <w:szCs w:val="20"/>
        </w:rPr>
        <w:t>Determining whether an arrangement contains a Lease</w:t>
      </w:r>
      <w:r w:rsidRPr="00E41CC5">
        <w:rPr>
          <w:rFonts w:ascii="Arial" w:hAnsi="Arial" w:cs="Arial"/>
          <w:spacing w:val="-2"/>
          <w:sz w:val="20"/>
          <w:szCs w:val="20"/>
        </w:rPr>
        <w:t xml:space="preserve">, </w:t>
      </w:r>
      <w:proofErr w:type="spellStart"/>
      <w:r w:rsidRPr="00E41CC5">
        <w:rPr>
          <w:rFonts w:ascii="Arial" w:hAnsi="Arial" w:cs="Arial"/>
          <w:spacing w:val="-2"/>
          <w:sz w:val="20"/>
          <w:szCs w:val="20"/>
        </w:rPr>
        <w:t>AASB</w:t>
      </w:r>
      <w:proofErr w:type="spellEnd"/>
      <w:r w:rsidRPr="00E41CC5">
        <w:rPr>
          <w:rFonts w:ascii="Arial" w:hAnsi="Arial" w:cs="Arial"/>
          <w:spacing w:val="-2"/>
          <w:sz w:val="20"/>
          <w:szCs w:val="20"/>
        </w:rPr>
        <w:t xml:space="preserve"> Interpretations 115 </w:t>
      </w:r>
      <w:r w:rsidRPr="00E41CC5">
        <w:rPr>
          <w:rFonts w:ascii="Arial" w:hAnsi="Arial" w:cs="Arial"/>
          <w:i/>
          <w:spacing w:val="-2"/>
          <w:sz w:val="20"/>
          <w:szCs w:val="20"/>
        </w:rPr>
        <w:t>Operating Leases - Incentives</w:t>
      </w:r>
      <w:r w:rsidRPr="00E41CC5">
        <w:rPr>
          <w:rFonts w:ascii="Arial" w:hAnsi="Arial" w:cs="Arial"/>
          <w:spacing w:val="-2"/>
          <w:sz w:val="20"/>
          <w:szCs w:val="20"/>
        </w:rPr>
        <w:t xml:space="preserve"> and </w:t>
      </w:r>
      <w:proofErr w:type="spellStart"/>
      <w:r w:rsidRPr="00E41CC5">
        <w:rPr>
          <w:rFonts w:ascii="Arial" w:hAnsi="Arial" w:cs="Arial"/>
          <w:spacing w:val="-2"/>
          <w:sz w:val="20"/>
          <w:szCs w:val="20"/>
        </w:rPr>
        <w:t>AASB</w:t>
      </w:r>
      <w:proofErr w:type="spellEnd"/>
      <w:r w:rsidRPr="00E41CC5">
        <w:rPr>
          <w:rFonts w:ascii="Arial" w:hAnsi="Arial" w:cs="Arial"/>
          <w:spacing w:val="-2"/>
          <w:sz w:val="20"/>
          <w:szCs w:val="20"/>
        </w:rPr>
        <w:t xml:space="preserve"> Interpretation 127 </w:t>
      </w:r>
      <w:r w:rsidRPr="00E41CC5">
        <w:rPr>
          <w:rFonts w:ascii="Arial" w:hAnsi="Arial" w:cs="Arial"/>
          <w:i/>
          <w:spacing w:val="-2"/>
          <w:sz w:val="20"/>
          <w:szCs w:val="20"/>
        </w:rPr>
        <w:t>Evaluating the Substance of Transactions Involving the Legal Form of a Lease</w:t>
      </w:r>
      <w:r w:rsidRPr="00E41CC5">
        <w:rPr>
          <w:rFonts w:ascii="Arial" w:hAnsi="Arial" w:cs="Arial"/>
          <w:spacing w:val="-2"/>
          <w:sz w:val="20"/>
          <w:szCs w:val="20"/>
        </w:rPr>
        <w:t>.</w:t>
      </w:r>
    </w:p>
    <w:p w:rsidR="00206538" w:rsidRPr="00DE475B" w:rsidRDefault="00206538" w:rsidP="00206538">
      <w:pPr>
        <w:rPr>
          <w:rFonts w:ascii="Arial" w:hAnsi="Arial" w:cs="Arial"/>
          <w:i/>
          <w:iCs/>
          <w:sz w:val="20"/>
          <w:szCs w:val="20"/>
        </w:rPr>
      </w:pPr>
      <w:r w:rsidRPr="00DE475B">
        <w:rPr>
          <w:rFonts w:ascii="Arial" w:hAnsi="Arial" w:cs="Arial"/>
          <w:i/>
          <w:iCs/>
          <w:sz w:val="20"/>
          <w:szCs w:val="20"/>
        </w:rPr>
        <w:t>Impact for Lessees</w:t>
      </w:r>
    </w:p>
    <w:p w:rsidR="006E7DB7" w:rsidRDefault="00206538" w:rsidP="00206538">
      <w:pPr>
        <w:spacing w:after="120"/>
        <w:rPr>
          <w:rFonts w:ascii="Arial" w:hAnsi="Arial" w:cs="Arial"/>
          <w:spacing w:val="-2"/>
          <w:sz w:val="20"/>
          <w:szCs w:val="20"/>
        </w:rPr>
      </w:pPr>
      <w:r w:rsidRPr="00DE475B">
        <w:rPr>
          <w:rFonts w:ascii="Arial" w:hAnsi="Arial" w:cs="Arial"/>
          <w:spacing w:val="-2"/>
          <w:sz w:val="20"/>
          <w:szCs w:val="20"/>
        </w:rPr>
        <w:t xml:space="preserve">Unlike </w:t>
      </w:r>
      <w:proofErr w:type="spellStart"/>
      <w:r w:rsidRPr="00DE475B">
        <w:rPr>
          <w:rFonts w:ascii="Arial" w:hAnsi="Arial" w:cs="Arial"/>
          <w:i/>
          <w:spacing w:val="-2"/>
          <w:sz w:val="20"/>
          <w:szCs w:val="20"/>
        </w:rPr>
        <w:t>AASB</w:t>
      </w:r>
      <w:proofErr w:type="spellEnd"/>
      <w:r w:rsidRPr="00DE475B">
        <w:rPr>
          <w:rFonts w:ascii="Arial" w:hAnsi="Arial" w:cs="Arial"/>
          <w:i/>
          <w:spacing w:val="-2"/>
          <w:sz w:val="20"/>
          <w:szCs w:val="20"/>
        </w:rPr>
        <w:t xml:space="preserve"> 117 Leases</w:t>
      </w:r>
      <w:r w:rsidRPr="00DE475B">
        <w:rPr>
          <w:rFonts w:ascii="Arial" w:hAnsi="Arial" w:cs="Arial"/>
          <w:spacing w:val="-2"/>
          <w:sz w:val="20"/>
          <w:szCs w:val="20"/>
        </w:rPr>
        <w:t xml:space="preserve">, </w:t>
      </w:r>
      <w:proofErr w:type="spellStart"/>
      <w:r w:rsidRPr="00DE475B">
        <w:rPr>
          <w:rFonts w:ascii="Arial" w:hAnsi="Arial" w:cs="Arial"/>
          <w:spacing w:val="-2"/>
          <w:sz w:val="20"/>
          <w:szCs w:val="20"/>
        </w:rPr>
        <w:t>AASB</w:t>
      </w:r>
      <w:proofErr w:type="spellEnd"/>
      <w:r w:rsidRPr="00DE475B">
        <w:rPr>
          <w:rFonts w:ascii="Arial" w:hAnsi="Arial" w:cs="Arial"/>
          <w:spacing w:val="-2"/>
          <w:sz w:val="20"/>
          <w:szCs w:val="20"/>
        </w:rPr>
        <w:t xml:space="preserve"> 16 introduces a single lease accounting model for lessees. Lessees will be required to recognise a right-of-use asset (representing rights to use the underlying leased asset) and a liability (representing the obligation to make lease payments) for all leases with a term of more than 12 months, unless the underlying assets are of low value. </w:t>
      </w:r>
    </w:p>
    <w:p w:rsidR="00206538" w:rsidRPr="00DE475B" w:rsidRDefault="00206538" w:rsidP="00206538">
      <w:pPr>
        <w:spacing w:after="120"/>
        <w:rPr>
          <w:rFonts w:ascii="Arial" w:hAnsi="Arial" w:cs="Arial"/>
          <w:spacing w:val="-2"/>
          <w:sz w:val="20"/>
          <w:szCs w:val="20"/>
        </w:rPr>
      </w:pPr>
      <w:r w:rsidRPr="00DE475B">
        <w:rPr>
          <w:rFonts w:ascii="Arial" w:hAnsi="Arial" w:cs="Arial"/>
          <w:spacing w:val="-2"/>
          <w:sz w:val="20"/>
          <w:szCs w:val="20"/>
        </w:rPr>
        <w:t xml:space="preserve">In effect, the majority of operating leases (as defined by the current </w:t>
      </w:r>
      <w:proofErr w:type="spellStart"/>
      <w:r w:rsidRPr="00DE475B">
        <w:rPr>
          <w:rFonts w:ascii="Arial" w:hAnsi="Arial" w:cs="Arial"/>
          <w:spacing w:val="-2"/>
          <w:sz w:val="20"/>
          <w:szCs w:val="20"/>
        </w:rPr>
        <w:t>AASB</w:t>
      </w:r>
      <w:proofErr w:type="spellEnd"/>
      <w:r w:rsidRPr="00DE475B">
        <w:rPr>
          <w:rFonts w:ascii="Arial" w:hAnsi="Arial" w:cs="Arial"/>
          <w:spacing w:val="-2"/>
          <w:sz w:val="20"/>
          <w:szCs w:val="20"/>
        </w:rPr>
        <w:t xml:space="preserve"> 117) will be </w:t>
      </w:r>
      <w:r w:rsidRPr="00DE475B">
        <w:rPr>
          <w:rFonts w:ascii="Arial" w:hAnsi="Arial" w:cs="Arial"/>
          <w:spacing w:val="-2"/>
          <w:sz w:val="20"/>
          <w:szCs w:val="20"/>
        </w:rPr>
        <w:lastRenderedPageBreak/>
        <w:t xml:space="preserve">reported on the statement of financial position under </w:t>
      </w:r>
      <w:proofErr w:type="spellStart"/>
      <w:r w:rsidRPr="00DE475B">
        <w:rPr>
          <w:rFonts w:ascii="Arial" w:hAnsi="Arial" w:cs="Arial"/>
          <w:spacing w:val="-2"/>
          <w:sz w:val="20"/>
          <w:szCs w:val="20"/>
        </w:rPr>
        <w:t>AASB</w:t>
      </w:r>
      <w:proofErr w:type="spellEnd"/>
      <w:r w:rsidRPr="00DE475B">
        <w:rPr>
          <w:rFonts w:ascii="Arial" w:hAnsi="Arial" w:cs="Arial"/>
          <w:spacing w:val="-2"/>
          <w:sz w:val="20"/>
          <w:szCs w:val="20"/>
        </w:rPr>
        <w:t xml:space="preserve"> 16. </w:t>
      </w:r>
      <w:r w:rsidR="000871F0" w:rsidRPr="000871F0">
        <w:rPr>
          <w:rFonts w:ascii="Arial" w:hAnsi="Arial" w:cs="Arial"/>
          <w:spacing w:val="-2"/>
          <w:sz w:val="20"/>
          <w:szCs w:val="20"/>
        </w:rPr>
        <w:t xml:space="preserve">It is expected there will be a significant increase in assets and liabilities for SLQ in proportion to the scale of the </w:t>
      </w:r>
      <w:proofErr w:type="spellStart"/>
      <w:r w:rsidR="000871F0" w:rsidRPr="000871F0">
        <w:rPr>
          <w:rFonts w:ascii="Arial" w:hAnsi="Arial" w:cs="Arial"/>
          <w:spacing w:val="-2"/>
          <w:sz w:val="20"/>
          <w:szCs w:val="20"/>
        </w:rPr>
        <w:t>SLQ's</w:t>
      </w:r>
      <w:proofErr w:type="spellEnd"/>
      <w:r w:rsidR="000871F0" w:rsidRPr="000871F0">
        <w:rPr>
          <w:rFonts w:ascii="Arial" w:hAnsi="Arial" w:cs="Arial"/>
          <w:spacing w:val="-2"/>
          <w:sz w:val="20"/>
          <w:szCs w:val="20"/>
        </w:rPr>
        <w:t xml:space="preserve"> leasing activities.</w:t>
      </w:r>
    </w:p>
    <w:p w:rsidR="00206538" w:rsidRPr="00DE475B" w:rsidRDefault="00206538" w:rsidP="00206538">
      <w:pPr>
        <w:spacing w:after="120"/>
        <w:rPr>
          <w:rFonts w:ascii="Arial" w:hAnsi="Arial" w:cs="Arial"/>
          <w:spacing w:val="-2"/>
          <w:sz w:val="20"/>
          <w:szCs w:val="20"/>
        </w:rPr>
      </w:pPr>
      <w:r w:rsidRPr="00DE475B">
        <w:rPr>
          <w:rFonts w:ascii="Arial" w:hAnsi="Arial" w:cs="Arial"/>
          <w:spacing w:val="-2"/>
          <w:sz w:val="20"/>
          <w:szCs w:val="20"/>
        </w:rPr>
        <w:t xml:space="preserve">The right-of-use asset will be initially recognised at cost, consisting of the initial amount of the associated lease liability, plus any lease payments made to the lessor at or before the </w:t>
      </w:r>
      <w:r w:rsidR="000871F0">
        <w:rPr>
          <w:rFonts w:ascii="Arial" w:hAnsi="Arial" w:cs="Arial"/>
          <w:spacing w:val="-2"/>
          <w:sz w:val="20"/>
          <w:szCs w:val="20"/>
        </w:rPr>
        <w:t>effective</w:t>
      </w:r>
      <w:r w:rsidRPr="00DE475B">
        <w:rPr>
          <w:rFonts w:ascii="Arial" w:hAnsi="Arial" w:cs="Arial"/>
          <w:spacing w:val="-2"/>
          <w:sz w:val="20"/>
          <w:szCs w:val="20"/>
        </w:rPr>
        <w:t xml:space="preserve"> date, less any lease incentive received, the initial estimate of </w:t>
      </w:r>
      <w:r w:rsidR="000871F0">
        <w:rPr>
          <w:rFonts w:ascii="Arial" w:hAnsi="Arial" w:cs="Arial"/>
          <w:spacing w:val="-2"/>
          <w:sz w:val="20"/>
          <w:szCs w:val="20"/>
        </w:rPr>
        <w:t xml:space="preserve">the </w:t>
      </w:r>
      <w:r w:rsidRPr="00DE475B">
        <w:rPr>
          <w:rFonts w:ascii="Arial" w:hAnsi="Arial" w:cs="Arial"/>
          <w:spacing w:val="-2"/>
          <w:sz w:val="20"/>
          <w:szCs w:val="20"/>
        </w:rPr>
        <w:t>restoration costs and any initial direct costs incurred by the lessee. The right-of-use asset will give rise to depreciation expense.</w:t>
      </w:r>
    </w:p>
    <w:p w:rsidR="00927643" w:rsidRDefault="00206538" w:rsidP="00206538">
      <w:pPr>
        <w:spacing w:after="120"/>
        <w:rPr>
          <w:rFonts w:ascii="Arial" w:hAnsi="Arial" w:cs="Arial"/>
          <w:spacing w:val="-2"/>
          <w:sz w:val="20"/>
          <w:szCs w:val="20"/>
        </w:rPr>
      </w:pPr>
      <w:r w:rsidRPr="00DE475B">
        <w:rPr>
          <w:rFonts w:ascii="Arial" w:hAnsi="Arial" w:cs="Arial"/>
          <w:spacing w:val="-2"/>
          <w:sz w:val="20"/>
          <w:szCs w:val="20"/>
        </w:rPr>
        <w:t xml:space="preserve">The lease liability will be initially recognised at an amount equal to the present value of the lease payments during the lease term that are not yet paid. Current operating lease rental payments will no longer be expensed in the Statement of Comprehensive Income. They will be apportioned between a reduction in the recognised lease liability and the implicit finance charge (the effective rate of interest) in the lease. The finance cost will also be recognised as an expense. </w:t>
      </w:r>
    </w:p>
    <w:p w:rsidR="00206538" w:rsidRPr="00DE475B" w:rsidRDefault="00206538" w:rsidP="00206538">
      <w:pPr>
        <w:spacing w:after="120"/>
        <w:rPr>
          <w:rFonts w:ascii="Arial" w:hAnsi="Arial" w:cs="Arial"/>
          <w:spacing w:val="-2"/>
          <w:sz w:val="20"/>
          <w:szCs w:val="20"/>
        </w:rPr>
      </w:pPr>
      <w:proofErr w:type="spellStart"/>
      <w:r w:rsidRPr="00DE475B">
        <w:rPr>
          <w:rFonts w:ascii="Arial" w:hAnsi="Arial" w:cs="Arial"/>
          <w:spacing w:val="-2"/>
          <w:sz w:val="20"/>
          <w:szCs w:val="20"/>
        </w:rPr>
        <w:t>AASB</w:t>
      </w:r>
      <w:proofErr w:type="spellEnd"/>
      <w:r w:rsidRPr="00DE475B">
        <w:rPr>
          <w:rFonts w:ascii="Arial" w:hAnsi="Arial" w:cs="Arial"/>
          <w:spacing w:val="-2"/>
          <w:sz w:val="20"/>
          <w:szCs w:val="20"/>
        </w:rPr>
        <w:t xml:space="preserve"> 16 allows a ‘cumulative approach’ rather than full retrospective application to recognising existing operating leases. If a lessee chooses to apply the ‘cumulative approach’, it does not need to restate comparative information. Instead, the cumulative effect of applying the standard is recognised as an adjustment to the opening balance of accumulated surplus</w:t>
      </w:r>
      <w:r w:rsidR="00927643">
        <w:rPr>
          <w:rFonts w:ascii="Arial" w:hAnsi="Arial" w:cs="Arial"/>
          <w:spacing w:val="-2"/>
          <w:sz w:val="20"/>
          <w:szCs w:val="20"/>
        </w:rPr>
        <w:t xml:space="preserve"> </w:t>
      </w:r>
      <w:r w:rsidRPr="00DE475B">
        <w:rPr>
          <w:rFonts w:ascii="Arial" w:hAnsi="Arial" w:cs="Arial"/>
          <w:spacing w:val="-2"/>
          <w:sz w:val="20"/>
          <w:szCs w:val="20"/>
        </w:rPr>
        <w:t xml:space="preserve">(or other component of equity, as appropriate) at the date of initial application. </w:t>
      </w:r>
      <w:r w:rsidR="00927643">
        <w:rPr>
          <w:rFonts w:ascii="Arial" w:hAnsi="Arial" w:cs="Arial"/>
          <w:spacing w:val="-2"/>
          <w:sz w:val="20"/>
          <w:szCs w:val="20"/>
        </w:rPr>
        <w:t xml:space="preserve">The </w:t>
      </w:r>
      <w:r w:rsidRPr="00DE475B">
        <w:rPr>
          <w:rFonts w:ascii="Arial" w:hAnsi="Arial" w:cs="Arial"/>
          <w:spacing w:val="-2"/>
          <w:sz w:val="20"/>
          <w:szCs w:val="20"/>
        </w:rPr>
        <w:t xml:space="preserve">Library </w:t>
      </w:r>
      <w:r w:rsidR="00927643">
        <w:rPr>
          <w:rFonts w:ascii="Arial" w:hAnsi="Arial" w:cs="Arial"/>
          <w:spacing w:val="-2"/>
          <w:sz w:val="20"/>
          <w:szCs w:val="20"/>
        </w:rPr>
        <w:t xml:space="preserve">Board </w:t>
      </w:r>
      <w:r w:rsidRPr="00DE475B">
        <w:rPr>
          <w:rFonts w:ascii="Arial" w:hAnsi="Arial" w:cs="Arial"/>
          <w:spacing w:val="-2"/>
          <w:sz w:val="20"/>
          <w:szCs w:val="20"/>
        </w:rPr>
        <w:t>will await further guidance from Queensland Treasury on the transitional accounting method to be applied.</w:t>
      </w:r>
    </w:p>
    <w:p w:rsidR="00206538" w:rsidRDefault="00927643" w:rsidP="00206538">
      <w:pPr>
        <w:spacing w:after="120"/>
        <w:rPr>
          <w:rFonts w:ascii="Arial" w:hAnsi="Arial" w:cs="Arial"/>
          <w:spacing w:val="-2"/>
          <w:sz w:val="20"/>
          <w:szCs w:val="20"/>
        </w:rPr>
      </w:pPr>
      <w:r>
        <w:rPr>
          <w:rFonts w:ascii="Arial" w:hAnsi="Arial" w:cs="Arial"/>
          <w:spacing w:val="-2"/>
          <w:sz w:val="20"/>
          <w:szCs w:val="20"/>
        </w:rPr>
        <w:t xml:space="preserve">The </w:t>
      </w:r>
      <w:r w:rsidR="00206538" w:rsidRPr="00DE475B">
        <w:rPr>
          <w:rFonts w:ascii="Arial" w:hAnsi="Arial" w:cs="Arial"/>
          <w:spacing w:val="-2"/>
          <w:sz w:val="20"/>
          <w:szCs w:val="20"/>
        </w:rPr>
        <w:t xml:space="preserve">Library </w:t>
      </w:r>
      <w:r>
        <w:rPr>
          <w:rFonts w:ascii="Arial" w:hAnsi="Arial" w:cs="Arial"/>
          <w:spacing w:val="-2"/>
          <w:sz w:val="20"/>
          <w:szCs w:val="20"/>
        </w:rPr>
        <w:t xml:space="preserve">Board </w:t>
      </w:r>
      <w:r w:rsidR="00206538" w:rsidRPr="00DE475B">
        <w:rPr>
          <w:rFonts w:ascii="Arial" w:hAnsi="Arial" w:cs="Arial"/>
          <w:spacing w:val="-2"/>
          <w:sz w:val="20"/>
          <w:szCs w:val="20"/>
        </w:rPr>
        <w:t xml:space="preserve">has not yet quantified the impact on the Statement of Comprehensive Income or the Statement of Financial Position of applying </w:t>
      </w:r>
      <w:proofErr w:type="spellStart"/>
      <w:r w:rsidR="00206538" w:rsidRPr="00DE475B">
        <w:rPr>
          <w:rFonts w:ascii="Arial" w:hAnsi="Arial" w:cs="Arial"/>
          <w:spacing w:val="-2"/>
          <w:sz w:val="20"/>
          <w:szCs w:val="20"/>
        </w:rPr>
        <w:t>AASB</w:t>
      </w:r>
      <w:proofErr w:type="spellEnd"/>
      <w:r w:rsidR="00206538" w:rsidRPr="00DE475B">
        <w:rPr>
          <w:rFonts w:ascii="Arial" w:hAnsi="Arial" w:cs="Arial"/>
          <w:spacing w:val="-2"/>
          <w:sz w:val="20"/>
          <w:szCs w:val="20"/>
        </w:rPr>
        <w:t xml:space="preserve"> 16 to its current operating leases, including the extent of additional disclosure required.</w:t>
      </w:r>
    </w:p>
    <w:p w:rsidR="00927643" w:rsidRPr="00DE475B" w:rsidRDefault="00927643" w:rsidP="00206538">
      <w:pPr>
        <w:spacing w:after="120"/>
        <w:rPr>
          <w:rFonts w:ascii="Arial" w:hAnsi="Arial" w:cs="Arial"/>
          <w:spacing w:val="-2"/>
          <w:sz w:val="20"/>
          <w:szCs w:val="20"/>
        </w:rPr>
      </w:pPr>
      <w:r w:rsidRPr="00927643">
        <w:rPr>
          <w:rFonts w:ascii="Arial" w:hAnsi="Arial" w:cs="Arial"/>
          <w:spacing w:val="-2"/>
          <w:sz w:val="20"/>
          <w:szCs w:val="20"/>
        </w:rPr>
        <w:t>All other Australian accounting standards and interpretations with future effective dates are either not applicable to the Library Board's activities, or have no material impact on the Library Board.</w:t>
      </w:r>
    </w:p>
    <w:p w:rsidR="008246BE" w:rsidRPr="00DE475B" w:rsidRDefault="008246BE" w:rsidP="00C5659A">
      <w:pPr>
        <w:pStyle w:val="ARheading3"/>
        <w:widowControl w:val="0"/>
        <w:tabs>
          <w:tab w:val="left" w:pos="851"/>
        </w:tabs>
        <w:spacing w:before="360" w:after="120"/>
        <w:rPr>
          <w:color w:val="808080"/>
        </w:rPr>
        <w:sectPr w:rsidR="008246BE" w:rsidRPr="00DE475B" w:rsidSect="00B53922">
          <w:type w:val="continuous"/>
          <w:pgSz w:w="11906" w:h="16838"/>
          <w:pgMar w:top="1440" w:right="1701" w:bottom="1440" w:left="1701" w:header="680" w:footer="680" w:gutter="0"/>
          <w:cols w:num="2" w:space="566"/>
          <w:docGrid w:linePitch="360"/>
        </w:sectPr>
      </w:pPr>
    </w:p>
    <w:p w:rsidR="00DD61C4" w:rsidRPr="00DE475B" w:rsidRDefault="00DD61C4" w:rsidP="00DD61C4">
      <w:pPr>
        <w:pStyle w:val="ARbodytext"/>
        <w:rPr>
          <w:b/>
          <w:bCs/>
        </w:rPr>
      </w:pPr>
      <w:r w:rsidRPr="00DE475B">
        <w:rPr>
          <w:color w:val="808080"/>
        </w:rPr>
        <w:lastRenderedPageBreak/>
        <w:br w:type="page"/>
      </w:r>
      <w:r w:rsidRPr="00DE475B">
        <w:rPr>
          <w:b/>
          <w:bCs/>
          <w:i/>
          <w:iCs/>
        </w:rPr>
        <w:lastRenderedPageBreak/>
        <w:t>Library Board of Queensland and controlled entities</w:t>
      </w:r>
    </w:p>
    <w:p w:rsidR="00DD61C4" w:rsidRPr="00DE475B" w:rsidRDefault="00373FFE" w:rsidP="00DD61C4">
      <w:pPr>
        <w:rPr>
          <w:rFonts w:ascii="Arial" w:hAnsi="Arial" w:cs="Arial"/>
          <w:b/>
          <w:bCs/>
          <w:sz w:val="20"/>
          <w:szCs w:val="20"/>
        </w:rPr>
      </w:pPr>
      <w:r w:rsidRPr="00DE475B">
        <w:rPr>
          <w:noProof/>
          <w:lang w:eastAsia="en-AU"/>
        </w:rPr>
        <mc:AlternateContent>
          <mc:Choice Requires="wps">
            <w:drawing>
              <wp:anchor distT="0" distB="0" distL="114300" distR="114300" simplePos="0" relativeHeight="251668480" behindDoc="0" locked="0" layoutInCell="1" allowOverlap="1" wp14:anchorId="2477C784" wp14:editId="222DCF33">
                <wp:simplePos x="0" y="0"/>
                <wp:positionH relativeFrom="column">
                  <wp:posOffset>-66040</wp:posOffset>
                </wp:positionH>
                <wp:positionV relativeFrom="paragraph">
                  <wp:posOffset>-222250</wp:posOffset>
                </wp:positionV>
                <wp:extent cx="5573395" cy="0"/>
                <wp:effectExtent l="13970" t="9525" r="13335" b="9525"/>
                <wp:wrapNone/>
                <wp:docPr id="26"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tHnAIAAHoFAAAOAAAAZHJzL2Uyb0RvYy54bWysVE1v2zAMvQ/YfxB0d23Hdj6MOkXrOLt0&#10;W4F22FmR5FiYLXmSGicY+t9HKYnXdJdhaAIYokRSj3yPur7Zdy3acW2EkgWOryKMuKSKCbkt8Len&#10;dTDHyFgiGWmV5AU+cINvlh8/XA99zieqUS3jGkESafKhL3BjbZ+HoaEN74i5Uj2XcFgr3RELpt6G&#10;TJMBsndtOImiaTgozXqtKDcGdlfHQ7z0+euaU/u1rg23qC0wYLP+q/13477h8prkW036RtATDPIf&#10;KDoiJFw6ploRS9CzFn+l6gTVyqjaXlHVhaquBeW+Bqgmjt5U89iQnvtaoDmmH9tk3i8t/bJ70Eiw&#10;Ak+mGEnSAUf3QnI0yRLXnKE3OfiU8kG78uhePvb3iv4wSKqyIXLLPcinQw+BsYsIL0KcYXq4YjN8&#10;Vgx8yLNVvlP7WncuJfQA7T0hh5EQvreIwmaWzZJkkWFEz2chyc+BvTb2E1cdcosCt4DaJya7e2Md&#10;EJKfXdw9Uq1F23q+W4mGAi+SKSiCElCd+ekjjWoFc17O3+jtpmw12hEnHf/z5cHJa7dOWBBwK7oC&#10;z0cnkjecsEoyf50loj2uAVIrXXLupXnECdbewtLvQ+FeNr8W0aKaV/M0SCfTKkij1Sq4XZdpMF3H&#10;s2yVrMpyFb841HGaN4IxLh3ws4Tj9N8kchqmo/hGEY+tCi+z+54C2Eukt+ssmqXJPJjNsiRIkyoK&#10;7ubrMrgt4+l0Vt2Vd9UbpJWv3rwP2LGVDpV6BjYeGzYgJpwokmwxiTEYMPKT2ZEfRNotvFXUaoy0&#10;st+FbbyGnfpcjgvi55H7n4gfsx8bcebQWSMLp9r+tAo4P/PrR8NNw3GuNoodHvR5ZGDAfdDpMXIv&#10;yGsb1q+fzOVvAAAA//8DAFBLAwQUAAYACAAAACEA3tirZ+AAAAALAQAADwAAAGRycy9kb3ducmV2&#10;LnhtbEyPQUvDQBCF74L/YRnBi7SbmlhLzKaIIB4Eaaso3rbZMRvMzobdbRP/vSMIepuZ93jzvWo9&#10;uV4cMcTOk4LFPAOB1HjTUavg5fl+tgIRkyaje0+o4AsjrOvTk0qXxo+0xeMutYJDKJZagU1pKKWM&#10;jUWn49wPSKx9+OB04jW00gQ9crjr5WWWLaXTHfEHqwe8s9h87g5OwVMYu5jyothgen99eHyzmwu3&#10;Ver8bLq9AZFwSn9m+MFndKiZae8PZKLoFcwWWcFWHvIrLsWO1fI6B7H/vci6kv871N8AAAD//wMA&#10;UEsBAi0AFAAGAAgAAAAhALaDOJL+AAAA4QEAABMAAAAAAAAAAAAAAAAAAAAAAFtDb250ZW50X1R5&#10;cGVzXS54bWxQSwECLQAUAAYACAAAACEAOP0h/9YAAACUAQAACwAAAAAAAAAAAAAAAAAvAQAAX3Jl&#10;bHMvLnJlbHNQSwECLQAUAAYACAAAACEAhVcbR5wCAAB6BQAADgAAAAAAAAAAAAAAAAAuAgAAZHJz&#10;L2Uyb0RvYy54bWxQSwECLQAUAAYACAAAACEA3tirZ+AAAAALAQAADwAAAAAAAAAAAAAAAAD2BAAA&#10;ZHJzL2Rvd25yZXYueG1sUEsFBgAAAAAEAAQA8wAAAAMGAAAAAA==&#10;" strokeweight=".26mm">
                <v:stroke joinstyle="miter" endcap="square"/>
              </v:line>
            </w:pict>
          </mc:Fallback>
        </mc:AlternateContent>
      </w:r>
      <w:r w:rsidR="00DD61C4" w:rsidRPr="00DE475B">
        <w:rPr>
          <w:rFonts w:ascii="Arial" w:hAnsi="Arial" w:cs="Arial"/>
          <w:b/>
          <w:bCs/>
          <w:sz w:val="20"/>
          <w:szCs w:val="20"/>
        </w:rPr>
        <w:t>NOTES TO THE FINANCIAL STATEMENTS</w:t>
      </w:r>
    </w:p>
    <w:p w:rsidR="00DD61C4" w:rsidRPr="00DE475B" w:rsidRDefault="00494742" w:rsidP="00DD61C4">
      <w:r>
        <w:rPr>
          <w:rFonts w:ascii="Arial" w:hAnsi="Arial" w:cs="Arial"/>
          <w:b/>
          <w:bCs/>
          <w:sz w:val="20"/>
          <w:szCs w:val="20"/>
        </w:rPr>
        <w:t>For the year ended 30 June 2017</w:t>
      </w:r>
    </w:p>
    <w:p w:rsidR="00DD61C4" w:rsidRPr="00BB7F54" w:rsidRDefault="00373FFE" w:rsidP="00DD61C4">
      <w:pPr>
        <w:pStyle w:val="ARbodytext"/>
        <w:rPr>
          <w:rFonts w:eastAsia="Times New Roman"/>
          <w:b/>
          <w:bCs/>
          <w:lang w:eastAsia="en-US"/>
        </w:rPr>
      </w:pPr>
      <w:r w:rsidRPr="00BB7F54">
        <w:rPr>
          <w:rFonts w:eastAsia="Times New Roman"/>
          <w:b/>
          <w:bCs/>
          <w:noProof/>
          <w:lang w:eastAsia="en-AU"/>
        </w:rPr>
        <mc:AlternateContent>
          <mc:Choice Requires="wps">
            <w:drawing>
              <wp:anchor distT="0" distB="0" distL="114300" distR="114300" simplePos="0" relativeHeight="251667456" behindDoc="0" locked="0" layoutInCell="1" allowOverlap="1" wp14:anchorId="52728C80" wp14:editId="0F84F474">
                <wp:simplePos x="0" y="0"/>
                <wp:positionH relativeFrom="column">
                  <wp:posOffset>-66040</wp:posOffset>
                </wp:positionH>
                <wp:positionV relativeFrom="paragraph">
                  <wp:posOffset>70485</wp:posOffset>
                </wp:positionV>
                <wp:extent cx="5573395" cy="0"/>
                <wp:effectExtent l="13970" t="13335" r="13335" b="5715"/>
                <wp:wrapNone/>
                <wp:docPr id="25"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KUmgIAAHoFAAAOAAAAZHJzL2Uyb0RvYy54bWysVE1v2zAMvQ/YfxB0d/2dD6PO0DrOLt1W&#10;oB12ViQ5FmZLnqTGKYb991FK4jXdZRiaAIYokdQj36OuPxz6Du25NkLJEsdXEUZcUsWE3JX46+Mm&#10;WGBkLJGMdEryEj9zgz+s3r+7HoeCJ6pVHeMaQRJpinEocWvtUIShoS3viblSA5dw2CjdEwum3oVM&#10;kxGy912YRNEsHJVmg1aUGwO76+MhXvn8TcOp/dI0hlvUlRiwWf/V/rt133B1TYqdJkMr6AkG+Q8U&#10;PRESLp1SrYkl6EmLv1L1gmplVGOvqOpD1TSCcl8DVBNHr6p5aMnAfS3QHDNMbTJvl5Z+3t9rJFiJ&#10;kxwjSXrg6E5IjpI8cc0ZB1OATyXvtSuPHuTDcKfod4Okqloid9yDfHweIDB2EeFFiDPMAFdsx0+K&#10;gQ95ssp36tDo3qWEHqCDJ+R5IoQfLKKwmefzNF0CMHo+C0lxDhy0sR+56pFblLgD1D4x2d8Z64CQ&#10;4uzi7pFqI7rO891JNJZ4mc5AEZSA6swPH2lUJ5jzcv5G77ZVp9GeOOn4ny8PTl669cKCgDvRl3gx&#10;OZGi5YTVkvnrLBHdcQ2QOumScy/NI06wDhaWfh8K97L5uYyW9aJeZEGWzOogi9br4GZTZcFsE8/z&#10;dbquqnX8y6GOs6IVjHHpgJ8lHGf/JpHTMB3FN4l4alV4md33FMBeIr3Z5NE8SxfBfJ6nQZbWUXC7&#10;2FTBTRXPZvP6trqtXyGtffXmbcBOrXSo1BOw8dCyETHhRJHmyyTGYMDIJ/MjP4h0O3irqNUYaWW/&#10;Cdt6DTv1uRwXxC8i9z8RP2U/NuLMobMmFk61/WkVcH7m14+Gm4bjXG0Ve77X55GBAfdBp8fIvSAv&#10;bVi/fDJXvwEAAP//AwBQSwMEFAAGAAgAAAAhAPBAaXHeAAAACQEAAA8AAABkcnMvZG93bnJldi54&#10;bWxMj8FKw0AQhu+C77CM4EXaTWyoJWZTRBAPgrRVFG/b7JgNZmfD7raJb+9ID3qc+T/++aZaT64X&#10;Rwyx86Qgn2cgkBpvOmoVvL48zFYgYtJkdO8JFXxjhHV9flbp0viRtnjcpVZwCcVSK7ApDaWUsbHo&#10;dJz7AYmzTx+cTjyGVpqgRy53vbzOsqV0uiO+YPWA9xabr93BKXgOYxfToig2mD7eHp/e7ebKbZW6&#10;vJjubkEknNIfDL/6rA41O+39gUwUvYJZnhWMcpDnIBhYLW8WIPanhawr+f+D+gcAAP//AwBQSwEC&#10;LQAUAAYACAAAACEAtoM4kv4AAADhAQAAEwAAAAAAAAAAAAAAAAAAAAAAW0NvbnRlbnRfVHlwZXNd&#10;LnhtbFBLAQItABQABgAIAAAAIQA4/SH/1gAAAJQBAAALAAAAAAAAAAAAAAAAAC8BAABfcmVscy8u&#10;cmVsc1BLAQItABQABgAIAAAAIQDliwKUmgIAAHoFAAAOAAAAAAAAAAAAAAAAAC4CAABkcnMvZTJv&#10;RG9jLnhtbFBLAQItABQABgAIAAAAIQDwQGlx3gAAAAkBAAAPAAAAAAAAAAAAAAAAAPQEAABkcnMv&#10;ZG93bnJldi54bWxQSwUGAAAAAAQABADzAAAA/wUAAAAA&#10;" strokeweight=".26mm">
                <v:stroke joinstyle="miter" endcap="square"/>
              </v:line>
            </w:pict>
          </mc:Fallback>
        </mc:AlternateContent>
      </w:r>
    </w:p>
    <w:p w:rsidR="00494742" w:rsidRPr="00DE475B" w:rsidRDefault="00494742" w:rsidP="00494742">
      <w:pPr>
        <w:pStyle w:val="ARheading3"/>
        <w:widowControl w:val="0"/>
        <w:tabs>
          <w:tab w:val="left" w:pos="851"/>
        </w:tabs>
        <w:spacing w:before="120" w:after="120"/>
        <w:rPr>
          <w:color w:val="808080"/>
        </w:rPr>
      </w:pPr>
      <w:r w:rsidRPr="00DE475B">
        <w:rPr>
          <w:color w:val="808080"/>
        </w:rPr>
        <w:t>E1   Budgetary reporting disclosures</w:t>
      </w:r>
    </w:p>
    <w:p w:rsidR="00494742" w:rsidRPr="00BB7F54" w:rsidRDefault="00494742" w:rsidP="00781097">
      <w:pPr>
        <w:pStyle w:val="ARheading3"/>
        <w:widowControl w:val="0"/>
        <w:tabs>
          <w:tab w:val="left" w:pos="851"/>
        </w:tabs>
        <w:spacing w:after="120"/>
        <w:rPr>
          <w:color w:val="808080"/>
          <w:spacing w:val="2"/>
        </w:rPr>
      </w:pPr>
      <w:r w:rsidRPr="00494742">
        <w:rPr>
          <w:b w:val="0"/>
          <w:bCs w:val="0"/>
          <w:spacing w:val="2"/>
        </w:rPr>
        <w:t>This section contains explanations of major variances between the Library Board's actual 2016–17 financial results and the original budget presented to Parliament.</w:t>
      </w:r>
    </w:p>
    <w:p w:rsidR="007F4DCE" w:rsidRPr="00E1735A" w:rsidRDefault="00781097" w:rsidP="00E1735A">
      <w:pPr>
        <w:tabs>
          <w:tab w:val="left" w:pos="284"/>
          <w:tab w:val="left" w:pos="5878"/>
          <w:tab w:val="left" w:pos="8548"/>
          <w:tab w:val="left" w:pos="8770"/>
          <w:tab w:val="left" w:pos="10266"/>
          <w:tab w:val="left" w:pos="11702"/>
        </w:tabs>
        <w:spacing w:before="120" w:after="120"/>
        <w:rPr>
          <w:rFonts w:ascii="Arial" w:hAnsi="Arial" w:cs="Arial"/>
          <w:b/>
          <w:bCs/>
          <w:sz w:val="20"/>
          <w:szCs w:val="20"/>
        </w:rPr>
      </w:pPr>
      <w:r w:rsidRPr="00E1735A">
        <w:rPr>
          <w:rFonts w:ascii="Arial" w:hAnsi="Arial" w:cs="Arial"/>
          <w:b/>
          <w:bCs/>
          <w:sz w:val="20"/>
          <w:szCs w:val="20"/>
        </w:rPr>
        <w:t>E</w:t>
      </w:r>
      <w:r w:rsidR="00BB7F54" w:rsidRPr="00E1735A">
        <w:rPr>
          <w:rFonts w:ascii="Arial" w:hAnsi="Arial" w:cs="Arial"/>
          <w:b/>
          <w:bCs/>
          <w:sz w:val="20"/>
          <w:szCs w:val="20"/>
        </w:rPr>
        <w:t>1-1</w:t>
      </w:r>
      <w:r w:rsidRPr="00E1735A">
        <w:rPr>
          <w:rFonts w:ascii="Arial" w:hAnsi="Arial" w:cs="Arial"/>
          <w:b/>
          <w:bCs/>
          <w:sz w:val="20"/>
          <w:szCs w:val="20"/>
        </w:rPr>
        <w:t xml:space="preserve">   Budget to actual comparison — Statement of comprehensive income</w:t>
      </w:r>
    </w:p>
    <w:tbl>
      <w:tblPr>
        <w:tblW w:w="8789" w:type="dxa"/>
        <w:tblInd w:w="108" w:type="dxa"/>
        <w:tblLayout w:type="fixed"/>
        <w:tblLook w:val="0000" w:firstRow="0" w:lastRow="0" w:firstColumn="0" w:lastColumn="0" w:noHBand="0" w:noVBand="0"/>
      </w:tblPr>
      <w:tblGrid>
        <w:gridCol w:w="3242"/>
        <w:gridCol w:w="1720"/>
        <w:gridCol w:w="1417"/>
        <w:gridCol w:w="1276"/>
        <w:gridCol w:w="1134"/>
      </w:tblGrid>
      <w:tr w:rsidR="00DD61C4" w:rsidRPr="00DE475B" w:rsidTr="00E1735A">
        <w:trPr>
          <w:trHeight w:val="240"/>
        </w:trPr>
        <w:tc>
          <w:tcPr>
            <w:tcW w:w="3242" w:type="dxa"/>
            <w:shd w:val="clear" w:color="auto" w:fill="auto"/>
            <w:vAlign w:val="bottom"/>
          </w:tcPr>
          <w:p w:rsidR="00DD61C4" w:rsidRPr="00DE475B" w:rsidRDefault="00DD61C4" w:rsidP="00A056EE">
            <w:pPr>
              <w:snapToGrid w:val="0"/>
              <w:jc w:val="center"/>
              <w:rPr>
                <w:rFonts w:ascii="Arial" w:hAnsi="Arial" w:cs="Arial"/>
                <w:b/>
                <w:bCs/>
                <w:sz w:val="20"/>
                <w:szCs w:val="20"/>
              </w:rPr>
            </w:pPr>
          </w:p>
        </w:tc>
        <w:tc>
          <w:tcPr>
            <w:tcW w:w="1720" w:type="dxa"/>
            <w:shd w:val="clear" w:color="auto" w:fill="auto"/>
            <w:vAlign w:val="bottom"/>
          </w:tcPr>
          <w:p w:rsidR="00DD61C4" w:rsidRPr="00DE475B" w:rsidRDefault="00DD61C4" w:rsidP="00A056EE">
            <w:pPr>
              <w:snapToGrid w:val="0"/>
              <w:jc w:val="center"/>
              <w:rPr>
                <w:rFonts w:ascii="Arial" w:hAnsi="Arial" w:cs="Arial"/>
                <w:b/>
                <w:bCs/>
                <w:sz w:val="20"/>
                <w:szCs w:val="20"/>
              </w:rPr>
            </w:pPr>
          </w:p>
        </w:tc>
        <w:tc>
          <w:tcPr>
            <w:tcW w:w="3827" w:type="dxa"/>
            <w:gridSpan w:val="3"/>
            <w:shd w:val="clear" w:color="auto" w:fill="auto"/>
          </w:tcPr>
          <w:p w:rsidR="00DD61C4" w:rsidRPr="00DE475B" w:rsidRDefault="00DD61C4" w:rsidP="00A056EE">
            <w:pPr>
              <w:jc w:val="center"/>
              <w:rPr>
                <w:rFonts w:ascii="Arial" w:hAnsi="Arial" w:cs="Arial"/>
                <w:b/>
                <w:bCs/>
                <w:sz w:val="20"/>
                <w:szCs w:val="20"/>
              </w:rPr>
            </w:pPr>
            <w:r w:rsidRPr="00DE475B">
              <w:rPr>
                <w:rFonts w:ascii="Arial" w:hAnsi="Arial" w:cs="Arial"/>
                <w:b/>
                <w:bCs/>
                <w:sz w:val="20"/>
                <w:szCs w:val="20"/>
              </w:rPr>
              <w:t>Economic Entity</w:t>
            </w:r>
          </w:p>
        </w:tc>
      </w:tr>
      <w:tr w:rsidR="00BB7F54" w:rsidRPr="00DE475B" w:rsidTr="00E1735A">
        <w:trPr>
          <w:trHeight w:val="301"/>
        </w:trPr>
        <w:tc>
          <w:tcPr>
            <w:tcW w:w="4962" w:type="dxa"/>
            <w:gridSpan w:val="2"/>
            <w:shd w:val="clear" w:color="auto" w:fill="auto"/>
          </w:tcPr>
          <w:p w:rsidR="00BB7F54" w:rsidRPr="00DE475B" w:rsidRDefault="00BB7F54" w:rsidP="00A056EE">
            <w:pPr>
              <w:rPr>
                <w:rFonts w:ascii="Arial" w:hAnsi="Arial" w:cs="Arial"/>
                <w:b/>
                <w:bCs/>
                <w:sz w:val="20"/>
                <w:szCs w:val="20"/>
              </w:rPr>
            </w:pPr>
          </w:p>
        </w:tc>
        <w:tc>
          <w:tcPr>
            <w:tcW w:w="1417" w:type="dxa"/>
            <w:vMerge w:val="restart"/>
            <w:shd w:val="clear" w:color="auto" w:fill="auto"/>
            <w:vAlign w:val="bottom"/>
          </w:tcPr>
          <w:p w:rsidR="00BB7F54" w:rsidRPr="00DE475B" w:rsidRDefault="00BB7F54" w:rsidP="00A056EE">
            <w:pPr>
              <w:jc w:val="right"/>
              <w:rPr>
                <w:rFonts w:ascii="Arial" w:hAnsi="Arial" w:cs="Arial"/>
                <w:b/>
                <w:bCs/>
                <w:sz w:val="20"/>
                <w:szCs w:val="20"/>
              </w:rPr>
            </w:pPr>
            <w:r>
              <w:rPr>
                <w:rFonts w:ascii="Arial" w:hAnsi="Arial" w:cs="Arial"/>
                <w:b/>
                <w:bCs/>
                <w:sz w:val="20"/>
                <w:szCs w:val="20"/>
              </w:rPr>
              <w:t>Actual 2017</w:t>
            </w:r>
          </w:p>
        </w:tc>
        <w:tc>
          <w:tcPr>
            <w:tcW w:w="1276" w:type="dxa"/>
            <w:vMerge w:val="restart"/>
            <w:shd w:val="clear" w:color="auto" w:fill="auto"/>
            <w:vAlign w:val="bottom"/>
          </w:tcPr>
          <w:p w:rsidR="00BB7F54" w:rsidRPr="00DE475B" w:rsidRDefault="00BB7F54" w:rsidP="00A056EE">
            <w:pPr>
              <w:jc w:val="right"/>
              <w:rPr>
                <w:rFonts w:ascii="Arial" w:hAnsi="Arial" w:cs="Arial"/>
                <w:b/>
                <w:bCs/>
                <w:sz w:val="20"/>
                <w:szCs w:val="20"/>
              </w:rPr>
            </w:pPr>
            <w:r>
              <w:rPr>
                <w:rFonts w:ascii="Arial" w:hAnsi="Arial" w:cs="Arial"/>
                <w:b/>
                <w:bCs/>
                <w:sz w:val="20"/>
                <w:szCs w:val="20"/>
              </w:rPr>
              <w:t>Original Budget 2017</w:t>
            </w:r>
          </w:p>
        </w:tc>
        <w:tc>
          <w:tcPr>
            <w:tcW w:w="1134" w:type="dxa"/>
            <w:vMerge w:val="restart"/>
            <w:shd w:val="clear" w:color="auto" w:fill="auto"/>
            <w:vAlign w:val="bottom"/>
          </w:tcPr>
          <w:p w:rsidR="00BB7F54" w:rsidRPr="00DE475B" w:rsidRDefault="00BB7F54" w:rsidP="00BB7F54">
            <w:pPr>
              <w:jc w:val="right"/>
              <w:rPr>
                <w:rFonts w:ascii="Arial" w:hAnsi="Arial" w:cs="Arial"/>
                <w:b/>
                <w:bCs/>
                <w:sz w:val="20"/>
                <w:szCs w:val="20"/>
              </w:rPr>
            </w:pPr>
            <w:r w:rsidRPr="00DE475B">
              <w:rPr>
                <w:rFonts w:ascii="Arial" w:hAnsi="Arial" w:cs="Arial"/>
                <w:b/>
                <w:bCs/>
                <w:sz w:val="20"/>
                <w:szCs w:val="20"/>
              </w:rPr>
              <w:t xml:space="preserve">Budget </w:t>
            </w:r>
            <w:r>
              <w:rPr>
                <w:rFonts w:ascii="Arial" w:hAnsi="Arial" w:cs="Arial"/>
                <w:b/>
                <w:bCs/>
                <w:sz w:val="20"/>
                <w:szCs w:val="20"/>
              </w:rPr>
              <w:t>Variance</w:t>
            </w:r>
          </w:p>
        </w:tc>
      </w:tr>
      <w:tr w:rsidR="00BB7F54" w:rsidRPr="00DE475B" w:rsidTr="00E1735A">
        <w:trPr>
          <w:trHeight w:val="111"/>
        </w:trPr>
        <w:tc>
          <w:tcPr>
            <w:tcW w:w="3242" w:type="dxa"/>
            <w:shd w:val="clear" w:color="auto" w:fill="auto"/>
          </w:tcPr>
          <w:p w:rsidR="00BB7F54" w:rsidRPr="00DE475B" w:rsidRDefault="00BB7F54" w:rsidP="00A056EE">
            <w:pPr>
              <w:rPr>
                <w:rFonts w:ascii="Arial" w:hAnsi="Arial" w:cs="Arial"/>
                <w:b/>
                <w:bCs/>
                <w:sz w:val="20"/>
                <w:szCs w:val="20"/>
              </w:rPr>
            </w:pPr>
          </w:p>
        </w:tc>
        <w:tc>
          <w:tcPr>
            <w:tcW w:w="1720" w:type="dxa"/>
            <w:vMerge w:val="restart"/>
            <w:shd w:val="clear" w:color="auto" w:fill="auto"/>
          </w:tcPr>
          <w:p w:rsidR="00BB7F54" w:rsidRDefault="00AB7044" w:rsidP="00A056EE">
            <w:pPr>
              <w:jc w:val="center"/>
              <w:rPr>
                <w:rFonts w:ascii="Arial" w:hAnsi="Arial" w:cs="Arial"/>
                <w:b/>
                <w:bCs/>
                <w:sz w:val="20"/>
                <w:szCs w:val="20"/>
              </w:rPr>
            </w:pPr>
            <w:r>
              <w:rPr>
                <w:rFonts w:ascii="Arial" w:hAnsi="Arial" w:cs="Arial"/>
                <w:b/>
                <w:bCs/>
                <w:sz w:val="20"/>
                <w:szCs w:val="20"/>
              </w:rPr>
              <w:t>Variance</w:t>
            </w:r>
          </w:p>
          <w:p w:rsidR="00AB7044" w:rsidRPr="00DE475B" w:rsidRDefault="00AB7044" w:rsidP="00A056EE">
            <w:pPr>
              <w:jc w:val="center"/>
              <w:rPr>
                <w:rFonts w:ascii="Arial" w:hAnsi="Arial" w:cs="Arial"/>
                <w:b/>
                <w:bCs/>
                <w:sz w:val="20"/>
                <w:szCs w:val="20"/>
              </w:rPr>
            </w:pPr>
            <w:r>
              <w:rPr>
                <w:rFonts w:ascii="Arial" w:hAnsi="Arial" w:cs="Arial"/>
                <w:b/>
                <w:bCs/>
                <w:sz w:val="20"/>
                <w:szCs w:val="20"/>
              </w:rPr>
              <w:t>Note</w:t>
            </w:r>
          </w:p>
        </w:tc>
        <w:tc>
          <w:tcPr>
            <w:tcW w:w="1417" w:type="dxa"/>
            <w:vMerge/>
            <w:shd w:val="clear" w:color="auto" w:fill="auto"/>
            <w:vAlign w:val="bottom"/>
          </w:tcPr>
          <w:p w:rsidR="00BB7F54" w:rsidRPr="00DE475B" w:rsidRDefault="00BB7F54" w:rsidP="00A056EE">
            <w:pPr>
              <w:jc w:val="right"/>
              <w:rPr>
                <w:rFonts w:ascii="Arial" w:hAnsi="Arial" w:cs="Arial"/>
                <w:b/>
                <w:bCs/>
                <w:sz w:val="20"/>
                <w:szCs w:val="20"/>
              </w:rPr>
            </w:pPr>
          </w:p>
        </w:tc>
        <w:tc>
          <w:tcPr>
            <w:tcW w:w="1276" w:type="dxa"/>
            <w:vMerge/>
            <w:shd w:val="clear" w:color="auto" w:fill="auto"/>
            <w:vAlign w:val="bottom"/>
          </w:tcPr>
          <w:p w:rsidR="00BB7F54" w:rsidRPr="00DE475B" w:rsidRDefault="00BB7F54" w:rsidP="00A056EE">
            <w:pPr>
              <w:jc w:val="right"/>
              <w:rPr>
                <w:rFonts w:ascii="Arial" w:hAnsi="Arial" w:cs="Arial"/>
                <w:b/>
                <w:bCs/>
                <w:sz w:val="20"/>
                <w:szCs w:val="20"/>
              </w:rPr>
            </w:pPr>
          </w:p>
        </w:tc>
        <w:tc>
          <w:tcPr>
            <w:tcW w:w="1134" w:type="dxa"/>
            <w:vMerge/>
            <w:shd w:val="clear" w:color="auto" w:fill="auto"/>
            <w:vAlign w:val="bottom"/>
          </w:tcPr>
          <w:p w:rsidR="00BB7F54" w:rsidRPr="00DE475B" w:rsidRDefault="00BB7F54" w:rsidP="00A056EE">
            <w:pPr>
              <w:jc w:val="right"/>
              <w:rPr>
                <w:rFonts w:ascii="Arial" w:hAnsi="Arial" w:cs="Arial"/>
                <w:b/>
                <w:bCs/>
                <w:sz w:val="20"/>
                <w:szCs w:val="20"/>
              </w:rPr>
            </w:pPr>
          </w:p>
        </w:tc>
      </w:tr>
      <w:tr w:rsidR="00BB7F54" w:rsidRPr="00DE475B" w:rsidTr="00E1735A">
        <w:trPr>
          <w:trHeight w:val="240"/>
        </w:trPr>
        <w:tc>
          <w:tcPr>
            <w:tcW w:w="3242" w:type="dxa"/>
            <w:shd w:val="clear" w:color="auto" w:fill="auto"/>
            <w:vAlign w:val="bottom"/>
          </w:tcPr>
          <w:p w:rsidR="00BB7F54" w:rsidRPr="00DE475B" w:rsidRDefault="00BB7F54" w:rsidP="00A056EE">
            <w:pPr>
              <w:snapToGrid w:val="0"/>
              <w:rPr>
                <w:rFonts w:ascii="Arial" w:hAnsi="Arial" w:cs="Arial"/>
                <w:b/>
                <w:bCs/>
                <w:sz w:val="20"/>
                <w:szCs w:val="20"/>
              </w:rPr>
            </w:pPr>
          </w:p>
        </w:tc>
        <w:tc>
          <w:tcPr>
            <w:tcW w:w="1720" w:type="dxa"/>
            <w:vMerge/>
            <w:shd w:val="clear" w:color="auto" w:fill="auto"/>
            <w:vAlign w:val="bottom"/>
          </w:tcPr>
          <w:p w:rsidR="00BB7F54" w:rsidRPr="00DE475B" w:rsidRDefault="00BB7F54" w:rsidP="00A056EE">
            <w:pPr>
              <w:jc w:val="center"/>
              <w:rPr>
                <w:rFonts w:ascii="Arial" w:hAnsi="Arial" w:cs="Arial"/>
                <w:b/>
                <w:bCs/>
                <w:sz w:val="20"/>
                <w:szCs w:val="20"/>
              </w:rPr>
            </w:pPr>
          </w:p>
        </w:tc>
        <w:tc>
          <w:tcPr>
            <w:tcW w:w="1417" w:type="dxa"/>
            <w:shd w:val="clear" w:color="auto" w:fill="auto"/>
            <w:vAlign w:val="bottom"/>
          </w:tcPr>
          <w:p w:rsidR="00BB7F54" w:rsidRPr="00DE475B" w:rsidRDefault="00BB7F54" w:rsidP="00A056EE">
            <w:pPr>
              <w:jc w:val="right"/>
              <w:rPr>
                <w:rFonts w:ascii="Arial" w:hAnsi="Arial" w:cs="Arial"/>
                <w:b/>
                <w:bCs/>
                <w:sz w:val="20"/>
                <w:szCs w:val="20"/>
              </w:rPr>
            </w:pPr>
            <w:r w:rsidRPr="00DE475B">
              <w:rPr>
                <w:rFonts w:ascii="Arial" w:hAnsi="Arial" w:cs="Arial"/>
                <w:b/>
                <w:bCs/>
                <w:sz w:val="20"/>
                <w:szCs w:val="20"/>
              </w:rPr>
              <w:t>$'000</w:t>
            </w:r>
          </w:p>
        </w:tc>
        <w:tc>
          <w:tcPr>
            <w:tcW w:w="1276" w:type="dxa"/>
            <w:shd w:val="clear" w:color="auto" w:fill="auto"/>
            <w:vAlign w:val="bottom"/>
          </w:tcPr>
          <w:p w:rsidR="00BB7F54" w:rsidRPr="00DE475B" w:rsidRDefault="00BB7F54" w:rsidP="00A056EE">
            <w:pPr>
              <w:jc w:val="right"/>
              <w:rPr>
                <w:rFonts w:ascii="Arial" w:hAnsi="Arial" w:cs="Arial"/>
                <w:b/>
                <w:bCs/>
                <w:sz w:val="20"/>
                <w:szCs w:val="20"/>
              </w:rPr>
            </w:pPr>
            <w:r w:rsidRPr="00DE475B">
              <w:rPr>
                <w:rFonts w:ascii="Arial" w:hAnsi="Arial" w:cs="Arial"/>
                <w:b/>
                <w:bCs/>
                <w:sz w:val="20"/>
                <w:szCs w:val="20"/>
              </w:rPr>
              <w:t>$'000</w:t>
            </w:r>
          </w:p>
        </w:tc>
        <w:tc>
          <w:tcPr>
            <w:tcW w:w="1134" w:type="dxa"/>
            <w:shd w:val="clear" w:color="auto" w:fill="auto"/>
            <w:vAlign w:val="bottom"/>
          </w:tcPr>
          <w:p w:rsidR="00BB7F54" w:rsidRPr="00DE475B" w:rsidRDefault="00BB7F54" w:rsidP="00A056EE">
            <w:pPr>
              <w:jc w:val="right"/>
              <w:rPr>
                <w:rFonts w:ascii="Arial" w:hAnsi="Arial" w:cs="Arial"/>
                <w:b/>
                <w:bCs/>
                <w:sz w:val="20"/>
                <w:szCs w:val="20"/>
              </w:rPr>
            </w:pPr>
            <w:r w:rsidRPr="00DE475B">
              <w:rPr>
                <w:rFonts w:ascii="Arial" w:hAnsi="Arial" w:cs="Arial"/>
                <w:b/>
                <w:bCs/>
                <w:sz w:val="20"/>
                <w:szCs w:val="20"/>
              </w:rPr>
              <w:t>$'000</w:t>
            </w:r>
          </w:p>
        </w:tc>
      </w:tr>
      <w:tr w:rsidR="00BB7F54" w:rsidRPr="00DE475B" w:rsidTr="00E1735A">
        <w:trPr>
          <w:trHeight w:val="227"/>
        </w:trPr>
        <w:tc>
          <w:tcPr>
            <w:tcW w:w="4962" w:type="dxa"/>
            <w:gridSpan w:val="2"/>
            <w:shd w:val="clear" w:color="auto" w:fill="auto"/>
            <w:vAlign w:val="center"/>
          </w:tcPr>
          <w:p w:rsidR="00BB7F54" w:rsidRPr="00DE475B" w:rsidRDefault="00BB7F54" w:rsidP="00246D11">
            <w:pPr>
              <w:rPr>
                <w:rFonts w:ascii="Arial" w:hAnsi="Arial" w:cs="Arial"/>
                <w:b/>
                <w:bCs/>
                <w:sz w:val="20"/>
                <w:szCs w:val="20"/>
              </w:rPr>
            </w:pPr>
            <w:r w:rsidRPr="00DE475B">
              <w:rPr>
                <w:rFonts w:ascii="Arial" w:hAnsi="Arial" w:cs="Arial"/>
                <w:b/>
                <w:bCs/>
                <w:sz w:val="20"/>
                <w:szCs w:val="20"/>
              </w:rPr>
              <w:t>Income from continuing operations</w:t>
            </w:r>
          </w:p>
        </w:tc>
        <w:tc>
          <w:tcPr>
            <w:tcW w:w="1417" w:type="dxa"/>
            <w:shd w:val="clear" w:color="auto" w:fill="auto"/>
            <w:vAlign w:val="bottom"/>
          </w:tcPr>
          <w:p w:rsidR="00BB7F54" w:rsidRPr="00DE475B" w:rsidRDefault="00BB7F54" w:rsidP="00A056EE">
            <w:pPr>
              <w:rPr>
                <w:rFonts w:ascii="Arial" w:hAnsi="Arial" w:cs="Arial"/>
                <w:b/>
                <w:bCs/>
                <w:sz w:val="20"/>
                <w:szCs w:val="20"/>
              </w:rPr>
            </w:pPr>
            <w:r w:rsidRPr="00DE475B">
              <w:rPr>
                <w:rFonts w:ascii="Arial" w:hAnsi="Arial" w:cs="Arial"/>
                <w:b/>
                <w:bCs/>
                <w:sz w:val="20"/>
                <w:szCs w:val="20"/>
              </w:rPr>
              <w:t> </w:t>
            </w:r>
          </w:p>
        </w:tc>
        <w:tc>
          <w:tcPr>
            <w:tcW w:w="1276" w:type="dxa"/>
            <w:shd w:val="clear" w:color="auto" w:fill="auto"/>
            <w:vAlign w:val="bottom"/>
          </w:tcPr>
          <w:p w:rsidR="00BB7F54" w:rsidRPr="00DE475B" w:rsidRDefault="00BB7F54" w:rsidP="00A056EE">
            <w:pPr>
              <w:rPr>
                <w:rFonts w:ascii="Arial" w:hAnsi="Arial" w:cs="Arial"/>
                <w:b/>
                <w:bCs/>
                <w:sz w:val="20"/>
                <w:szCs w:val="20"/>
              </w:rPr>
            </w:pPr>
            <w:r w:rsidRPr="00DE475B">
              <w:rPr>
                <w:rFonts w:ascii="Arial" w:hAnsi="Arial" w:cs="Arial"/>
                <w:b/>
                <w:bCs/>
                <w:sz w:val="20"/>
                <w:szCs w:val="20"/>
              </w:rPr>
              <w:t> </w:t>
            </w:r>
          </w:p>
        </w:tc>
        <w:tc>
          <w:tcPr>
            <w:tcW w:w="1134" w:type="dxa"/>
            <w:shd w:val="clear" w:color="auto" w:fill="auto"/>
            <w:vAlign w:val="bottom"/>
          </w:tcPr>
          <w:p w:rsidR="00BB7F54" w:rsidRPr="00DE475B" w:rsidRDefault="00BB7F54" w:rsidP="00A056EE">
            <w:pPr>
              <w:rPr>
                <w:rFonts w:ascii="Arial" w:hAnsi="Arial" w:cs="Arial"/>
                <w:sz w:val="20"/>
                <w:szCs w:val="20"/>
              </w:rPr>
            </w:pPr>
            <w:r w:rsidRPr="00DE475B">
              <w:rPr>
                <w:rFonts w:ascii="Arial" w:hAnsi="Arial" w:cs="Arial"/>
                <w:b/>
                <w:bCs/>
                <w:sz w:val="20"/>
                <w:szCs w:val="20"/>
              </w:rPr>
              <w:t> </w:t>
            </w:r>
          </w:p>
        </w:tc>
      </w:tr>
      <w:tr w:rsidR="00BB7F54" w:rsidRPr="00DE475B" w:rsidTr="00E1735A">
        <w:trPr>
          <w:trHeight w:val="102"/>
        </w:trPr>
        <w:tc>
          <w:tcPr>
            <w:tcW w:w="3242" w:type="dxa"/>
            <w:shd w:val="clear" w:color="auto" w:fill="auto"/>
            <w:vAlign w:val="center"/>
          </w:tcPr>
          <w:p w:rsidR="00BB7F54" w:rsidRPr="00DE475B" w:rsidRDefault="00BB7F54" w:rsidP="00246D11">
            <w:pPr>
              <w:snapToGrid w:val="0"/>
              <w:rPr>
                <w:rFonts w:ascii="Arial" w:hAnsi="Arial" w:cs="Arial"/>
                <w:sz w:val="20"/>
                <w:szCs w:val="20"/>
              </w:rPr>
            </w:pPr>
            <w:r w:rsidRPr="00DE475B">
              <w:rPr>
                <w:rFonts w:ascii="Arial" w:hAnsi="Arial" w:cs="Arial"/>
                <w:b/>
                <w:bCs/>
                <w:i/>
                <w:iCs/>
                <w:sz w:val="20"/>
                <w:szCs w:val="20"/>
              </w:rPr>
              <w:t>Revenue</w:t>
            </w:r>
          </w:p>
        </w:tc>
        <w:tc>
          <w:tcPr>
            <w:tcW w:w="1720" w:type="dxa"/>
            <w:shd w:val="clear" w:color="auto" w:fill="auto"/>
            <w:vAlign w:val="bottom"/>
          </w:tcPr>
          <w:p w:rsidR="00BB7F54" w:rsidRPr="00DE475B" w:rsidRDefault="00BB7F54" w:rsidP="00A056EE">
            <w:pPr>
              <w:snapToGrid w:val="0"/>
              <w:jc w:val="center"/>
              <w:rPr>
                <w:rFonts w:ascii="Arial" w:hAnsi="Arial" w:cs="Arial"/>
                <w:b/>
                <w:bCs/>
                <w:sz w:val="20"/>
                <w:szCs w:val="20"/>
              </w:rPr>
            </w:pPr>
          </w:p>
        </w:tc>
        <w:tc>
          <w:tcPr>
            <w:tcW w:w="1417" w:type="dxa"/>
            <w:shd w:val="clear" w:color="auto" w:fill="auto"/>
            <w:vAlign w:val="bottom"/>
          </w:tcPr>
          <w:p w:rsidR="00BB7F54" w:rsidRPr="00DE475B" w:rsidRDefault="00BB7F54" w:rsidP="00A056EE">
            <w:pPr>
              <w:jc w:val="right"/>
              <w:rPr>
                <w:rFonts w:ascii="Arial" w:hAnsi="Arial" w:cs="Arial"/>
                <w:sz w:val="20"/>
                <w:szCs w:val="20"/>
              </w:rPr>
            </w:pPr>
          </w:p>
        </w:tc>
        <w:tc>
          <w:tcPr>
            <w:tcW w:w="1276" w:type="dxa"/>
            <w:shd w:val="clear" w:color="auto" w:fill="auto"/>
            <w:vAlign w:val="bottom"/>
          </w:tcPr>
          <w:p w:rsidR="00BB7F54" w:rsidRPr="00DE475B" w:rsidRDefault="00BB7F54" w:rsidP="00A056EE">
            <w:pPr>
              <w:jc w:val="right"/>
              <w:rPr>
                <w:rFonts w:ascii="Arial" w:hAnsi="Arial" w:cs="Arial"/>
                <w:sz w:val="20"/>
                <w:szCs w:val="20"/>
              </w:rPr>
            </w:pPr>
          </w:p>
        </w:tc>
        <w:tc>
          <w:tcPr>
            <w:tcW w:w="1134" w:type="dxa"/>
            <w:shd w:val="clear" w:color="auto" w:fill="auto"/>
            <w:vAlign w:val="bottom"/>
          </w:tcPr>
          <w:p w:rsidR="00BB7F54" w:rsidRPr="00DE475B" w:rsidRDefault="00BB7F54" w:rsidP="00A056EE">
            <w:pPr>
              <w:jc w:val="right"/>
              <w:rPr>
                <w:rFonts w:ascii="Arial" w:hAnsi="Arial" w:cs="Arial"/>
                <w:sz w:val="20"/>
                <w:szCs w:val="20"/>
              </w:rPr>
            </w:pPr>
          </w:p>
        </w:tc>
      </w:tr>
      <w:tr w:rsidR="00BB7F54" w:rsidRPr="00DE475B" w:rsidTr="00E1735A">
        <w:trPr>
          <w:trHeight w:val="315"/>
        </w:trPr>
        <w:tc>
          <w:tcPr>
            <w:tcW w:w="3242" w:type="dxa"/>
            <w:shd w:val="clear" w:color="auto" w:fill="auto"/>
            <w:vAlign w:val="center"/>
          </w:tcPr>
          <w:p w:rsidR="00BB7F54" w:rsidRPr="00DE475B" w:rsidRDefault="00BB7F54" w:rsidP="00246D11">
            <w:pPr>
              <w:snapToGrid w:val="0"/>
              <w:rPr>
                <w:rFonts w:ascii="Arial" w:hAnsi="Arial" w:cs="Arial"/>
                <w:sz w:val="20"/>
                <w:szCs w:val="20"/>
              </w:rPr>
            </w:pPr>
            <w:r w:rsidRPr="00DE475B">
              <w:rPr>
                <w:rFonts w:ascii="Arial" w:hAnsi="Arial" w:cs="Arial"/>
                <w:sz w:val="20"/>
                <w:szCs w:val="20"/>
              </w:rPr>
              <w:t>User charges</w:t>
            </w:r>
          </w:p>
        </w:tc>
        <w:tc>
          <w:tcPr>
            <w:tcW w:w="1720" w:type="dxa"/>
            <w:shd w:val="clear" w:color="auto" w:fill="auto"/>
            <w:vAlign w:val="center"/>
          </w:tcPr>
          <w:p w:rsidR="00BB7F54" w:rsidRPr="00DE475B" w:rsidRDefault="00BB7F54" w:rsidP="006A1B69">
            <w:pPr>
              <w:jc w:val="center"/>
              <w:rPr>
                <w:rFonts w:ascii="Arial" w:hAnsi="Arial" w:cs="Arial"/>
                <w:sz w:val="20"/>
                <w:szCs w:val="20"/>
              </w:rPr>
            </w:pPr>
          </w:p>
        </w:tc>
        <w:tc>
          <w:tcPr>
            <w:tcW w:w="1417"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4,405</w:t>
            </w:r>
          </w:p>
        </w:tc>
        <w:tc>
          <w:tcPr>
            <w:tcW w:w="1276"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3,581</w:t>
            </w:r>
          </w:p>
        </w:tc>
        <w:tc>
          <w:tcPr>
            <w:tcW w:w="1134"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824</w:t>
            </w:r>
          </w:p>
        </w:tc>
      </w:tr>
      <w:tr w:rsidR="00BB7F54" w:rsidRPr="00DE475B" w:rsidTr="00E1735A">
        <w:trPr>
          <w:trHeight w:val="315"/>
        </w:trPr>
        <w:tc>
          <w:tcPr>
            <w:tcW w:w="3242" w:type="dxa"/>
            <w:shd w:val="clear" w:color="auto" w:fill="auto"/>
            <w:vAlign w:val="center"/>
          </w:tcPr>
          <w:p w:rsidR="00BB7F54" w:rsidRPr="00DE475B" w:rsidRDefault="00BB7F54" w:rsidP="00246D11">
            <w:pPr>
              <w:snapToGrid w:val="0"/>
              <w:rPr>
                <w:rFonts w:ascii="Arial" w:hAnsi="Arial" w:cs="Arial"/>
                <w:sz w:val="20"/>
                <w:szCs w:val="20"/>
              </w:rPr>
            </w:pPr>
            <w:r w:rsidRPr="00DE475B">
              <w:rPr>
                <w:rFonts w:ascii="Arial" w:hAnsi="Arial" w:cs="Arial"/>
                <w:sz w:val="20"/>
                <w:szCs w:val="20"/>
              </w:rPr>
              <w:t>Grants and other contributions</w:t>
            </w:r>
          </w:p>
        </w:tc>
        <w:tc>
          <w:tcPr>
            <w:tcW w:w="1720" w:type="dxa"/>
            <w:shd w:val="clear" w:color="auto" w:fill="auto"/>
            <w:vAlign w:val="center"/>
          </w:tcPr>
          <w:p w:rsidR="00BB7F54" w:rsidRPr="00DE475B" w:rsidRDefault="00BB7F54" w:rsidP="006A1B69">
            <w:pPr>
              <w:jc w:val="center"/>
              <w:rPr>
                <w:rFonts w:ascii="Arial" w:hAnsi="Arial" w:cs="Arial"/>
                <w:sz w:val="20"/>
                <w:szCs w:val="20"/>
              </w:rPr>
            </w:pPr>
          </w:p>
        </w:tc>
        <w:tc>
          <w:tcPr>
            <w:tcW w:w="1417"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74,785</w:t>
            </w:r>
          </w:p>
        </w:tc>
        <w:tc>
          <w:tcPr>
            <w:tcW w:w="1276" w:type="dxa"/>
            <w:shd w:val="clear" w:color="auto" w:fill="auto"/>
            <w:vAlign w:val="center"/>
          </w:tcPr>
          <w:p w:rsidR="00BB7F54" w:rsidRPr="00DE475B" w:rsidRDefault="00252AB4" w:rsidP="00C85368">
            <w:pPr>
              <w:jc w:val="right"/>
              <w:rPr>
                <w:rFonts w:ascii="Arial" w:hAnsi="Arial" w:cs="Arial"/>
                <w:sz w:val="20"/>
                <w:szCs w:val="20"/>
              </w:rPr>
            </w:pPr>
            <w:r>
              <w:rPr>
                <w:rFonts w:ascii="Arial" w:hAnsi="Arial" w:cs="Arial"/>
                <w:sz w:val="20"/>
                <w:szCs w:val="20"/>
              </w:rPr>
              <w:t>64,459</w:t>
            </w:r>
          </w:p>
        </w:tc>
        <w:tc>
          <w:tcPr>
            <w:tcW w:w="1134" w:type="dxa"/>
            <w:shd w:val="clear" w:color="auto" w:fill="auto"/>
            <w:vAlign w:val="center"/>
          </w:tcPr>
          <w:p w:rsidR="00BB7F54" w:rsidRPr="00DE475B" w:rsidRDefault="00252AB4" w:rsidP="00C85368">
            <w:pPr>
              <w:jc w:val="right"/>
              <w:rPr>
                <w:rFonts w:ascii="Arial" w:hAnsi="Arial" w:cs="Arial"/>
                <w:sz w:val="20"/>
                <w:szCs w:val="20"/>
              </w:rPr>
            </w:pPr>
            <w:r>
              <w:rPr>
                <w:rFonts w:ascii="Arial" w:hAnsi="Arial" w:cs="Arial"/>
                <w:sz w:val="20"/>
                <w:szCs w:val="20"/>
              </w:rPr>
              <w:t>10,326</w:t>
            </w:r>
          </w:p>
        </w:tc>
      </w:tr>
      <w:tr w:rsidR="00BB7F54" w:rsidRPr="00DE475B" w:rsidTr="00E1735A">
        <w:trPr>
          <w:trHeight w:val="272"/>
        </w:trPr>
        <w:tc>
          <w:tcPr>
            <w:tcW w:w="3242" w:type="dxa"/>
            <w:shd w:val="clear" w:color="auto" w:fill="auto"/>
            <w:vAlign w:val="center"/>
          </w:tcPr>
          <w:p w:rsidR="00BB7F54" w:rsidRPr="00DE475B" w:rsidRDefault="00BB7F54" w:rsidP="00246D11">
            <w:pPr>
              <w:snapToGrid w:val="0"/>
              <w:rPr>
                <w:rFonts w:ascii="Arial" w:hAnsi="Arial" w:cs="Arial"/>
                <w:b/>
                <w:bCs/>
                <w:sz w:val="20"/>
                <w:szCs w:val="20"/>
              </w:rPr>
            </w:pPr>
            <w:r w:rsidRPr="00DE475B">
              <w:rPr>
                <w:rFonts w:ascii="Arial" w:hAnsi="Arial" w:cs="Arial"/>
                <w:sz w:val="20"/>
                <w:szCs w:val="20"/>
              </w:rPr>
              <w:t>Interest</w:t>
            </w:r>
          </w:p>
        </w:tc>
        <w:tc>
          <w:tcPr>
            <w:tcW w:w="1720" w:type="dxa"/>
            <w:shd w:val="clear" w:color="auto" w:fill="auto"/>
            <w:vAlign w:val="bottom"/>
          </w:tcPr>
          <w:p w:rsidR="00BB7F54" w:rsidRPr="00DE475B" w:rsidRDefault="00BB7F54" w:rsidP="00A056EE">
            <w:pPr>
              <w:snapToGrid w:val="0"/>
              <w:jc w:val="center"/>
              <w:rPr>
                <w:rFonts w:ascii="Arial" w:hAnsi="Arial" w:cs="Arial"/>
                <w:b/>
                <w:bCs/>
                <w:sz w:val="20"/>
                <w:szCs w:val="20"/>
              </w:rPr>
            </w:pPr>
          </w:p>
        </w:tc>
        <w:tc>
          <w:tcPr>
            <w:tcW w:w="1417" w:type="dxa"/>
            <w:tcBorders>
              <w:bottom w:val="single" w:sz="4" w:space="0" w:color="000000"/>
            </w:tcBorders>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736</w:t>
            </w:r>
          </w:p>
        </w:tc>
        <w:tc>
          <w:tcPr>
            <w:tcW w:w="1276" w:type="dxa"/>
            <w:tcBorders>
              <w:bottom w:val="single" w:sz="4" w:space="0" w:color="000000"/>
            </w:tcBorders>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804</w:t>
            </w:r>
          </w:p>
        </w:tc>
        <w:tc>
          <w:tcPr>
            <w:tcW w:w="1134" w:type="dxa"/>
            <w:tcBorders>
              <w:bottom w:val="single" w:sz="4" w:space="0" w:color="000000"/>
            </w:tcBorders>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(68)</w:t>
            </w:r>
          </w:p>
        </w:tc>
      </w:tr>
      <w:tr w:rsidR="00BB7F54" w:rsidRPr="00DE475B" w:rsidTr="00E1735A">
        <w:trPr>
          <w:trHeight w:val="315"/>
        </w:trPr>
        <w:tc>
          <w:tcPr>
            <w:tcW w:w="4962" w:type="dxa"/>
            <w:gridSpan w:val="2"/>
            <w:shd w:val="clear" w:color="auto" w:fill="auto"/>
            <w:vAlign w:val="center"/>
          </w:tcPr>
          <w:p w:rsidR="00BB7F54" w:rsidRPr="00DE475B" w:rsidRDefault="00BB7F54" w:rsidP="00246D11">
            <w:pPr>
              <w:snapToGrid w:val="0"/>
              <w:rPr>
                <w:rFonts w:ascii="Arial" w:hAnsi="Arial" w:cs="Arial"/>
                <w:b/>
                <w:bCs/>
                <w:sz w:val="20"/>
                <w:szCs w:val="20"/>
              </w:rPr>
            </w:pPr>
            <w:r w:rsidRPr="00DE475B">
              <w:rPr>
                <w:rFonts w:ascii="Arial" w:hAnsi="Arial" w:cs="Arial"/>
                <w:b/>
                <w:bCs/>
                <w:sz w:val="20"/>
                <w:szCs w:val="20"/>
              </w:rPr>
              <w:t>Total income from continuing operations</w:t>
            </w:r>
          </w:p>
        </w:tc>
        <w:tc>
          <w:tcPr>
            <w:tcW w:w="1417" w:type="dxa"/>
            <w:tcBorders>
              <w:top w:val="single" w:sz="4" w:space="0" w:color="000000"/>
              <w:bottom w:val="single" w:sz="12" w:space="0" w:color="000000"/>
            </w:tcBorders>
            <w:shd w:val="clear" w:color="auto" w:fill="auto"/>
            <w:vAlign w:val="center"/>
          </w:tcPr>
          <w:p w:rsidR="00BB7F54" w:rsidRPr="00DE475B" w:rsidRDefault="00252AB4" w:rsidP="006A1B69">
            <w:pPr>
              <w:jc w:val="right"/>
              <w:rPr>
                <w:rFonts w:ascii="Arial" w:hAnsi="Arial" w:cs="Arial"/>
                <w:b/>
                <w:sz w:val="20"/>
                <w:szCs w:val="20"/>
              </w:rPr>
            </w:pPr>
            <w:r>
              <w:rPr>
                <w:rFonts w:ascii="Arial" w:hAnsi="Arial" w:cs="Arial"/>
                <w:b/>
                <w:sz w:val="20"/>
                <w:szCs w:val="20"/>
              </w:rPr>
              <w:t>79,926</w:t>
            </w:r>
          </w:p>
        </w:tc>
        <w:tc>
          <w:tcPr>
            <w:tcW w:w="1276" w:type="dxa"/>
            <w:tcBorders>
              <w:top w:val="single" w:sz="4" w:space="0" w:color="000000"/>
              <w:bottom w:val="single" w:sz="12" w:space="0" w:color="000000"/>
            </w:tcBorders>
            <w:shd w:val="clear" w:color="auto" w:fill="auto"/>
            <w:vAlign w:val="center"/>
          </w:tcPr>
          <w:p w:rsidR="00BB7F54" w:rsidRPr="00DE475B" w:rsidRDefault="00252AB4" w:rsidP="00C85368">
            <w:pPr>
              <w:jc w:val="right"/>
              <w:rPr>
                <w:rFonts w:ascii="Arial" w:hAnsi="Arial" w:cs="Arial"/>
                <w:b/>
                <w:sz w:val="20"/>
                <w:szCs w:val="20"/>
              </w:rPr>
            </w:pPr>
            <w:r>
              <w:rPr>
                <w:rFonts w:ascii="Arial" w:hAnsi="Arial" w:cs="Arial"/>
                <w:b/>
                <w:sz w:val="20"/>
                <w:szCs w:val="20"/>
              </w:rPr>
              <w:t>68,844</w:t>
            </w:r>
          </w:p>
        </w:tc>
        <w:tc>
          <w:tcPr>
            <w:tcW w:w="1134" w:type="dxa"/>
            <w:tcBorders>
              <w:top w:val="single" w:sz="4" w:space="0" w:color="000000"/>
              <w:bottom w:val="single" w:sz="12" w:space="0" w:color="000000"/>
            </w:tcBorders>
            <w:shd w:val="clear" w:color="auto" w:fill="auto"/>
            <w:vAlign w:val="center"/>
          </w:tcPr>
          <w:p w:rsidR="00BB7F54" w:rsidRPr="00DE475B" w:rsidRDefault="00252AB4" w:rsidP="006A1B69">
            <w:pPr>
              <w:jc w:val="right"/>
              <w:rPr>
                <w:rFonts w:ascii="Arial" w:hAnsi="Arial" w:cs="Arial"/>
                <w:b/>
                <w:sz w:val="20"/>
                <w:szCs w:val="20"/>
              </w:rPr>
            </w:pPr>
            <w:r>
              <w:rPr>
                <w:rFonts w:ascii="Arial" w:hAnsi="Arial" w:cs="Arial"/>
                <w:b/>
                <w:sz w:val="20"/>
                <w:szCs w:val="20"/>
              </w:rPr>
              <w:t>11,082</w:t>
            </w:r>
          </w:p>
        </w:tc>
      </w:tr>
      <w:tr w:rsidR="00BB7F54" w:rsidRPr="00DE475B" w:rsidTr="00E1735A">
        <w:trPr>
          <w:trHeight w:val="239"/>
        </w:trPr>
        <w:tc>
          <w:tcPr>
            <w:tcW w:w="3242" w:type="dxa"/>
            <w:shd w:val="clear" w:color="auto" w:fill="auto"/>
            <w:vAlign w:val="bottom"/>
          </w:tcPr>
          <w:p w:rsidR="00BB7F54" w:rsidRPr="00DE475B" w:rsidRDefault="00BB7F54" w:rsidP="00A056EE">
            <w:pPr>
              <w:snapToGrid w:val="0"/>
              <w:rPr>
                <w:rFonts w:ascii="Arial" w:hAnsi="Arial" w:cs="Arial"/>
                <w:b/>
                <w:bCs/>
                <w:sz w:val="20"/>
                <w:szCs w:val="20"/>
              </w:rPr>
            </w:pPr>
          </w:p>
        </w:tc>
        <w:tc>
          <w:tcPr>
            <w:tcW w:w="1720" w:type="dxa"/>
            <w:shd w:val="clear" w:color="auto" w:fill="auto"/>
            <w:vAlign w:val="bottom"/>
          </w:tcPr>
          <w:p w:rsidR="00BB7F54" w:rsidRPr="00DE475B" w:rsidRDefault="00BB7F54" w:rsidP="00A056EE">
            <w:pPr>
              <w:snapToGrid w:val="0"/>
              <w:jc w:val="center"/>
              <w:rPr>
                <w:rFonts w:ascii="Arial" w:hAnsi="Arial" w:cs="Arial"/>
                <w:b/>
                <w:bCs/>
                <w:sz w:val="20"/>
                <w:szCs w:val="20"/>
              </w:rPr>
            </w:pPr>
          </w:p>
        </w:tc>
        <w:tc>
          <w:tcPr>
            <w:tcW w:w="1417" w:type="dxa"/>
            <w:tcBorders>
              <w:top w:val="single" w:sz="12" w:space="0" w:color="000000"/>
            </w:tcBorders>
            <w:shd w:val="clear" w:color="auto" w:fill="auto"/>
            <w:vAlign w:val="bottom"/>
          </w:tcPr>
          <w:p w:rsidR="00BB7F54" w:rsidRPr="00DE475B" w:rsidRDefault="00BB7F54" w:rsidP="00A056EE">
            <w:pPr>
              <w:jc w:val="right"/>
              <w:rPr>
                <w:rFonts w:ascii="Arial" w:hAnsi="Arial" w:cs="Arial"/>
                <w:b/>
                <w:sz w:val="20"/>
                <w:szCs w:val="20"/>
              </w:rPr>
            </w:pPr>
          </w:p>
        </w:tc>
        <w:tc>
          <w:tcPr>
            <w:tcW w:w="1276" w:type="dxa"/>
            <w:tcBorders>
              <w:top w:val="single" w:sz="12" w:space="0" w:color="000000"/>
            </w:tcBorders>
            <w:shd w:val="clear" w:color="auto" w:fill="auto"/>
            <w:vAlign w:val="bottom"/>
          </w:tcPr>
          <w:p w:rsidR="00BB7F54" w:rsidRPr="00DE475B" w:rsidRDefault="00BB7F54" w:rsidP="00A056EE">
            <w:pPr>
              <w:jc w:val="right"/>
              <w:rPr>
                <w:rFonts w:ascii="Arial" w:hAnsi="Arial" w:cs="Arial"/>
                <w:b/>
                <w:sz w:val="20"/>
                <w:szCs w:val="20"/>
              </w:rPr>
            </w:pPr>
          </w:p>
        </w:tc>
        <w:tc>
          <w:tcPr>
            <w:tcW w:w="1134" w:type="dxa"/>
            <w:tcBorders>
              <w:top w:val="single" w:sz="12" w:space="0" w:color="000000"/>
            </w:tcBorders>
            <w:shd w:val="clear" w:color="auto" w:fill="auto"/>
            <w:vAlign w:val="bottom"/>
          </w:tcPr>
          <w:p w:rsidR="00BB7F54" w:rsidRPr="00DE475B" w:rsidRDefault="00BB7F54" w:rsidP="00A056EE">
            <w:pPr>
              <w:jc w:val="right"/>
              <w:rPr>
                <w:rFonts w:ascii="Arial" w:hAnsi="Arial" w:cs="Arial"/>
                <w:b/>
                <w:sz w:val="20"/>
                <w:szCs w:val="20"/>
              </w:rPr>
            </w:pPr>
          </w:p>
        </w:tc>
      </w:tr>
      <w:tr w:rsidR="00BB7F54" w:rsidRPr="00DE475B" w:rsidTr="00E1735A">
        <w:trPr>
          <w:trHeight w:val="229"/>
        </w:trPr>
        <w:tc>
          <w:tcPr>
            <w:tcW w:w="4962" w:type="dxa"/>
            <w:gridSpan w:val="2"/>
            <w:shd w:val="clear" w:color="auto" w:fill="auto"/>
          </w:tcPr>
          <w:p w:rsidR="00BB7F54" w:rsidRPr="00DE475B" w:rsidRDefault="00BB7F54" w:rsidP="00A056EE">
            <w:pPr>
              <w:snapToGrid w:val="0"/>
              <w:rPr>
                <w:rFonts w:ascii="Arial" w:hAnsi="Arial" w:cs="Arial"/>
                <w:b/>
                <w:bCs/>
                <w:sz w:val="20"/>
                <w:szCs w:val="20"/>
              </w:rPr>
            </w:pPr>
            <w:r w:rsidRPr="00DE475B">
              <w:rPr>
                <w:rFonts w:ascii="Arial" w:hAnsi="Arial" w:cs="Arial"/>
                <w:b/>
                <w:bCs/>
                <w:sz w:val="20"/>
                <w:szCs w:val="20"/>
              </w:rPr>
              <w:t>Expenses from continuing operations</w:t>
            </w:r>
          </w:p>
        </w:tc>
        <w:tc>
          <w:tcPr>
            <w:tcW w:w="1417" w:type="dxa"/>
            <w:shd w:val="clear" w:color="auto" w:fill="auto"/>
            <w:vAlign w:val="bottom"/>
          </w:tcPr>
          <w:p w:rsidR="00BB7F54" w:rsidRPr="00DE475B" w:rsidRDefault="00BB7F54" w:rsidP="00A056EE">
            <w:pPr>
              <w:jc w:val="right"/>
              <w:rPr>
                <w:rFonts w:ascii="Arial" w:hAnsi="Arial" w:cs="Arial"/>
                <w:b/>
                <w:sz w:val="20"/>
                <w:szCs w:val="20"/>
              </w:rPr>
            </w:pPr>
          </w:p>
        </w:tc>
        <w:tc>
          <w:tcPr>
            <w:tcW w:w="1276" w:type="dxa"/>
            <w:shd w:val="clear" w:color="auto" w:fill="auto"/>
            <w:vAlign w:val="bottom"/>
          </w:tcPr>
          <w:p w:rsidR="00BB7F54" w:rsidRPr="00DE475B" w:rsidRDefault="00BB7F54" w:rsidP="00A056EE">
            <w:pPr>
              <w:jc w:val="right"/>
              <w:rPr>
                <w:rFonts w:ascii="Arial" w:hAnsi="Arial" w:cs="Arial"/>
                <w:b/>
                <w:sz w:val="20"/>
                <w:szCs w:val="20"/>
              </w:rPr>
            </w:pPr>
          </w:p>
        </w:tc>
        <w:tc>
          <w:tcPr>
            <w:tcW w:w="1134" w:type="dxa"/>
            <w:shd w:val="clear" w:color="auto" w:fill="auto"/>
            <w:vAlign w:val="bottom"/>
          </w:tcPr>
          <w:p w:rsidR="00BB7F54" w:rsidRPr="00DE475B" w:rsidRDefault="00BB7F54" w:rsidP="00A056EE">
            <w:pPr>
              <w:jc w:val="right"/>
              <w:rPr>
                <w:rFonts w:ascii="Arial" w:hAnsi="Arial" w:cs="Arial"/>
                <w:b/>
                <w:sz w:val="20"/>
                <w:szCs w:val="20"/>
              </w:rPr>
            </w:pPr>
          </w:p>
        </w:tc>
      </w:tr>
      <w:tr w:rsidR="00BB7F54" w:rsidRPr="00DE475B" w:rsidTr="00E1735A">
        <w:trPr>
          <w:trHeight w:val="315"/>
        </w:trPr>
        <w:tc>
          <w:tcPr>
            <w:tcW w:w="3242" w:type="dxa"/>
            <w:shd w:val="clear" w:color="auto" w:fill="auto"/>
            <w:vAlign w:val="center"/>
          </w:tcPr>
          <w:p w:rsidR="00BB7F54" w:rsidRPr="00DE475B" w:rsidRDefault="00BB7F54" w:rsidP="00246D11">
            <w:pPr>
              <w:rPr>
                <w:rFonts w:ascii="Arial" w:hAnsi="Arial" w:cs="Arial"/>
                <w:sz w:val="20"/>
                <w:szCs w:val="20"/>
              </w:rPr>
            </w:pPr>
            <w:r w:rsidRPr="00DE475B">
              <w:rPr>
                <w:rFonts w:ascii="Arial" w:hAnsi="Arial" w:cs="Arial"/>
                <w:sz w:val="20"/>
                <w:szCs w:val="20"/>
              </w:rPr>
              <w:t>Employee expenses</w:t>
            </w:r>
          </w:p>
        </w:tc>
        <w:tc>
          <w:tcPr>
            <w:tcW w:w="1720" w:type="dxa"/>
            <w:shd w:val="clear" w:color="auto" w:fill="auto"/>
            <w:vAlign w:val="center"/>
          </w:tcPr>
          <w:p w:rsidR="00BB7F54" w:rsidRPr="00DE475B" w:rsidRDefault="00BB7F54" w:rsidP="006A1B69">
            <w:pPr>
              <w:jc w:val="center"/>
              <w:rPr>
                <w:rFonts w:ascii="Arial" w:hAnsi="Arial" w:cs="Arial"/>
                <w:sz w:val="20"/>
                <w:szCs w:val="20"/>
              </w:rPr>
            </w:pPr>
          </w:p>
        </w:tc>
        <w:tc>
          <w:tcPr>
            <w:tcW w:w="1417"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27,690</w:t>
            </w:r>
          </w:p>
        </w:tc>
        <w:tc>
          <w:tcPr>
            <w:tcW w:w="1276"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28,085</w:t>
            </w:r>
          </w:p>
        </w:tc>
        <w:tc>
          <w:tcPr>
            <w:tcW w:w="1134"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(395)</w:t>
            </w:r>
          </w:p>
        </w:tc>
      </w:tr>
      <w:tr w:rsidR="00BB7F54" w:rsidRPr="00DE475B" w:rsidTr="00E1735A">
        <w:trPr>
          <w:trHeight w:val="315"/>
        </w:trPr>
        <w:tc>
          <w:tcPr>
            <w:tcW w:w="3242" w:type="dxa"/>
            <w:shd w:val="clear" w:color="auto" w:fill="auto"/>
            <w:vAlign w:val="center"/>
          </w:tcPr>
          <w:p w:rsidR="00BB7F54" w:rsidRPr="00DE475B" w:rsidRDefault="00BB7F54" w:rsidP="00246D11">
            <w:pPr>
              <w:rPr>
                <w:rFonts w:ascii="Arial" w:hAnsi="Arial" w:cs="Arial"/>
                <w:sz w:val="20"/>
                <w:szCs w:val="20"/>
              </w:rPr>
            </w:pPr>
            <w:r w:rsidRPr="00DE475B">
              <w:rPr>
                <w:rFonts w:ascii="Arial" w:hAnsi="Arial" w:cs="Arial"/>
                <w:sz w:val="20"/>
                <w:szCs w:val="20"/>
              </w:rPr>
              <w:t>Supplies and services</w:t>
            </w:r>
          </w:p>
        </w:tc>
        <w:tc>
          <w:tcPr>
            <w:tcW w:w="1720" w:type="dxa"/>
            <w:shd w:val="clear" w:color="auto" w:fill="auto"/>
            <w:vAlign w:val="center"/>
          </w:tcPr>
          <w:p w:rsidR="00BB7F54" w:rsidRPr="00DE475B" w:rsidRDefault="00BB7F54" w:rsidP="006A1B69">
            <w:pPr>
              <w:jc w:val="center"/>
              <w:rPr>
                <w:rFonts w:ascii="Arial" w:hAnsi="Arial" w:cs="Arial"/>
                <w:sz w:val="20"/>
                <w:szCs w:val="20"/>
              </w:rPr>
            </w:pPr>
          </w:p>
        </w:tc>
        <w:tc>
          <w:tcPr>
            <w:tcW w:w="1417"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23,123</w:t>
            </w:r>
          </w:p>
        </w:tc>
        <w:tc>
          <w:tcPr>
            <w:tcW w:w="1276"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15,323</w:t>
            </w:r>
          </w:p>
        </w:tc>
        <w:tc>
          <w:tcPr>
            <w:tcW w:w="1134"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7,800</w:t>
            </w:r>
          </w:p>
        </w:tc>
      </w:tr>
      <w:tr w:rsidR="00BB7F54" w:rsidRPr="00DE475B" w:rsidTr="00E1735A">
        <w:trPr>
          <w:trHeight w:val="315"/>
        </w:trPr>
        <w:tc>
          <w:tcPr>
            <w:tcW w:w="3242" w:type="dxa"/>
            <w:shd w:val="clear" w:color="auto" w:fill="auto"/>
            <w:vAlign w:val="center"/>
          </w:tcPr>
          <w:p w:rsidR="00BB7F54" w:rsidRPr="00DE475B" w:rsidRDefault="00BB7F54" w:rsidP="00246D11">
            <w:pPr>
              <w:rPr>
                <w:rFonts w:ascii="Arial" w:hAnsi="Arial" w:cs="Arial"/>
                <w:sz w:val="20"/>
                <w:szCs w:val="20"/>
              </w:rPr>
            </w:pPr>
            <w:r w:rsidRPr="00DE475B">
              <w:rPr>
                <w:rFonts w:ascii="Arial" w:hAnsi="Arial" w:cs="Arial"/>
                <w:sz w:val="20"/>
                <w:szCs w:val="20"/>
              </w:rPr>
              <w:t>Grants and subsidies</w:t>
            </w:r>
          </w:p>
        </w:tc>
        <w:tc>
          <w:tcPr>
            <w:tcW w:w="1720" w:type="dxa"/>
            <w:shd w:val="clear" w:color="auto" w:fill="auto"/>
            <w:vAlign w:val="center"/>
          </w:tcPr>
          <w:p w:rsidR="00BB7F54" w:rsidRPr="00DE475B" w:rsidRDefault="00BB7F54" w:rsidP="006A1B69">
            <w:pPr>
              <w:jc w:val="center"/>
              <w:rPr>
                <w:rFonts w:ascii="Arial" w:hAnsi="Arial" w:cs="Arial"/>
                <w:sz w:val="20"/>
                <w:szCs w:val="20"/>
              </w:rPr>
            </w:pPr>
          </w:p>
        </w:tc>
        <w:tc>
          <w:tcPr>
            <w:tcW w:w="1417"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25,017</w:t>
            </w:r>
          </w:p>
        </w:tc>
        <w:tc>
          <w:tcPr>
            <w:tcW w:w="1276"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24,736</w:t>
            </w:r>
          </w:p>
        </w:tc>
        <w:tc>
          <w:tcPr>
            <w:tcW w:w="1134"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281</w:t>
            </w:r>
          </w:p>
        </w:tc>
      </w:tr>
      <w:tr w:rsidR="00BB7F54" w:rsidRPr="00DE475B" w:rsidTr="00E1735A">
        <w:trPr>
          <w:trHeight w:val="315"/>
        </w:trPr>
        <w:tc>
          <w:tcPr>
            <w:tcW w:w="3242" w:type="dxa"/>
            <w:shd w:val="clear" w:color="auto" w:fill="auto"/>
            <w:vAlign w:val="center"/>
          </w:tcPr>
          <w:p w:rsidR="00BB7F54" w:rsidRPr="00DE475B" w:rsidRDefault="00BB7F54" w:rsidP="00246D11">
            <w:pPr>
              <w:rPr>
                <w:rFonts w:ascii="Arial" w:hAnsi="Arial" w:cs="Arial"/>
                <w:sz w:val="20"/>
                <w:szCs w:val="20"/>
              </w:rPr>
            </w:pPr>
            <w:r w:rsidRPr="00DE475B">
              <w:rPr>
                <w:rFonts w:ascii="Arial" w:hAnsi="Arial" w:cs="Arial"/>
                <w:sz w:val="20"/>
                <w:szCs w:val="20"/>
              </w:rPr>
              <w:t>Depreciation and amortisation</w:t>
            </w:r>
          </w:p>
        </w:tc>
        <w:tc>
          <w:tcPr>
            <w:tcW w:w="1720" w:type="dxa"/>
            <w:shd w:val="clear" w:color="auto" w:fill="auto"/>
            <w:vAlign w:val="center"/>
          </w:tcPr>
          <w:p w:rsidR="00BB7F54" w:rsidRPr="00DE475B" w:rsidRDefault="00BB7F54" w:rsidP="006A1B69">
            <w:pPr>
              <w:snapToGrid w:val="0"/>
              <w:jc w:val="center"/>
              <w:rPr>
                <w:rFonts w:ascii="Arial" w:hAnsi="Arial" w:cs="Arial"/>
                <w:b/>
                <w:bCs/>
                <w:sz w:val="20"/>
                <w:szCs w:val="20"/>
              </w:rPr>
            </w:pPr>
          </w:p>
        </w:tc>
        <w:tc>
          <w:tcPr>
            <w:tcW w:w="1417"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517</w:t>
            </w:r>
          </w:p>
        </w:tc>
        <w:tc>
          <w:tcPr>
            <w:tcW w:w="1276"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468</w:t>
            </w:r>
          </w:p>
        </w:tc>
        <w:tc>
          <w:tcPr>
            <w:tcW w:w="1134"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49</w:t>
            </w:r>
          </w:p>
        </w:tc>
      </w:tr>
      <w:tr w:rsidR="00BB7F54" w:rsidRPr="00DE475B" w:rsidTr="00E1735A">
        <w:trPr>
          <w:trHeight w:val="315"/>
        </w:trPr>
        <w:tc>
          <w:tcPr>
            <w:tcW w:w="3242" w:type="dxa"/>
            <w:shd w:val="clear" w:color="auto" w:fill="auto"/>
            <w:vAlign w:val="center"/>
          </w:tcPr>
          <w:p w:rsidR="00BB7F54" w:rsidRPr="00DE475B" w:rsidRDefault="00BB7F54" w:rsidP="00246D11">
            <w:pPr>
              <w:rPr>
                <w:rFonts w:ascii="Arial" w:hAnsi="Arial" w:cs="Arial"/>
                <w:sz w:val="20"/>
                <w:szCs w:val="20"/>
              </w:rPr>
            </w:pPr>
            <w:r w:rsidRPr="00DE475B">
              <w:rPr>
                <w:rFonts w:ascii="Arial" w:hAnsi="Arial" w:cs="Arial"/>
                <w:sz w:val="20"/>
                <w:szCs w:val="20"/>
              </w:rPr>
              <w:t>Other expenses</w:t>
            </w:r>
          </w:p>
        </w:tc>
        <w:tc>
          <w:tcPr>
            <w:tcW w:w="1720" w:type="dxa"/>
            <w:shd w:val="clear" w:color="auto" w:fill="auto"/>
            <w:vAlign w:val="center"/>
          </w:tcPr>
          <w:p w:rsidR="00BB7F54" w:rsidRPr="00DE475B" w:rsidRDefault="00BB7F54" w:rsidP="006A1B69">
            <w:pPr>
              <w:snapToGrid w:val="0"/>
              <w:jc w:val="center"/>
              <w:rPr>
                <w:rFonts w:ascii="Arial" w:hAnsi="Arial" w:cs="Arial"/>
                <w:bCs/>
                <w:sz w:val="20"/>
                <w:szCs w:val="20"/>
              </w:rPr>
            </w:pPr>
          </w:p>
        </w:tc>
        <w:tc>
          <w:tcPr>
            <w:tcW w:w="1417"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367</w:t>
            </w:r>
          </w:p>
        </w:tc>
        <w:tc>
          <w:tcPr>
            <w:tcW w:w="1276"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195</w:t>
            </w:r>
          </w:p>
        </w:tc>
        <w:tc>
          <w:tcPr>
            <w:tcW w:w="1134" w:type="dxa"/>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172</w:t>
            </w:r>
          </w:p>
        </w:tc>
      </w:tr>
      <w:tr w:rsidR="00BB7F54" w:rsidRPr="00DE475B" w:rsidTr="00E1735A">
        <w:trPr>
          <w:trHeight w:val="315"/>
        </w:trPr>
        <w:tc>
          <w:tcPr>
            <w:tcW w:w="4962" w:type="dxa"/>
            <w:gridSpan w:val="2"/>
            <w:shd w:val="clear" w:color="auto" w:fill="auto"/>
            <w:vAlign w:val="center"/>
          </w:tcPr>
          <w:p w:rsidR="00BB7F54" w:rsidRPr="00DE475B" w:rsidRDefault="00BB7F54" w:rsidP="00BB7F54">
            <w:pPr>
              <w:snapToGrid w:val="0"/>
              <w:rPr>
                <w:rFonts w:ascii="Arial" w:hAnsi="Arial" w:cs="Arial"/>
                <w:b/>
                <w:bCs/>
                <w:sz w:val="20"/>
                <w:szCs w:val="20"/>
              </w:rPr>
            </w:pPr>
            <w:r w:rsidRPr="00DE475B">
              <w:rPr>
                <w:rFonts w:ascii="Arial" w:hAnsi="Arial" w:cs="Arial"/>
                <w:sz w:val="20"/>
                <w:szCs w:val="20"/>
              </w:rPr>
              <w:t>Loss</w:t>
            </w:r>
            <w:r>
              <w:rPr>
                <w:rFonts w:ascii="Arial" w:hAnsi="Arial" w:cs="Arial"/>
                <w:sz w:val="20"/>
                <w:szCs w:val="20"/>
              </w:rPr>
              <w:t>es</w:t>
            </w:r>
            <w:r w:rsidRPr="00DE475B">
              <w:rPr>
                <w:rFonts w:ascii="Arial" w:hAnsi="Arial" w:cs="Arial"/>
                <w:sz w:val="20"/>
                <w:szCs w:val="20"/>
              </w:rPr>
              <w:t xml:space="preserve"> on sale/revaluation of assets</w:t>
            </w:r>
          </w:p>
        </w:tc>
        <w:tc>
          <w:tcPr>
            <w:tcW w:w="1417" w:type="dxa"/>
            <w:tcBorders>
              <w:bottom w:val="single" w:sz="8" w:space="0" w:color="000000"/>
            </w:tcBorders>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w:t>
            </w:r>
          </w:p>
        </w:tc>
        <w:tc>
          <w:tcPr>
            <w:tcW w:w="1276" w:type="dxa"/>
            <w:tcBorders>
              <w:bottom w:val="single" w:sz="8" w:space="0" w:color="000000"/>
            </w:tcBorders>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37</w:t>
            </w:r>
          </w:p>
        </w:tc>
        <w:tc>
          <w:tcPr>
            <w:tcW w:w="1134" w:type="dxa"/>
            <w:tcBorders>
              <w:bottom w:val="single" w:sz="8" w:space="0" w:color="000000"/>
            </w:tcBorders>
            <w:shd w:val="clear" w:color="auto" w:fill="auto"/>
            <w:vAlign w:val="center"/>
          </w:tcPr>
          <w:p w:rsidR="00BB7F54" w:rsidRPr="00DE475B" w:rsidRDefault="00252AB4" w:rsidP="006A1B69">
            <w:pPr>
              <w:jc w:val="right"/>
              <w:rPr>
                <w:rFonts w:ascii="Arial" w:hAnsi="Arial" w:cs="Arial"/>
                <w:sz w:val="20"/>
                <w:szCs w:val="20"/>
              </w:rPr>
            </w:pPr>
            <w:r>
              <w:rPr>
                <w:rFonts w:ascii="Arial" w:hAnsi="Arial" w:cs="Arial"/>
                <w:sz w:val="20"/>
                <w:szCs w:val="20"/>
              </w:rPr>
              <w:t>(37)</w:t>
            </w:r>
          </w:p>
        </w:tc>
      </w:tr>
      <w:tr w:rsidR="00BB7F54" w:rsidRPr="00DE475B" w:rsidTr="00E1735A">
        <w:trPr>
          <w:trHeight w:val="315"/>
        </w:trPr>
        <w:tc>
          <w:tcPr>
            <w:tcW w:w="4962" w:type="dxa"/>
            <w:gridSpan w:val="2"/>
            <w:shd w:val="clear" w:color="auto" w:fill="auto"/>
            <w:tcMar>
              <w:left w:w="85" w:type="dxa"/>
              <w:right w:w="28" w:type="dxa"/>
            </w:tcMar>
            <w:vAlign w:val="center"/>
          </w:tcPr>
          <w:p w:rsidR="00BB7F54" w:rsidRPr="00DE475B" w:rsidRDefault="00BB7F54" w:rsidP="00C85368">
            <w:pPr>
              <w:snapToGrid w:val="0"/>
              <w:rPr>
                <w:rFonts w:ascii="Arial" w:hAnsi="Arial" w:cs="Arial"/>
                <w:b/>
                <w:bCs/>
                <w:sz w:val="20"/>
                <w:szCs w:val="20"/>
              </w:rPr>
            </w:pPr>
            <w:r w:rsidRPr="00DE475B">
              <w:rPr>
                <w:rFonts w:ascii="Arial" w:hAnsi="Arial" w:cs="Arial"/>
                <w:b/>
                <w:bCs/>
                <w:sz w:val="20"/>
                <w:szCs w:val="20"/>
              </w:rPr>
              <w:t>Total expenses from continuing operations</w:t>
            </w:r>
          </w:p>
        </w:tc>
        <w:tc>
          <w:tcPr>
            <w:tcW w:w="1417" w:type="dxa"/>
            <w:tcBorders>
              <w:top w:val="single" w:sz="8" w:space="0" w:color="000000"/>
              <w:bottom w:val="single" w:sz="12" w:space="0" w:color="000000"/>
            </w:tcBorders>
            <w:shd w:val="clear" w:color="auto" w:fill="auto"/>
            <w:vAlign w:val="center"/>
          </w:tcPr>
          <w:p w:rsidR="00BB7F54" w:rsidRPr="00DE475B" w:rsidRDefault="00252AB4" w:rsidP="006A1B69">
            <w:pPr>
              <w:jc w:val="right"/>
              <w:rPr>
                <w:rFonts w:ascii="Arial" w:hAnsi="Arial" w:cs="Arial"/>
                <w:b/>
                <w:sz w:val="20"/>
                <w:szCs w:val="20"/>
              </w:rPr>
            </w:pPr>
            <w:r>
              <w:rPr>
                <w:rFonts w:ascii="Arial" w:hAnsi="Arial" w:cs="Arial"/>
                <w:b/>
                <w:sz w:val="20"/>
                <w:szCs w:val="20"/>
              </w:rPr>
              <w:t>76,714</w:t>
            </w:r>
          </w:p>
        </w:tc>
        <w:tc>
          <w:tcPr>
            <w:tcW w:w="1276" w:type="dxa"/>
            <w:tcBorders>
              <w:top w:val="single" w:sz="8" w:space="0" w:color="000000"/>
              <w:bottom w:val="single" w:sz="12" w:space="0" w:color="000000"/>
            </w:tcBorders>
            <w:shd w:val="clear" w:color="auto" w:fill="auto"/>
            <w:vAlign w:val="center"/>
          </w:tcPr>
          <w:p w:rsidR="00BB7F54" w:rsidRPr="00DE475B" w:rsidRDefault="00252AB4" w:rsidP="00C85368">
            <w:pPr>
              <w:jc w:val="right"/>
              <w:rPr>
                <w:rFonts w:ascii="Arial" w:hAnsi="Arial" w:cs="Arial"/>
                <w:b/>
                <w:sz w:val="20"/>
                <w:szCs w:val="20"/>
              </w:rPr>
            </w:pPr>
            <w:r>
              <w:rPr>
                <w:rFonts w:ascii="Arial" w:hAnsi="Arial" w:cs="Arial"/>
                <w:b/>
                <w:sz w:val="20"/>
                <w:szCs w:val="20"/>
              </w:rPr>
              <w:t>68,844</w:t>
            </w:r>
          </w:p>
        </w:tc>
        <w:tc>
          <w:tcPr>
            <w:tcW w:w="1134" w:type="dxa"/>
            <w:tcBorders>
              <w:top w:val="single" w:sz="8" w:space="0" w:color="000000"/>
              <w:bottom w:val="single" w:sz="12" w:space="0" w:color="000000"/>
            </w:tcBorders>
            <w:shd w:val="clear" w:color="auto" w:fill="auto"/>
            <w:vAlign w:val="center"/>
          </w:tcPr>
          <w:p w:rsidR="00BB7F54" w:rsidRPr="00DE475B" w:rsidRDefault="00252AB4" w:rsidP="006A1B69">
            <w:pPr>
              <w:jc w:val="right"/>
              <w:rPr>
                <w:rFonts w:ascii="Arial" w:hAnsi="Arial" w:cs="Arial"/>
                <w:b/>
                <w:sz w:val="20"/>
                <w:szCs w:val="20"/>
              </w:rPr>
            </w:pPr>
            <w:r>
              <w:rPr>
                <w:rFonts w:ascii="Arial" w:hAnsi="Arial" w:cs="Arial"/>
                <w:b/>
                <w:sz w:val="20"/>
                <w:szCs w:val="20"/>
              </w:rPr>
              <w:t>7,870</w:t>
            </w:r>
          </w:p>
        </w:tc>
      </w:tr>
      <w:tr w:rsidR="00BB7F54" w:rsidRPr="00DE475B" w:rsidTr="00E1735A">
        <w:trPr>
          <w:trHeight w:val="315"/>
        </w:trPr>
        <w:tc>
          <w:tcPr>
            <w:tcW w:w="4962" w:type="dxa"/>
            <w:gridSpan w:val="2"/>
            <w:shd w:val="clear" w:color="auto" w:fill="auto"/>
            <w:tcMar>
              <w:left w:w="57" w:type="dxa"/>
              <w:right w:w="28" w:type="dxa"/>
            </w:tcMar>
            <w:vAlign w:val="center"/>
          </w:tcPr>
          <w:p w:rsidR="00BB7F54" w:rsidRPr="00DE475B" w:rsidRDefault="00BB7F54" w:rsidP="00246D11">
            <w:pPr>
              <w:snapToGrid w:val="0"/>
              <w:rPr>
                <w:rFonts w:ascii="Arial" w:hAnsi="Arial" w:cs="Arial"/>
                <w:b/>
                <w:bCs/>
                <w:spacing w:val="-2"/>
                <w:sz w:val="20"/>
                <w:szCs w:val="20"/>
              </w:rPr>
            </w:pPr>
            <w:r w:rsidRPr="00DE475B">
              <w:rPr>
                <w:rFonts w:ascii="Arial" w:hAnsi="Arial" w:cs="Arial"/>
                <w:b/>
                <w:bCs/>
                <w:spacing w:val="-2"/>
                <w:sz w:val="20"/>
                <w:szCs w:val="20"/>
              </w:rPr>
              <w:t>Operating result from continuing operations</w:t>
            </w:r>
          </w:p>
        </w:tc>
        <w:tc>
          <w:tcPr>
            <w:tcW w:w="1417" w:type="dxa"/>
            <w:tcBorders>
              <w:bottom w:val="single" w:sz="12" w:space="0" w:color="000000"/>
            </w:tcBorders>
            <w:shd w:val="clear" w:color="auto" w:fill="auto"/>
            <w:vAlign w:val="center"/>
          </w:tcPr>
          <w:p w:rsidR="00BB7F54" w:rsidRPr="00DE475B" w:rsidRDefault="00252AB4" w:rsidP="006A1B69">
            <w:pPr>
              <w:jc w:val="right"/>
              <w:rPr>
                <w:rFonts w:ascii="Arial" w:hAnsi="Arial" w:cs="Arial"/>
                <w:b/>
                <w:sz w:val="20"/>
                <w:szCs w:val="20"/>
              </w:rPr>
            </w:pPr>
            <w:r>
              <w:rPr>
                <w:rFonts w:ascii="Arial" w:hAnsi="Arial" w:cs="Arial"/>
                <w:b/>
                <w:sz w:val="20"/>
                <w:szCs w:val="20"/>
              </w:rPr>
              <w:t>3,212</w:t>
            </w:r>
          </w:p>
        </w:tc>
        <w:tc>
          <w:tcPr>
            <w:tcW w:w="1276" w:type="dxa"/>
            <w:tcBorders>
              <w:bottom w:val="single" w:sz="12" w:space="0" w:color="000000"/>
            </w:tcBorders>
            <w:shd w:val="clear" w:color="auto" w:fill="auto"/>
            <w:vAlign w:val="center"/>
          </w:tcPr>
          <w:p w:rsidR="00BB7F54" w:rsidRPr="00DE475B" w:rsidRDefault="00252AB4" w:rsidP="00C85368">
            <w:pPr>
              <w:jc w:val="right"/>
              <w:rPr>
                <w:rFonts w:ascii="Arial" w:hAnsi="Arial" w:cs="Arial"/>
                <w:b/>
                <w:sz w:val="20"/>
                <w:szCs w:val="20"/>
              </w:rPr>
            </w:pPr>
            <w:r>
              <w:rPr>
                <w:rFonts w:ascii="Arial" w:hAnsi="Arial" w:cs="Arial"/>
                <w:b/>
                <w:sz w:val="20"/>
                <w:szCs w:val="20"/>
              </w:rPr>
              <w:t>-</w:t>
            </w:r>
          </w:p>
        </w:tc>
        <w:tc>
          <w:tcPr>
            <w:tcW w:w="1134" w:type="dxa"/>
            <w:tcBorders>
              <w:bottom w:val="single" w:sz="12" w:space="0" w:color="000000"/>
            </w:tcBorders>
            <w:shd w:val="clear" w:color="auto" w:fill="auto"/>
            <w:vAlign w:val="center"/>
          </w:tcPr>
          <w:p w:rsidR="00BB7F54" w:rsidRPr="00DE475B" w:rsidRDefault="00252AB4" w:rsidP="00C85368">
            <w:pPr>
              <w:jc w:val="right"/>
              <w:rPr>
                <w:rFonts w:ascii="Arial" w:hAnsi="Arial" w:cs="Arial"/>
                <w:b/>
                <w:sz w:val="20"/>
                <w:szCs w:val="20"/>
              </w:rPr>
            </w:pPr>
            <w:r>
              <w:rPr>
                <w:rFonts w:ascii="Arial" w:hAnsi="Arial" w:cs="Arial"/>
                <w:b/>
                <w:sz w:val="20"/>
                <w:szCs w:val="20"/>
              </w:rPr>
              <w:t>3,212</w:t>
            </w:r>
          </w:p>
        </w:tc>
      </w:tr>
      <w:tr w:rsidR="00BB7F54" w:rsidRPr="00DE475B" w:rsidTr="00E1735A">
        <w:trPr>
          <w:trHeight w:val="155"/>
        </w:trPr>
        <w:tc>
          <w:tcPr>
            <w:tcW w:w="3242" w:type="dxa"/>
            <w:shd w:val="clear" w:color="auto" w:fill="auto"/>
            <w:vAlign w:val="bottom"/>
          </w:tcPr>
          <w:p w:rsidR="00BB7F54" w:rsidRPr="00DE475B" w:rsidRDefault="00BB7F54" w:rsidP="00A056EE">
            <w:pPr>
              <w:snapToGrid w:val="0"/>
              <w:rPr>
                <w:rFonts w:ascii="Arial" w:hAnsi="Arial" w:cs="Arial"/>
                <w:b/>
                <w:bCs/>
                <w:sz w:val="16"/>
                <w:szCs w:val="16"/>
              </w:rPr>
            </w:pPr>
          </w:p>
        </w:tc>
        <w:tc>
          <w:tcPr>
            <w:tcW w:w="1720" w:type="dxa"/>
            <w:shd w:val="clear" w:color="auto" w:fill="auto"/>
            <w:vAlign w:val="bottom"/>
          </w:tcPr>
          <w:p w:rsidR="00BB7F54" w:rsidRPr="00DE475B" w:rsidRDefault="00BB7F54" w:rsidP="00A056EE">
            <w:pPr>
              <w:snapToGrid w:val="0"/>
              <w:jc w:val="center"/>
              <w:rPr>
                <w:rFonts w:ascii="Arial" w:hAnsi="Arial" w:cs="Arial"/>
                <w:b/>
                <w:bCs/>
                <w:sz w:val="16"/>
                <w:szCs w:val="16"/>
              </w:rPr>
            </w:pPr>
          </w:p>
        </w:tc>
        <w:tc>
          <w:tcPr>
            <w:tcW w:w="1417" w:type="dxa"/>
            <w:shd w:val="clear" w:color="auto" w:fill="auto"/>
            <w:vAlign w:val="bottom"/>
          </w:tcPr>
          <w:p w:rsidR="00BB7F54" w:rsidRPr="00DE475B" w:rsidRDefault="00BB7F54" w:rsidP="00A056EE">
            <w:pPr>
              <w:jc w:val="right"/>
              <w:rPr>
                <w:rFonts w:ascii="Arial" w:hAnsi="Arial" w:cs="Arial"/>
                <w:b/>
                <w:sz w:val="16"/>
                <w:szCs w:val="16"/>
              </w:rPr>
            </w:pPr>
          </w:p>
        </w:tc>
        <w:tc>
          <w:tcPr>
            <w:tcW w:w="1276" w:type="dxa"/>
            <w:tcBorders>
              <w:top w:val="single" w:sz="12" w:space="0" w:color="000000"/>
            </w:tcBorders>
            <w:shd w:val="clear" w:color="auto" w:fill="auto"/>
            <w:vAlign w:val="bottom"/>
          </w:tcPr>
          <w:p w:rsidR="00BB7F54" w:rsidRPr="00DE475B" w:rsidRDefault="00BB7F54" w:rsidP="00A056EE">
            <w:pPr>
              <w:jc w:val="right"/>
              <w:rPr>
                <w:rFonts w:ascii="Arial" w:hAnsi="Arial" w:cs="Arial"/>
                <w:b/>
                <w:sz w:val="16"/>
                <w:szCs w:val="16"/>
              </w:rPr>
            </w:pPr>
          </w:p>
        </w:tc>
        <w:tc>
          <w:tcPr>
            <w:tcW w:w="1134" w:type="dxa"/>
            <w:tcBorders>
              <w:top w:val="single" w:sz="12" w:space="0" w:color="000000"/>
            </w:tcBorders>
            <w:shd w:val="clear" w:color="auto" w:fill="auto"/>
            <w:vAlign w:val="bottom"/>
          </w:tcPr>
          <w:p w:rsidR="00BB7F54" w:rsidRPr="00DE475B" w:rsidRDefault="00BB7F54" w:rsidP="00A056EE">
            <w:pPr>
              <w:jc w:val="right"/>
              <w:rPr>
                <w:rFonts w:ascii="Arial" w:hAnsi="Arial" w:cs="Arial"/>
                <w:b/>
                <w:sz w:val="16"/>
                <w:szCs w:val="16"/>
              </w:rPr>
            </w:pPr>
          </w:p>
        </w:tc>
      </w:tr>
      <w:tr w:rsidR="00BB7F54" w:rsidRPr="00DE475B" w:rsidTr="00E1735A">
        <w:trPr>
          <w:trHeight w:val="315"/>
        </w:trPr>
        <w:tc>
          <w:tcPr>
            <w:tcW w:w="3242" w:type="dxa"/>
            <w:shd w:val="clear" w:color="auto" w:fill="auto"/>
            <w:vAlign w:val="bottom"/>
          </w:tcPr>
          <w:p w:rsidR="00BB7F54" w:rsidRPr="00DE475B" w:rsidRDefault="00BB7F54" w:rsidP="00A056EE">
            <w:pPr>
              <w:snapToGrid w:val="0"/>
              <w:rPr>
                <w:rFonts w:ascii="Arial" w:hAnsi="Arial" w:cs="Arial"/>
                <w:b/>
                <w:bCs/>
                <w:sz w:val="20"/>
                <w:szCs w:val="20"/>
              </w:rPr>
            </w:pPr>
            <w:r w:rsidRPr="00DE475B">
              <w:rPr>
                <w:rFonts w:ascii="Arial" w:hAnsi="Arial" w:cs="Arial"/>
                <w:b/>
                <w:bCs/>
                <w:sz w:val="20"/>
                <w:szCs w:val="20"/>
              </w:rPr>
              <w:t>Other comprehensive income</w:t>
            </w:r>
          </w:p>
        </w:tc>
        <w:tc>
          <w:tcPr>
            <w:tcW w:w="1720" w:type="dxa"/>
            <w:shd w:val="clear" w:color="auto" w:fill="auto"/>
            <w:vAlign w:val="bottom"/>
          </w:tcPr>
          <w:p w:rsidR="00BB7F54" w:rsidRPr="00DE475B" w:rsidRDefault="00BB7F54" w:rsidP="00A056EE">
            <w:pPr>
              <w:snapToGrid w:val="0"/>
              <w:jc w:val="center"/>
              <w:rPr>
                <w:rFonts w:ascii="Arial" w:hAnsi="Arial" w:cs="Arial"/>
                <w:b/>
                <w:bCs/>
                <w:sz w:val="20"/>
                <w:szCs w:val="20"/>
              </w:rPr>
            </w:pPr>
          </w:p>
        </w:tc>
        <w:tc>
          <w:tcPr>
            <w:tcW w:w="1417" w:type="dxa"/>
            <w:shd w:val="clear" w:color="auto" w:fill="auto"/>
            <w:vAlign w:val="bottom"/>
          </w:tcPr>
          <w:p w:rsidR="00BB7F54" w:rsidRPr="00DE475B" w:rsidRDefault="00BB7F54" w:rsidP="00A056EE">
            <w:pPr>
              <w:jc w:val="right"/>
              <w:rPr>
                <w:rFonts w:ascii="Arial" w:hAnsi="Arial" w:cs="Arial"/>
                <w:b/>
                <w:sz w:val="20"/>
                <w:szCs w:val="20"/>
              </w:rPr>
            </w:pPr>
          </w:p>
        </w:tc>
        <w:tc>
          <w:tcPr>
            <w:tcW w:w="1276" w:type="dxa"/>
            <w:shd w:val="clear" w:color="auto" w:fill="auto"/>
            <w:vAlign w:val="bottom"/>
          </w:tcPr>
          <w:p w:rsidR="00BB7F54" w:rsidRPr="00DE475B" w:rsidRDefault="00BB7F54" w:rsidP="00A056EE">
            <w:pPr>
              <w:jc w:val="right"/>
              <w:rPr>
                <w:rFonts w:ascii="Arial" w:hAnsi="Arial" w:cs="Arial"/>
                <w:b/>
                <w:sz w:val="20"/>
                <w:szCs w:val="20"/>
              </w:rPr>
            </w:pPr>
          </w:p>
        </w:tc>
        <w:tc>
          <w:tcPr>
            <w:tcW w:w="1134" w:type="dxa"/>
            <w:shd w:val="clear" w:color="auto" w:fill="auto"/>
            <w:vAlign w:val="bottom"/>
          </w:tcPr>
          <w:p w:rsidR="00BB7F54" w:rsidRPr="00DE475B" w:rsidRDefault="00BB7F54" w:rsidP="00A056EE">
            <w:pPr>
              <w:jc w:val="right"/>
              <w:rPr>
                <w:rFonts w:ascii="Arial" w:hAnsi="Arial" w:cs="Arial"/>
                <w:b/>
                <w:sz w:val="20"/>
                <w:szCs w:val="20"/>
              </w:rPr>
            </w:pPr>
          </w:p>
        </w:tc>
      </w:tr>
      <w:tr w:rsidR="00BB7F54" w:rsidRPr="00DE475B" w:rsidTr="00E1735A">
        <w:trPr>
          <w:trHeight w:val="315"/>
        </w:trPr>
        <w:tc>
          <w:tcPr>
            <w:tcW w:w="7655" w:type="dxa"/>
            <w:gridSpan w:val="4"/>
            <w:shd w:val="clear" w:color="auto" w:fill="auto"/>
            <w:vAlign w:val="center"/>
          </w:tcPr>
          <w:p w:rsidR="00BB7F54" w:rsidRPr="00DE475B" w:rsidRDefault="00BB7F54" w:rsidP="00C85368">
            <w:pPr>
              <w:rPr>
                <w:rFonts w:ascii="Arial" w:hAnsi="Arial" w:cs="Arial"/>
                <w:b/>
                <w:sz w:val="20"/>
                <w:szCs w:val="20"/>
              </w:rPr>
            </w:pPr>
            <w:r w:rsidRPr="00DE475B">
              <w:rPr>
                <w:rFonts w:ascii="Arial" w:hAnsi="Arial" w:cs="Arial"/>
                <w:bCs/>
                <w:i/>
                <w:sz w:val="20"/>
                <w:szCs w:val="20"/>
              </w:rPr>
              <w:t>Items that will not be reclassified to operating result:</w:t>
            </w:r>
          </w:p>
        </w:tc>
        <w:tc>
          <w:tcPr>
            <w:tcW w:w="1134" w:type="dxa"/>
            <w:shd w:val="clear" w:color="auto" w:fill="auto"/>
            <w:vAlign w:val="bottom"/>
          </w:tcPr>
          <w:p w:rsidR="00BB7F54" w:rsidRPr="00DE475B" w:rsidRDefault="00BB7F54" w:rsidP="00A056EE">
            <w:pPr>
              <w:jc w:val="right"/>
              <w:rPr>
                <w:rFonts w:ascii="Arial" w:hAnsi="Arial" w:cs="Arial"/>
                <w:b/>
                <w:sz w:val="20"/>
                <w:szCs w:val="20"/>
              </w:rPr>
            </w:pPr>
          </w:p>
        </w:tc>
      </w:tr>
      <w:tr w:rsidR="00BB7F54" w:rsidRPr="00DE475B" w:rsidTr="00E1735A">
        <w:trPr>
          <w:trHeight w:val="315"/>
        </w:trPr>
        <w:tc>
          <w:tcPr>
            <w:tcW w:w="4962" w:type="dxa"/>
            <w:gridSpan w:val="2"/>
            <w:shd w:val="clear" w:color="auto" w:fill="auto"/>
            <w:vAlign w:val="bottom"/>
          </w:tcPr>
          <w:p w:rsidR="00BB7F54" w:rsidRPr="00DE475B" w:rsidRDefault="00BB7F54" w:rsidP="00BB7F54">
            <w:pPr>
              <w:rPr>
                <w:rFonts w:ascii="Arial" w:hAnsi="Arial" w:cs="Arial"/>
                <w:sz w:val="20"/>
                <w:szCs w:val="20"/>
              </w:rPr>
            </w:pPr>
            <w:r w:rsidRPr="00DE475B">
              <w:rPr>
                <w:rFonts w:ascii="Arial" w:hAnsi="Arial" w:cs="Arial"/>
                <w:bCs/>
                <w:sz w:val="20"/>
                <w:szCs w:val="20"/>
              </w:rPr>
              <w:t>Increase in asset revaluation surplus</w:t>
            </w:r>
          </w:p>
        </w:tc>
        <w:tc>
          <w:tcPr>
            <w:tcW w:w="1417" w:type="dxa"/>
            <w:tcBorders>
              <w:bottom w:val="single" w:sz="8" w:space="0" w:color="000000"/>
            </w:tcBorders>
            <w:shd w:val="clear" w:color="auto" w:fill="auto"/>
            <w:vAlign w:val="center"/>
          </w:tcPr>
          <w:p w:rsidR="00BB7F54" w:rsidRPr="00DE475B" w:rsidRDefault="00252AB4" w:rsidP="00246D11">
            <w:pPr>
              <w:jc w:val="right"/>
              <w:rPr>
                <w:rFonts w:ascii="Arial" w:hAnsi="Arial" w:cs="Arial"/>
                <w:sz w:val="20"/>
                <w:szCs w:val="20"/>
              </w:rPr>
            </w:pPr>
            <w:r>
              <w:rPr>
                <w:rFonts w:ascii="Arial" w:hAnsi="Arial" w:cs="Arial"/>
                <w:sz w:val="20"/>
                <w:szCs w:val="20"/>
              </w:rPr>
              <w:t>16,373</w:t>
            </w:r>
          </w:p>
        </w:tc>
        <w:tc>
          <w:tcPr>
            <w:tcW w:w="1276" w:type="dxa"/>
            <w:tcBorders>
              <w:bottom w:val="single" w:sz="8" w:space="0" w:color="000000"/>
            </w:tcBorders>
            <w:shd w:val="clear" w:color="auto" w:fill="auto"/>
            <w:vAlign w:val="center"/>
          </w:tcPr>
          <w:p w:rsidR="00BB7F54" w:rsidRPr="00DE475B" w:rsidRDefault="00252AB4" w:rsidP="00246D11">
            <w:pPr>
              <w:jc w:val="right"/>
              <w:rPr>
                <w:rFonts w:ascii="Arial" w:hAnsi="Arial" w:cs="Arial"/>
                <w:sz w:val="20"/>
                <w:szCs w:val="20"/>
              </w:rPr>
            </w:pPr>
            <w:r>
              <w:rPr>
                <w:rFonts w:ascii="Arial" w:hAnsi="Arial" w:cs="Arial"/>
                <w:sz w:val="20"/>
                <w:szCs w:val="20"/>
              </w:rPr>
              <w:t>-</w:t>
            </w:r>
          </w:p>
        </w:tc>
        <w:tc>
          <w:tcPr>
            <w:tcW w:w="1134" w:type="dxa"/>
            <w:tcBorders>
              <w:bottom w:val="single" w:sz="8" w:space="0" w:color="000000"/>
            </w:tcBorders>
            <w:shd w:val="clear" w:color="auto" w:fill="auto"/>
            <w:vAlign w:val="center"/>
          </w:tcPr>
          <w:p w:rsidR="00BB7F54" w:rsidRPr="00DE475B" w:rsidRDefault="00252AB4" w:rsidP="00246D11">
            <w:pPr>
              <w:jc w:val="right"/>
              <w:rPr>
                <w:rFonts w:ascii="Arial" w:hAnsi="Arial" w:cs="Arial"/>
                <w:sz w:val="20"/>
                <w:szCs w:val="20"/>
              </w:rPr>
            </w:pPr>
            <w:r>
              <w:rPr>
                <w:rFonts w:ascii="Arial" w:hAnsi="Arial" w:cs="Arial"/>
                <w:sz w:val="20"/>
                <w:szCs w:val="20"/>
              </w:rPr>
              <w:t>16,373</w:t>
            </w:r>
          </w:p>
        </w:tc>
      </w:tr>
      <w:tr w:rsidR="00BB7F54" w:rsidRPr="00DE475B" w:rsidTr="00E1735A">
        <w:trPr>
          <w:trHeight w:val="86"/>
        </w:trPr>
        <w:tc>
          <w:tcPr>
            <w:tcW w:w="3242" w:type="dxa"/>
            <w:shd w:val="clear" w:color="auto" w:fill="auto"/>
            <w:vAlign w:val="bottom"/>
          </w:tcPr>
          <w:p w:rsidR="00BB7F54" w:rsidRPr="00BB7F54" w:rsidRDefault="00BB7F54" w:rsidP="00BB7F54">
            <w:pPr>
              <w:rPr>
                <w:rFonts w:ascii="Arial" w:hAnsi="Arial" w:cs="Arial"/>
                <w:bCs/>
                <w:sz w:val="20"/>
                <w:szCs w:val="20"/>
              </w:rPr>
            </w:pPr>
          </w:p>
        </w:tc>
        <w:tc>
          <w:tcPr>
            <w:tcW w:w="1720" w:type="dxa"/>
            <w:shd w:val="clear" w:color="auto" w:fill="auto"/>
            <w:vAlign w:val="bottom"/>
          </w:tcPr>
          <w:p w:rsidR="00BB7F54" w:rsidRPr="00DE475B" w:rsidRDefault="00BB7F54" w:rsidP="00A056EE">
            <w:pPr>
              <w:jc w:val="center"/>
              <w:rPr>
                <w:rFonts w:ascii="Arial" w:hAnsi="Arial" w:cs="Arial"/>
                <w:sz w:val="16"/>
                <w:szCs w:val="16"/>
              </w:rPr>
            </w:pPr>
          </w:p>
        </w:tc>
        <w:tc>
          <w:tcPr>
            <w:tcW w:w="1417" w:type="dxa"/>
            <w:tcBorders>
              <w:top w:val="single" w:sz="8" w:space="0" w:color="000000"/>
            </w:tcBorders>
            <w:shd w:val="clear" w:color="auto" w:fill="auto"/>
            <w:vAlign w:val="center"/>
          </w:tcPr>
          <w:p w:rsidR="00BB7F54" w:rsidRPr="00DE475B" w:rsidRDefault="00BB7F54" w:rsidP="00246D11">
            <w:pPr>
              <w:jc w:val="right"/>
              <w:rPr>
                <w:rFonts w:ascii="Arial" w:hAnsi="Arial" w:cs="Arial"/>
                <w:sz w:val="16"/>
                <w:szCs w:val="16"/>
              </w:rPr>
            </w:pPr>
          </w:p>
        </w:tc>
        <w:tc>
          <w:tcPr>
            <w:tcW w:w="1276" w:type="dxa"/>
            <w:tcBorders>
              <w:top w:val="single" w:sz="8" w:space="0" w:color="000000"/>
            </w:tcBorders>
            <w:shd w:val="clear" w:color="auto" w:fill="auto"/>
            <w:vAlign w:val="center"/>
          </w:tcPr>
          <w:p w:rsidR="00BB7F54" w:rsidRPr="00DE475B" w:rsidRDefault="00BB7F54" w:rsidP="00246D11">
            <w:pPr>
              <w:jc w:val="right"/>
              <w:rPr>
                <w:rFonts w:ascii="Arial" w:hAnsi="Arial" w:cs="Arial"/>
                <w:sz w:val="16"/>
                <w:szCs w:val="16"/>
              </w:rPr>
            </w:pPr>
          </w:p>
        </w:tc>
        <w:tc>
          <w:tcPr>
            <w:tcW w:w="1134" w:type="dxa"/>
            <w:tcBorders>
              <w:top w:val="single" w:sz="8" w:space="0" w:color="000000"/>
            </w:tcBorders>
            <w:shd w:val="clear" w:color="auto" w:fill="auto"/>
            <w:vAlign w:val="center"/>
          </w:tcPr>
          <w:p w:rsidR="00BB7F54" w:rsidRPr="00DE475B" w:rsidRDefault="00BB7F54" w:rsidP="00246D11">
            <w:pPr>
              <w:jc w:val="right"/>
              <w:rPr>
                <w:rFonts w:ascii="Arial" w:hAnsi="Arial" w:cs="Arial"/>
                <w:sz w:val="16"/>
                <w:szCs w:val="16"/>
              </w:rPr>
            </w:pPr>
          </w:p>
        </w:tc>
      </w:tr>
      <w:tr w:rsidR="00BB7F54" w:rsidRPr="00DE475B" w:rsidTr="00E1735A">
        <w:trPr>
          <w:trHeight w:val="315"/>
        </w:trPr>
        <w:tc>
          <w:tcPr>
            <w:tcW w:w="4962" w:type="dxa"/>
            <w:gridSpan w:val="2"/>
            <w:shd w:val="clear" w:color="auto" w:fill="auto"/>
          </w:tcPr>
          <w:p w:rsidR="00BB7F54" w:rsidRPr="00BB7F54" w:rsidRDefault="00BB7F54" w:rsidP="00BB7F54">
            <w:pPr>
              <w:rPr>
                <w:rFonts w:ascii="Arial" w:hAnsi="Arial" w:cs="Arial"/>
                <w:bCs/>
                <w:sz w:val="20"/>
                <w:szCs w:val="20"/>
              </w:rPr>
            </w:pPr>
            <w:r w:rsidRPr="00DE475B">
              <w:rPr>
                <w:rFonts w:ascii="Arial" w:hAnsi="Arial" w:cs="Arial"/>
                <w:bCs/>
                <w:sz w:val="20"/>
                <w:szCs w:val="20"/>
              </w:rPr>
              <w:t xml:space="preserve">Total </w:t>
            </w:r>
            <w:r>
              <w:rPr>
                <w:rFonts w:ascii="Arial" w:hAnsi="Arial" w:cs="Arial"/>
                <w:bCs/>
                <w:sz w:val="20"/>
                <w:szCs w:val="20"/>
              </w:rPr>
              <w:t xml:space="preserve">other </w:t>
            </w:r>
            <w:r w:rsidRPr="00BB7F54">
              <w:rPr>
                <w:rFonts w:ascii="Arial" w:hAnsi="Arial" w:cs="Arial"/>
                <w:bCs/>
                <w:sz w:val="20"/>
                <w:szCs w:val="20"/>
              </w:rPr>
              <w:t>comprehensive income</w:t>
            </w:r>
          </w:p>
        </w:tc>
        <w:tc>
          <w:tcPr>
            <w:tcW w:w="1417" w:type="dxa"/>
            <w:shd w:val="clear" w:color="auto" w:fill="auto"/>
            <w:vAlign w:val="center"/>
          </w:tcPr>
          <w:p w:rsidR="00BB7F54" w:rsidRPr="00DE475B" w:rsidRDefault="00252AB4" w:rsidP="00246D11">
            <w:pPr>
              <w:jc w:val="right"/>
              <w:rPr>
                <w:rFonts w:ascii="Arial" w:hAnsi="Arial" w:cs="Arial"/>
                <w:sz w:val="20"/>
                <w:szCs w:val="20"/>
              </w:rPr>
            </w:pPr>
            <w:r>
              <w:rPr>
                <w:rFonts w:ascii="Arial" w:hAnsi="Arial" w:cs="Arial"/>
                <w:sz w:val="20"/>
                <w:szCs w:val="20"/>
              </w:rPr>
              <w:t>16,373</w:t>
            </w:r>
          </w:p>
        </w:tc>
        <w:tc>
          <w:tcPr>
            <w:tcW w:w="1276" w:type="dxa"/>
            <w:shd w:val="clear" w:color="auto" w:fill="auto"/>
            <w:vAlign w:val="center"/>
          </w:tcPr>
          <w:p w:rsidR="00BB7F54" w:rsidRPr="00DE475B" w:rsidRDefault="00252AB4" w:rsidP="00246D11">
            <w:pPr>
              <w:jc w:val="right"/>
              <w:rPr>
                <w:rFonts w:ascii="Arial" w:hAnsi="Arial" w:cs="Arial"/>
                <w:sz w:val="20"/>
                <w:szCs w:val="20"/>
              </w:rPr>
            </w:pPr>
            <w:r>
              <w:rPr>
                <w:rFonts w:ascii="Arial" w:hAnsi="Arial" w:cs="Arial"/>
                <w:sz w:val="20"/>
                <w:szCs w:val="20"/>
              </w:rPr>
              <w:t>-</w:t>
            </w:r>
          </w:p>
        </w:tc>
        <w:tc>
          <w:tcPr>
            <w:tcW w:w="1134" w:type="dxa"/>
            <w:shd w:val="clear" w:color="auto" w:fill="auto"/>
            <w:vAlign w:val="center"/>
          </w:tcPr>
          <w:p w:rsidR="00BB7F54" w:rsidRPr="00DE475B" w:rsidRDefault="00252AB4" w:rsidP="00246D11">
            <w:pPr>
              <w:jc w:val="right"/>
              <w:rPr>
                <w:rFonts w:ascii="Arial" w:hAnsi="Arial" w:cs="Arial"/>
                <w:sz w:val="20"/>
                <w:szCs w:val="20"/>
              </w:rPr>
            </w:pPr>
            <w:r>
              <w:rPr>
                <w:rFonts w:ascii="Arial" w:hAnsi="Arial" w:cs="Arial"/>
                <w:sz w:val="20"/>
                <w:szCs w:val="20"/>
              </w:rPr>
              <w:t>16,373</w:t>
            </w:r>
          </w:p>
        </w:tc>
      </w:tr>
      <w:tr w:rsidR="00BB7F54" w:rsidRPr="00DE475B" w:rsidTr="00E1735A">
        <w:trPr>
          <w:trHeight w:val="403"/>
        </w:trPr>
        <w:tc>
          <w:tcPr>
            <w:tcW w:w="3242" w:type="dxa"/>
            <w:shd w:val="clear" w:color="auto" w:fill="auto"/>
            <w:vAlign w:val="center"/>
          </w:tcPr>
          <w:p w:rsidR="00BB7F54" w:rsidRPr="00DE475B" w:rsidRDefault="00BB7F54" w:rsidP="0033435B">
            <w:pPr>
              <w:snapToGrid w:val="0"/>
              <w:rPr>
                <w:rFonts w:ascii="Arial" w:hAnsi="Arial" w:cs="Arial"/>
                <w:b/>
                <w:bCs/>
                <w:sz w:val="20"/>
                <w:szCs w:val="20"/>
              </w:rPr>
            </w:pPr>
            <w:r w:rsidRPr="00DE475B">
              <w:rPr>
                <w:rFonts w:ascii="Arial" w:hAnsi="Arial" w:cs="Arial"/>
                <w:b/>
                <w:bCs/>
                <w:sz w:val="20"/>
                <w:szCs w:val="20"/>
              </w:rPr>
              <w:t>Total comprehensive income</w:t>
            </w:r>
          </w:p>
        </w:tc>
        <w:tc>
          <w:tcPr>
            <w:tcW w:w="1720" w:type="dxa"/>
            <w:shd w:val="clear" w:color="auto" w:fill="auto"/>
            <w:vAlign w:val="center"/>
          </w:tcPr>
          <w:p w:rsidR="00BB7F54" w:rsidRPr="00DE475B" w:rsidRDefault="00BB7F54" w:rsidP="00A056EE">
            <w:pPr>
              <w:rPr>
                <w:rFonts w:ascii="Arial" w:hAnsi="Arial" w:cs="Arial"/>
                <w:sz w:val="20"/>
                <w:szCs w:val="20"/>
              </w:rPr>
            </w:pPr>
          </w:p>
        </w:tc>
        <w:tc>
          <w:tcPr>
            <w:tcW w:w="1417" w:type="dxa"/>
            <w:tcBorders>
              <w:top w:val="single" w:sz="8" w:space="0" w:color="000000"/>
              <w:bottom w:val="single" w:sz="12" w:space="0" w:color="000000"/>
            </w:tcBorders>
            <w:shd w:val="clear" w:color="auto" w:fill="auto"/>
            <w:vAlign w:val="center"/>
          </w:tcPr>
          <w:p w:rsidR="00BB7F54" w:rsidRPr="00DE475B" w:rsidRDefault="00252AB4" w:rsidP="00246D11">
            <w:pPr>
              <w:jc w:val="right"/>
              <w:rPr>
                <w:rFonts w:ascii="Arial" w:hAnsi="Arial" w:cs="Arial"/>
                <w:b/>
                <w:sz w:val="20"/>
                <w:szCs w:val="20"/>
              </w:rPr>
            </w:pPr>
            <w:r>
              <w:rPr>
                <w:rFonts w:ascii="Arial" w:hAnsi="Arial" w:cs="Arial"/>
                <w:b/>
                <w:sz w:val="20"/>
                <w:szCs w:val="20"/>
              </w:rPr>
              <w:t>19,585</w:t>
            </w:r>
          </w:p>
        </w:tc>
        <w:tc>
          <w:tcPr>
            <w:tcW w:w="1276" w:type="dxa"/>
            <w:tcBorders>
              <w:top w:val="single" w:sz="8" w:space="0" w:color="000000"/>
              <w:bottom w:val="single" w:sz="12" w:space="0" w:color="000000"/>
            </w:tcBorders>
            <w:shd w:val="clear" w:color="auto" w:fill="auto"/>
            <w:vAlign w:val="center"/>
          </w:tcPr>
          <w:p w:rsidR="00BB7F54" w:rsidRPr="00DE475B" w:rsidRDefault="00252AB4" w:rsidP="00C85368">
            <w:pPr>
              <w:jc w:val="right"/>
              <w:rPr>
                <w:rFonts w:ascii="Arial" w:hAnsi="Arial" w:cs="Arial"/>
                <w:b/>
                <w:sz w:val="20"/>
                <w:szCs w:val="20"/>
              </w:rPr>
            </w:pPr>
            <w:r>
              <w:rPr>
                <w:rFonts w:ascii="Arial" w:hAnsi="Arial" w:cs="Arial"/>
                <w:b/>
                <w:sz w:val="20"/>
                <w:szCs w:val="20"/>
              </w:rPr>
              <w:t>-</w:t>
            </w:r>
          </w:p>
        </w:tc>
        <w:tc>
          <w:tcPr>
            <w:tcW w:w="1134" w:type="dxa"/>
            <w:tcBorders>
              <w:top w:val="single" w:sz="8" w:space="0" w:color="000000"/>
              <w:bottom w:val="single" w:sz="12" w:space="0" w:color="000000"/>
            </w:tcBorders>
            <w:shd w:val="clear" w:color="auto" w:fill="auto"/>
            <w:vAlign w:val="center"/>
          </w:tcPr>
          <w:p w:rsidR="00BB7F54" w:rsidRPr="00DE475B" w:rsidRDefault="00252AB4" w:rsidP="00C85368">
            <w:pPr>
              <w:jc w:val="right"/>
              <w:rPr>
                <w:rFonts w:ascii="Arial" w:hAnsi="Arial" w:cs="Arial"/>
                <w:b/>
                <w:sz w:val="20"/>
                <w:szCs w:val="20"/>
              </w:rPr>
            </w:pPr>
            <w:r>
              <w:rPr>
                <w:rFonts w:ascii="Arial" w:hAnsi="Arial" w:cs="Arial"/>
                <w:b/>
                <w:sz w:val="20"/>
                <w:szCs w:val="20"/>
              </w:rPr>
              <w:t>19,585</w:t>
            </w:r>
          </w:p>
        </w:tc>
      </w:tr>
    </w:tbl>
    <w:p w:rsidR="00A66B40" w:rsidRPr="00DE475B" w:rsidRDefault="00BB7F54" w:rsidP="00652F6C">
      <w:pPr>
        <w:tabs>
          <w:tab w:val="left" w:pos="284"/>
          <w:tab w:val="left" w:pos="5878"/>
          <w:tab w:val="left" w:pos="8548"/>
          <w:tab w:val="left" w:pos="8770"/>
          <w:tab w:val="left" w:pos="10266"/>
          <w:tab w:val="left" w:pos="11702"/>
        </w:tabs>
        <w:spacing w:before="240"/>
        <w:rPr>
          <w:rFonts w:ascii="Arial" w:hAnsi="Arial" w:cs="Arial"/>
          <w:b/>
          <w:bCs/>
          <w:sz w:val="20"/>
          <w:szCs w:val="20"/>
        </w:rPr>
      </w:pPr>
      <w:r>
        <w:rPr>
          <w:rFonts w:ascii="Arial" w:hAnsi="Arial" w:cs="Arial"/>
          <w:b/>
          <w:bCs/>
          <w:sz w:val="20"/>
          <w:szCs w:val="20"/>
        </w:rPr>
        <w:t>E1</w:t>
      </w:r>
      <w:r w:rsidR="0033435B" w:rsidRPr="00DE475B">
        <w:rPr>
          <w:rFonts w:ascii="Arial" w:hAnsi="Arial" w:cs="Arial"/>
          <w:b/>
          <w:bCs/>
          <w:sz w:val="20"/>
          <w:szCs w:val="20"/>
        </w:rPr>
        <w:t>-</w:t>
      </w:r>
      <w:r w:rsidR="0087302C">
        <w:rPr>
          <w:rFonts w:ascii="Arial" w:hAnsi="Arial" w:cs="Arial"/>
          <w:b/>
          <w:bCs/>
          <w:sz w:val="20"/>
          <w:szCs w:val="20"/>
        </w:rPr>
        <w:t>2</w:t>
      </w:r>
      <w:r w:rsidR="0033435B" w:rsidRPr="00DE475B">
        <w:rPr>
          <w:rFonts w:ascii="Arial" w:hAnsi="Arial" w:cs="Arial"/>
          <w:b/>
          <w:bCs/>
          <w:sz w:val="20"/>
          <w:szCs w:val="20"/>
        </w:rPr>
        <w:t xml:space="preserve">   Explanation of m</w:t>
      </w:r>
      <w:r w:rsidR="00A66B40" w:rsidRPr="00DE475B">
        <w:rPr>
          <w:rFonts w:ascii="Arial" w:hAnsi="Arial" w:cs="Arial"/>
          <w:b/>
          <w:bCs/>
          <w:sz w:val="20"/>
          <w:szCs w:val="20"/>
        </w:rPr>
        <w:t xml:space="preserve">ajor </w:t>
      </w:r>
      <w:r w:rsidR="0033435B" w:rsidRPr="00DE475B">
        <w:rPr>
          <w:rFonts w:ascii="Arial" w:hAnsi="Arial" w:cs="Arial"/>
          <w:b/>
          <w:bCs/>
          <w:sz w:val="20"/>
          <w:szCs w:val="20"/>
        </w:rPr>
        <w:t>v</w:t>
      </w:r>
      <w:r w:rsidR="00A66B40" w:rsidRPr="00DE475B">
        <w:rPr>
          <w:rFonts w:ascii="Arial" w:hAnsi="Arial" w:cs="Arial"/>
          <w:b/>
          <w:bCs/>
          <w:sz w:val="20"/>
          <w:szCs w:val="20"/>
        </w:rPr>
        <w:t xml:space="preserve">ariances — </w:t>
      </w:r>
      <w:r>
        <w:rPr>
          <w:rFonts w:ascii="Arial" w:hAnsi="Arial" w:cs="Arial"/>
          <w:b/>
          <w:bCs/>
          <w:sz w:val="20"/>
          <w:szCs w:val="20"/>
        </w:rPr>
        <w:t>Statement of c</w:t>
      </w:r>
      <w:r w:rsidR="00A66B40" w:rsidRPr="00DE475B">
        <w:rPr>
          <w:rFonts w:ascii="Arial" w:hAnsi="Arial" w:cs="Arial"/>
          <w:b/>
          <w:bCs/>
          <w:sz w:val="20"/>
          <w:szCs w:val="20"/>
        </w:rPr>
        <w:t>om</w:t>
      </w:r>
      <w:r w:rsidR="0033435B" w:rsidRPr="00DE475B">
        <w:rPr>
          <w:rFonts w:ascii="Arial" w:hAnsi="Arial" w:cs="Arial"/>
          <w:b/>
          <w:bCs/>
          <w:sz w:val="20"/>
          <w:szCs w:val="20"/>
        </w:rPr>
        <w:t>prehensive i</w:t>
      </w:r>
      <w:r w:rsidR="00A66B40" w:rsidRPr="00DE475B">
        <w:rPr>
          <w:rFonts w:ascii="Arial" w:hAnsi="Arial" w:cs="Arial"/>
          <w:b/>
          <w:bCs/>
          <w:sz w:val="20"/>
          <w:szCs w:val="20"/>
        </w:rPr>
        <w:t>ncome</w:t>
      </w:r>
    </w:p>
    <w:p w:rsidR="0087302C" w:rsidRPr="0087302C" w:rsidRDefault="0087302C" w:rsidP="0087302C">
      <w:pPr>
        <w:rPr>
          <w:rFonts w:ascii="Arial" w:hAnsi="Arial" w:cs="Arial"/>
          <w:i/>
          <w:iCs/>
          <w:sz w:val="20"/>
          <w:szCs w:val="20"/>
        </w:rPr>
      </w:pPr>
      <w:r w:rsidRPr="0087302C">
        <w:rPr>
          <w:rFonts w:ascii="Arial" w:hAnsi="Arial" w:cs="Arial"/>
          <w:i/>
          <w:iCs/>
          <w:sz w:val="20"/>
          <w:szCs w:val="20"/>
        </w:rPr>
        <w:t>User charges</w:t>
      </w:r>
    </w:p>
    <w:p w:rsidR="00A66B40" w:rsidRPr="00DE475B" w:rsidRDefault="00BB7F54" w:rsidP="00CE5403">
      <w:pPr>
        <w:tabs>
          <w:tab w:val="left" w:pos="284"/>
          <w:tab w:val="left" w:pos="5878"/>
          <w:tab w:val="left" w:pos="8548"/>
          <w:tab w:val="left" w:pos="8770"/>
          <w:tab w:val="left" w:pos="10266"/>
          <w:tab w:val="left" w:pos="11702"/>
        </w:tabs>
        <w:spacing w:after="120"/>
        <w:rPr>
          <w:rFonts w:ascii="Arial" w:hAnsi="Arial" w:cs="Arial"/>
          <w:bCs/>
          <w:sz w:val="20"/>
          <w:szCs w:val="20"/>
        </w:rPr>
      </w:pPr>
      <w:r w:rsidRPr="00BB7F54">
        <w:rPr>
          <w:rFonts w:ascii="Arial" w:hAnsi="Arial" w:cs="Arial"/>
          <w:bCs/>
          <w:sz w:val="20"/>
          <w:szCs w:val="20"/>
        </w:rPr>
        <w:t>The increase in the actual user charges compared to the original budget is principally due to the higher cost recovery received for First</w:t>
      </w:r>
      <w:r w:rsidR="0087302C">
        <w:rPr>
          <w:rFonts w:ascii="Arial" w:hAnsi="Arial" w:cs="Arial"/>
          <w:bCs/>
          <w:sz w:val="20"/>
          <w:szCs w:val="20"/>
        </w:rPr>
        <w:t xml:space="preserve"> </w:t>
      </w:r>
      <w:r w:rsidRPr="00BB7F54">
        <w:rPr>
          <w:rFonts w:ascii="Arial" w:hAnsi="Arial" w:cs="Arial"/>
          <w:bCs/>
          <w:sz w:val="20"/>
          <w:szCs w:val="20"/>
        </w:rPr>
        <w:t>5</w:t>
      </w:r>
      <w:r w:rsidR="0087302C">
        <w:rPr>
          <w:rFonts w:ascii="Arial" w:hAnsi="Arial" w:cs="Arial"/>
          <w:bCs/>
          <w:sz w:val="20"/>
          <w:szCs w:val="20"/>
        </w:rPr>
        <w:t xml:space="preserve"> </w:t>
      </w:r>
      <w:r w:rsidRPr="00BB7F54">
        <w:rPr>
          <w:rFonts w:ascii="Arial" w:hAnsi="Arial" w:cs="Arial"/>
          <w:bCs/>
          <w:sz w:val="20"/>
          <w:szCs w:val="20"/>
        </w:rPr>
        <w:t>Forever training kits.</w:t>
      </w:r>
    </w:p>
    <w:p w:rsidR="0087302C" w:rsidRPr="0087302C" w:rsidRDefault="0087302C" w:rsidP="0087302C">
      <w:pPr>
        <w:rPr>
          <w:rFonts w:ascii="Arial" w:hAnsi="Arial" w:cs="Arial"/>
          <w:i/>
          <w:iCs/>
          <w:sz w:val="20"/>
          <w:szCs w:val="20"/>
        </w:rPr>
      </w:pPr>
      <w:r w:rsidRPr="0087302C">
        <w:rPr>
          <w:rFonts w:ascii="Arial" w:hAnsi="Arial" w:cs="Arial"/>
          <w:i/>
          <w:iCs/>
          <w:sz w:val="20"/>
          <w:szCs w:val="20"/>
        </w:rPr>
        <w:t>Grants and other contributions</w:t>
      </w:r>
    </w:p>
    <w:p w:rsidR="0087302C" w:rsidRDefault="00BB7F54" w:rsidP="00CE5403">
      <w:pPr>
        <w:tabs>
          <w:tab w:val="left" w:pos="284"/>
          <w:tab w:val="left" w:pos="5878"/>
          <w:tab w:val="left" w:pos="8548"/>
          <w:tab w:val="left" w:pos="8770"/>
          <w:tab w:val="left" w:pos="10266"/>
          <w:tab w:val="left" w:pos="11702"/>
        </w:tabs>
        <w:spacing w:after="120"/>
        <w:rPr>
          <w:rFonts w:ascii="Arial" w:hAnsi="Arial" w:cs="Arial"/>
          <w:bCs/>
          <w:spacing w:val="-2"/>
          <w:sz w:val="20"/>
          <w:szCs w:val="20"/>
        </w:rPr>
      </w:pPr>
      <w:r w:rsidRPr="00BB7F54">
        <w:rPr>
          <w:rFonts w:ascii="Arial" w:hAnsi="Arial" w:cs="Arial"/>
          <w:bCs/>
          <w:spacing w:val="-2"/>
          <w:sz w:val="20"/>
          <w:szCs w:val="20"/>
        </w:rPr>
        <w:t>The actual figure is higher than the original budget largely because of the recognition of 'goods received below fair value' revenue for: the value of operating lease rentals ($7.2M) received from Arts Queensland; legal deposit collections; and the value of digitisation of Queensland newspapers for the Trove catalogue by the National Library of Australia.</w:t>
      </w:r>
    </w:p>
    <w:p w:rsidR="00BB7F54" w:rsidRPr="0087302C" w:rsidRDefault="0087302C" w:rsidP="0087302C">
      <w:pPr>
        <w:rPr>
          <w:rFonts w:ascii="Arial" w:hAnsi="Arial" w:cs="Arial"/>
          <w:i/>
          <w:iCs/>
          <w:sz w:val="20"/>
          <w:szCs w:val="20"/>
        </w:rPr>
      </w:pPr>
      <w:r w:rsidRPr="0087302C">
        <w:rPr>
          <w:rFonts w:ascii="Arial" w:hAnsi="Arial" w:cs="Arial"/>
          <w:i/>
          <w:iCs/>
          <w:sz w:val="20"/>
          <w:szCs w:val="20"/>
        </w:rPr>
        <w:t>Supplies and services</w:t>
      </w:r>
      <w:r w:rsidR="00BB7F54" w:rsidRPr="0087302C">
        <w:rPr>
          <w:rFonts w:ascii="Arial" w:hAnsi="Arial" w:cs="Arial"/>
          <w:i/>
          <w:iCs/>
          <w:sz w:val="20"/>
          <w:szCs w:val="20"/>
        </w:rPr>
        <w:t xml:space="preserve"> </w:t>
      </w:r>
    </w:p>
    <w:p w:rsidR="0087302C" w:rsidRDefault="0087302C" w:rsidP="00C85368">
      <w:pPr>
        <w:tabs>
          <w:tab w:val="left" w:pos="284"/>
          <w:tab w:val="left" w:pos="5878"/>
          <w:tab w:val="left" w:pos="8548"/>
          <w:tab w:val="left" w:pos="8770"/>
          <w:tab w:val="left" w:pos="10266"/>
          <w:tab w:val="left" w:pos="11702"/>
        </w:tabs>
        <w:spacing w:after="60"/>
        <w:rPr>
          <w:rFonts w:ascii="Arial" w:hAnsi="Arial" w:cs="Arial"/>
          <w:bCs/>
          <w:sz w:val="20"/>
          <w:szCs w:val="20"/>
        </w:rPr>
      </w:pPr>
      <w:r w:rsidRPr="0087302C">
        <w:rPr>
          <w:rFonts w:ascii="Arial" w:hAnsi="Arial" w:cs="Arial"/>
          <w:bCs/>
          <w:sz w:val="20"/>
          <w:szCs w:val="20"/>
        </w:rPr>
        <w:t xml:space="preserve">The actual figure is higher than the original budget largely because of the recognition of 'goods received below fair value' revenue ($7.2M) for the value of operating lease rentals received from Arts Queensland. </w:t>
      </w:r>
    </w:p>
    <w:p w:rsidR="003B0BE0" w:rsidRPr="00DE475B" w:rsidRDefault="00656B9F" w:rsidP="003B0BE0">
      <w:pPr>
        <w:pStyle w:val="ARbodytext"/>
        <w:rPr>
          <w:b/>
          <w:bCs/>
        </w:rPr>
      </w:pPr>
      <w:r w:rsidRPr="00DE475B">
        <w:rPr>
          <w:b/>
          <w:bCs/>
          <w:i/>
          <w:iCs/>
        </w:rPr>
        <w:br w:type="page"/>
      </w:r>
      <w:r w:rsidR="003B0BE0" w:rsidRPr="00DE475B">
        <w:rPr>
          <w:b/>
          <w:bCs/>
          <w:i/>
          <w:iCs/>
        </w:rPr>
        <w:lastRenderedPageBreak/>
        <w:t>Library Board of Queensland and controlled entities</w:t>
      </w:r>
    </w:p>
    <w:p w:rsidR="003B0BE0" w:rsidRPr="00DE475B" w:rsidRDefault="00373FFE" w:rsidP="003B0BE0">
      <w:pPr>
        <w:rPr>
          <w:rFonts w:ascii="Arial" w:hAnsi="Arial" w:cs="Arial"/>
          <w:b/>
          <w:bCs/>
          <w:sz w:val="20"/>
          <w:szCs w:val="20"/>
        </w:rPr>
      </w:pPr>
      <w:r w:rsidRPr="00DE475B">
        <w:rPr>
          <w:noProof/>
          <w:lang w:eastAsia="en-AU"/>
        </w:rPr>
        <mc:AlternateContent>
          <mc:Choice Requires="wps">
            <w:drawing>
              <wp:anchor distT="0" distB="0" distL="114300" distR="114300" simplePos="0" relativeHeight="251670528" behindDoc="0" locked="0" layoutInCell="1" allowOverlap="1" wp14:anchorId="7AA2B378" wp14:editId="4ECBFEAD">
                <wp:simplePos x="0" y="0"/>
                <wp:positionH relativeFrom="column">
                  <wp:posOffset>-66040</wp:posOffset>
                </wp:positionH>
                <wp:positionV relativeFrom="paragraph">
                  <wp:posOffset>-222250</wp:posOffset>
                </wp:positionV>
                <wp:extent cx="5573395" cy="0"/>
                <wp:effectExtent l="13970" t="9525" r="13335" b="9525"/>
                <wp:wrapNone/>
                <wp:docPr id="24"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HQnAIAAHoFAAAOAAAAZHJzL2Uyb0RvYy54bWysVE1v2zAMvQ/YfxB0d23Hdj6MOkXrOLt0&#10;W4F22FmR5ViYLHmSGicY+t9HKYnXdJdhaAIYokRSj3yPur7ZdwLtmDZcyQLHVxFGTFJVc7kt8Len&#10;dTDHyFgiayKUZAU+MINvlh8/XA99ziaqVaJmGkESafKhL3BrbZ+HoaEt64i5Uj2TcNgo3RELpt6G&#10;tSYDZO9EOImiaTgoXfdaUWYM7K6Oh3jp8zcNo/Zr0xhmkSgwYLP+q/13477h8prkW036ltMTDPIf&#10;KDrCJVw6ploRS9Cz5n+l6jjVyqjGXlHVhappOGW+Bqgmjt5U89iSnvlaoDmmH9tk3i8t/bJ70IjX&#10;BZ6kGEnSAUf3XDI0yRauOUNvcvAp5YN25dG9fOzvFf1hkFRlS+SWeZBPhx4CYxcRXoQ4w/RwxWb4&#10;rGrwIc9W+U7tG925lNADtPeEHEZC2N4iCptZNkuSRYYRPZ+FJD8H9trYT0x1yC0KLAC1T0x298Y6&#10;ICQ/u7h7pFpzITzfQqKhwItkCoqgBFRnfvpIowSvnZfzN3q7KYVGO+Kk43++PDh57dZxCwIWvCvw&#10;fHQiectIXcnaX2cJF8c1QBLSJWdemkecYO0tLP0+FO5l82sRLap5NU+DdDKtgjRarYLbdZkG03U8&#10;y1bJqixX8YtDHad5y+uaSQf8LOE4/TeJnIbpKL5RxGOrwsvsvqcA9hLp7TqLZmkyD2azLAnSpIqC&#10;u/m6DG7LeDqdVXflXfUGaeWrN+8DdmylQ6WegY3Hth5QzZ0okmwxiTEYMPKT2ZEfRMQW3ipqNUZa&#10;2e/ctl7DTn0uxwXx88j9T8SP2Y+NOHPorJGFU21/WgWcn/n1o+Gm4ThXG1UfHvR5ZGDAfdDpMXIv&#10;yGsb1q+fzOVvAAAA//8DAFBLAwQUAAYACAAAACEA3tirZ+AAAAALAQAADwAAAGRycy9kb3ducmV2&#10;LnhtbEyPQUvDQBCF74L/YRnBi7SbmlhLzKaIIB4Eaaso3rbZMRvMzobdbRP/vSMIepuZ93jzvWo9&#10;uV4cMcTOk4LFPAOB1HjTUavg5fl+tgIRkyaje0+o4AsjrOvTk0qXxo+0xeMutYJDKJZagU1pKKWM&#10;jUWn49wPSKx9+OB04jW00gQ9crjr5WWWLaXTHfEHqwe8s9h87g5OwVMYu5jyothgen99eHyzmwu3&#10;Ver8bLq9AZFwSn9m+MFndKiZae8PZKLoFcwWWcFWHvIrLsWO1fI6B7H/vci6kv871N8AAAD//wMA&#10;UEsBAi0AFAAGAAgAAAAhALaDOJL+AAAA4QEAABMAAAAAAAAAAAAAAAAAAAAAAFtDb250ZW50X1R5&#10;cGVzXS54bWxQSwECLQAUAAYACAAAACEAOP0h/9YAAACUAQAACwAAAAAAAAAAAAAAAAAvAQAAX3Jl&#10;bHMvLnJlbHNQSwECLQAUAAYACAAAACEAp8ER0JwCAAB6BQAADgAAAAAAAAAAAAAAAAAuAgAAZHJz&#10;L2Uyb0RvYy54bWxQSwECLQAUAAYACAAAACEA3tirZ+AAAAALAQAADwAAAAAAAAAAAAAAAAD2BAAA&#10;ZHJzL2Rvd25yZXYueG1sUEsFBgAAAAAEAAQA8wAAAAMGAAAAAA==&#10;" strokeweight=".26mm">
                <v:stroke joinstyle="miter" endcap="square"/>
              </v:line>
            </w:pict>
          </mc:Fallback>
        </mc:AlternateContent>
      </w:r>
      <w:r w:rsidR="003B0BE0" w:rsidRPr="00DE475B">
        <w:rPr>
          <w:rFonts w:ascii="Arial" w:hAnsi="Arial" w:cs="Arial"/>
          <w:b/>
          <w:bCs/>
          <w:sz w:val="20"/>
          <w:szCs w:val="20"/>
        </w:rPr>
        <w:t>NOTES TO THE FINANCIAL STATEMENTS</w:t>
      </w:r>
    </w:p>
    <w:p w:rsidR="003B0BE0" w:rsidRPr="00DE475B" w:rsidRDefault="00E1735A" w:rsidP="00AF3BE1">
      <w:r>
        <w:rPr>
          <w:rFonts w:ascii="Arial" w:hAnsi="Arial" w:cs="Arial"/>
          <w:b/>
          <w:bCs/>
          <w:sz w:val="20"/>
          <w:szCs w:val="20"/>
        </w:rPr>
        <w:t>For the year ended 30 June 2017</w:t>
      </w:r>
    </w:p>
    <w:p w:rsidR="0087302C" w:rsidRPr="00DE475B" w:rsidRDefault="00373FFE" w:rsidP="0087302C">
      <w:pPr>
        <w:pStyle w:val="ARheading3"/>
        <w:widowControl w:val="0"/>
        <w:tabs>
          <w:tab w:val="left" w:pos="851"/>
        </w:tabs>
        <w:spacing w:before="240" w:after="120"/>
        <w:rPr>
          <w:color w:val="808080"/>
        </w:rPr>
      </w:pPr>
      <w:r w:rsidRPr="00DE475B">
        <w:rPr>
          <w:b w:val="0"/>
          <w:bCs w:val="0"/>
          <w:noProof/>
          <w:sz w:val="24"/>
          <w:szCs w:val="24"/>
          <w:lang w:eastAsia="en-AU"/>
        </w:rPr>
        <mc:AlternateContent>
          <mc:Choice Requires="wps">
            <w:drawing>
              <wp:anchor distT="0" distB="0" distL="114300" distR="114300" simplePos="0" relativeHeight="251669504" behindDoc="0" locked="0" layoutInCell="1" allowOverlap="1" wp14:anchorId="02F604E6" wp14:editId="33269B0F">
                <wp:simplePos x="0" y="0"/>
                <wp:positionH relativeFrom="column">
                  <wp:posOffset>-66040</wp:posOffset>
                </wp:positionH>
                <wp:positionV relativeFrom="paragraph">
                  <wp:posOffset>46355</wp:posOffset>
                </wp:positionV>
                <wp:extent cx="5573395" cy="0"/>
                <wp:effectExtent l="13970" t="8255" r="13335" b="10795"/>
                <wp:wrapNone/>
                <wp:docPr id="23"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65pt" to="433.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PgmwIAAHoFAAAOAAAAZHJzL2Uyb0RvYy54bWysVFFvmzAQfp+0/2D5nQIBEoJKppaQvXRb&#10;pXbas2ObYA1sZrsh1bT/vrOTsKZ7maYmEvLZd+fv7vvO1x8OfYf2XBuhZInjqwgjLqliQu5K/PVx&#10;E+QYGUskI52SvMTP3OAPq/fvrseh4DPVqo5xjSCJNMU4lLi1dijC0NCW98RcqYFLOGyU7okFU+9C&#10;pskI2fsunEXRPByVZoNWlBsDu+vjIV75/E3Dqf3SNIZb1JUYsFn/1f67dd9wdU2KnSZDK+gJBvkP&#10;FD0REi6dUq2JJehJi79S9YJqZVRjr6jqQ9U0gnJfA1QTR6+qeWjJwH0t0BwzTG0yb5eWft7fayRY&#10;iWcJRpL0wNGdkBzNstw1ZxxMAT6VvNeuPHqQD8Odot8NkqpqidxxD/LxeYDA2EWEFyHOMANcsR0/&#10;KQY+5Mkq36lDo3uXEnqADp6Q54kQfrCIwmaWLZJkmWFEz2chKc6Bgzb2I1c9cosSd4DaJyb7O2Md&#10;EFKcXdw9Um1E13m+O4nGEi+TOSiCElCd+eEjjeoEc17O3+jdtuo02hMnHf/z5cHJS7deWBBwJ/oS&#10;55MTKVpOWC2Zv84S0R3XAKmTLjn30jziBOtgYen3oXAvm5/LaFnndZ4G6WxeB2m0Xgc3myoN5pt4&#10;ka2TdVWt418OdZwWrWCMSwf8LOE4/TeJnIbpKL5JxFOrwsvsvqcA9hLpzSaLFmmSB4tFlgRpUkfB&#10;bb6pgpsqns8X9W11W79CWvvqzduAnVrpUKknYOOhZSNiwokiyZazGIMBIz9bHPlBpNvBW0Wtxkgr&#10;+03Y1mvYqc/luCA+j9z/RPyU/diIM4fOmlg41fanVcD5mV8/Gm4ajnO1Vez5Xp9HBgbcB50eI/eC&#10;vLRh/fLJXP0GAAD//wMAUEsDBBQABgAIAAAAIQAZ4Xp53AAAAAcBAAAPAAAAZHJzL2Rvd25yZXYu&#10;eG1sTI5BS8NAFITvgv9heYIXaTe1oS0xL0UE8SBIW4vibZt9ZoPZt2F328R/79aL3maYYeYr16Pt&#10;xIl8aB0jzKYZCOLa6ZYbhP3r42QFIkTFWnWOCeGbAqyry4tSFdoNvKXTLjYijXAoFIKJsS+kDLUh&#10;q8LU9cQp+3Teqpisb6T2akjjtpO3WbaQVrWcHozq6cFQ/bU7WoQXP7QhzvN8Q/Hj7en53Wxu7Bbx&#10;+mq8vwMRaYx/ZTjjJ3SoEtPBHVkH0SFMZlmeqgjLOYiUrxZncfj1sirlf/7qBwAA//8DAFBLAQIt&#10;ABQABgAIAAAAIQC2gziS/gAAAOEBAAATAAAAAAAAAAAAAAAAAAAAAABbQ29udGVudF9UeXBlc10u&#10;eG1sUEsBAi0AFAAGAAgAAAAhADj9If/WAAAAlAEAAAsAAAAAAAAAAAAAAAAALwEAAF9yZWxzLy5y&#10;ZWxzUEsBAi0AFAAGAAgAAAAhABBZM+CbAgAAegUAAA4AAAAAAAAAAAAAAAAALgIAAGRycy9lMm9E&#10;b2MueG1sUEsBAi0AFAAGAAgAAAAhABnhenncAAAABwEAAA8AAAAAAAAAAAAAAAAA9QQAAGRycy9k&#10;b3ducmV2LnhtbFBLBQYAAAAABAAEAPMAAAD+BQAAAAA=&#10;" strokeweight=".26mm">
                <v:stroke joinstyle="miter" endcap="square"/>
              </v:line>
            </w:pict>
          </mc:Fallback>
        </mc:AlternateContent>
      </w:r>
      <w:r w:rsidR="0087302C" w:rsidRPr="00DE475B">
        <w:rPr>
          <w:color w:val="808080"/>
        </w:rPr>
        <w:t>E1   Budgetary reporting disclosures</w:t>
      </w:r>
      <w:r w:rsidR="0087302C">
        <w:rPr>
          <w:color w:val="808080"/>
        </w:rPr>
        <w:t xml:space="preserve"> (continued)</w:t>
      </w:r>
    </w:p>
    <w:p w:rsidR="0087302C" w:rsidRPr="0087302C" w:rsidRDefault="0087302C" w:rsidP="00652F6C">
      <w:pPr>
        <w:tabs>
          <w:tab w:val="left" w:pos="284"/>
          <w:tab w:val="left" w:pos="5878"/>
          <w:tab w:val="left" w:pos="8548"/>
          <w:tab w:val="left" w:pos="8770"/>
          <w:tab w:val="left" w:pos="10266"/>
          <w:tab w:val="left" w:pos="11702"/>
        </w:tabs>
        <w:spacing w:before="120"/>
        <w:rPr>
          <w:rFonts w:ascii="Arial" w:hAnsi="Arial" w:cs="Arial"/>
          <w:b/>
          <w:bCs/>
          <w:sz w:val="20"/>
          <w:szCs w:val="20"/>
        </w:rPr>
      </w:pPr>
      <w:r>
        <w:rPr>
          <w:rFonts w:ascii="Arial" w:hAnsi="Arial" w:cs="Arial"/>
          <w:b/>
          <w:bCs/>
          <w:sz w:val="20"/>
          <w:szCs w:val="20"/>
        </w:rPr>
        <w:t>E1</w:t>
      </w:r>
      <w:r w:rsidRPr="00DE475B">
        <w:rPr>
          <w:rFonts w:ascii="Arial" w:hAnsi="Arial" w:cs="Arial"/>
          <w:b/>
          <w:bCs/>
          <w:sz w:val="20"/>
          <w:szCs w:val="20"/>
        </w:rPr>
        <w:t>-</w:t>
      </w:r>
      <w:r>
        <w:rPr>
          <w:rFonts w:ascii="Arial" w:hAnsi="Arial" w:cs="Arial"/>
          <w:b/>
          <w:bCs/>
          <w:sz w:val="20"/>
          <w:szCs w:val="20"/>
        </w:rPr>
        <w:t>2</w:t>
      </w:r>
      <w:r w:rsidRPr="00DE475B">
        <w:rPr>
          <w:rFonts w:ascii="Arial" w:hAnsi="Arial" w:cs="Arial"/>
          <w:b/>
          <w:bCs/>
          <w:sz w:val="20"/>
          <w:szCs w:val="20"/>
        </w:rPr>
        <w:t xml:space="preserve">   Explanation of major variances — </w:t>
      </w:r>
      <w:r>
        <w:rPr>
          <w:rFonts w:ascii="Arial" w:hAnsi="Arial" w:cs="Arial"/>
          <w:b/>
          <w:bCs/>
          <w:sz w:val="20"/>
          <w:szCs w:val="20"/>
        </w:rPr>
        <w:t>Statement of c</w:t>
      </w:r>
      <w:r w:rsidRPr="00DE475B">
        <w:rPr>
          <w:rFonts w:ascii="Arial" w:hAnsi="Arial" w:cs="Arial"/>
          <w:b/>
          <w:bCs/>
          <w:sz w:val="20"/>
          <w:szCs w:val="20"/>
        </w:rPr>
        <w:t>omprehensive income</w:t>
      </w:r>
      <w:r>
        <w:rPr>
          <w:rFonts w:ascii="Arial" w:hAnsi="Arial" w:cs="Arial"/>
          <w:b/>
          <w:bCs/>
          <w:sz w:val="20"/>
          <w:szCs w:val="20"/>
        </w:rPr>
        <w:t xml:space="preserve"> (continued)</w:t>
      </w:r>
    </w:p>
    <w:p w:rsidR="0087302C" w:rsidRPr="0087302C" w:rsidRDefault="0087302C" w:rsidP="0087302C">
      <w:pPr>
        <w:rPr>
          <w:rFonts w:ascii="Arial" w:hAnsi="Arial" w:cs="Arial"/>
          <w:i/>
          <w:iCs/>
          <w:sz w:val="20"/>
          <w:szCs w:val="20"/>
        </w:rPr>
      </w:pPr>
      <w:r w:rsidRPr="0087302C">
        <w:rPr>
          <w:rFonts w:ascii="Arial" w:hAnsi="Arial" w:cs="Arial"/>
          <w:i/>
          <w:iCs/>
          <w:sz w:val="20"/>
          <w:szCs w:val="20"/>
        </w:rPr>
        <w:t>Increase in asset revaluation surplus</w:t>
      </w:r>
    </w:p>
    <w:p w:rsidR="0087302C" w:rsidRPr="0087302C" w:rsidRDefault="0087302C" w:rsidP="00CE5403">
      <w:pPr>
        <w:tabs>
          <w:tab w:val="left" w:pos="284"/>
          <w:tab w:val="left" w:pos="5878"/>
          <w:tab w:val="left" w:pos="8548"/>
          <w:tab w:val="left" w:pos="8770"/>
          <w:tab w:val="left" w:pos="10266"/>
          <w:tab w:val="left" w:pos="11702"/>
        </w:tabs>
        <w:spacing w:after="120"/>
        <w:rPr>
          <w:rFonts w:ascii="Arial" w:hAnsi="Arial" w:cs="Arial"/>
          <w:bCs/>
          <w:sz w:val="20"/>
          <w:szCs w:val="20"/>
        </w:rPr>
      </w:pPr>
      <w:r w:rsidRPr="0087302C">
        <w:rPr>
          <w:rFonts w:ascii="Arial" w:hAnsi="Arial" w:cs="Arial"/>
          <w:bCs/>
          <w:sz w:val="20"/>
          <w:szCs w:val="20"/>
        </w:rPr>
        <w:t xml:space="preserve">During 2016–17, an assessment of microfilm assets held within the </w:t>
      </w:r>
      <w:proofErr w:type="spellStart"/>
      <w:r w:rsidRPr="0087302C">
        <w:rPr>
          <w:rFonts w:ascii="Arial" w:hAnsi="Arial" w:cs="Arial"/>
          <w:bCs/>
          <w:sz w:val="20"/>
          <w:szCs w:val="20"/>
        </w:rPr>
        <w:t>JOL</w:t>
      </w:r>
      <w:proofErr w:type="spellEnd"/>
      <w:r w:rsidRPr="0087302C">
        <w:rPr>
          <w:rFonts w:ascii="Arial" w:hAnsi="Arial" w:cs="Arial"/>
          <w:bCs/>
          <w:sz w:val="20"/>
          <w:szCs w:val="20"/>
        </w:rPr>
        <w:t xml:space="preserve"> &amp; ALA collections currently valued 'per title' was found to not represent the fair value of these assets. An independent valuation of these assets based on the number of microfilm rolls held was completed which resulted in an increase of $16.112M in 2016–17.</w:t>
      </w:r>
    </w:p>
    <w:p w:rsidR="00B10094" w:rsidRPr="00E1735A" w:rsidRDefault="0087302C" w:rsidP="00E1735A">
      <w:pPr>
        <w:tabs>
          <w:tab w:val="left" w:pos="284"/>
          <w:tab w:val="left" w:pos="5878"/>
          <w:tab w:val="left" w:pos="8548"/>
          <w:tab w:val="left" w:pos="8770"/>
          <w:tab w:val="left" w:pos="10266"/>
          <w:tab w:val="left" w:pos="11702"/>
        </w:tabs>
        <w:spacing w:before="120" w:after="120"/>
        <w:rPr>
          <w:rFonts w:ascii="Arial" w:hAnsi="Arial" w:cs="Arial"/>
          <w:b/>
          <w:bCs/>
          <w:sz w:val="20"/>
          <w:szCs w:val="20"/>
        </w:rPr>
      </w:pPr>
      <w:r w:rsidRPr="00E1735A">
        <w:rPr>
          <w:rFonts w:ascii="Arial" w:hAnsi="Arial" w:cs="Arial"/>
          <w:b/>
          <w:bCs/>
          <w:sz w:val="20"/>
          <w:szCs w:val="20"/>
        </w:rPr>
        <w:t>E</w:t>
      </w:r>
      <w:r w:rsidR="00E1735A">
        <w:rPr>
          <w:rFonts w:ascii="Arial" w:hAnsi="Arial" w:cs="Arial"/>
          <w:b/>
          <w:bCs/>
          <w:sz w:val="20"/>
          <w:szCs w:val="20"/>
        </w:rPr>
        <w:t>1-</w:t>
      </w:r>
      <w:r w:rsidRPr="00E1735A">
        <w:rPr>
          <w:rFonts w:ascii="Arial" w:hAnsi="Arial" w:cs="Arial"/>
          <w:b/>
          <w:bCs/>
          <w:sz w:val="20"/>
          <w:szCs w:val="20"/>
        </w:rPr>
        <w:t>3</w:t>
      </w:r>
      <w:r w:rsidR="00B10094" w:rsidRPr="00E1735A">
        <w:rPr>
          <w:rFonts w:ascii="Arial" w:hAnsi="Arial" w:cs="Arial"/>
          <w:b/>
          <w:bCs/>
          <w:sz w:val="20"/>
          <w:szCs w:val="20"/>
        </w:rPr>
        <w:t xml:space="preserve"> Budget to actual comparison — Statement of financial position</w:t>
      </w:r>
    </w:p>
    <w:tbl>
      <w:tblPr>
        <w:tblW w:w="8789" w:type="dxa"/>
        <w:tblInd w:w="108" w:type="dxa"/>
        <w:tblLayout w:type="fixed"/>
        <w:tblLook w:val="0000" w:firstRow="0" w:lastRow="0" w:firstColumn="0" w:lastColumn="0" w:noHBand="0" w:noVBand="0"/>
      </w:tblPr>
      <w:tblGrid>
        <w:gridCol w:w="3969"/>
        <w:gridCol w:w="993"/>
        <w:gridCol w:w="1417"/>
        <w:gridCol w:w="1276"/>
        <w:gridCol w:w="1134"/>
      </w:tblGrid>
      <w:tr w:rsidR="00656B9F" w:rsidRPr="00DE475B" w:rsidTr="00CE5403">
        <w:trPr>
          <w:trHeight w:val="240"/>
        </w:trPr>
        <w:tc>
          <w:tcPr>
            <w:tcW w:w="3969" w:type="dxa"/>
            <w:shd w:val="clear" w:color="auto" w:fill="auto"/>
            <w:vAlign w:val="bottom"/>
          </w:tcPr>
          <w:p w:rsidR="00656B9F" w:rsidRPr="00DE475B" w:rsidRDefault="00656B9F" w:rsidP="000557E9">
            <w:pPr>
              <w:snapToGrid w:val="0"/>
              <w:jc w:val="center"/>
              <w:rPr>
                <w:rFonts w:ascii="Arial" w:hAnsi="Arial" w:cs="Arial"/>
                <w:b/>
                <w:bCs/>
                <w:sz w:val="18"/>
                <w:szCs w:val="18"/>
              </w:rPr>
            </w:pPr>
          </w:p>
        </w:tc>
        <w:tc>
          <w:tcPr>
            <w:tcW w:w="993" w:type="dxa"/>
            <w:shd w:val="clear" w:color="auto" w:fill="auto"/>
            <w:vAlign w:val="bottom"/>
          </w:tcPr>
          <w:p w:rsidR="00656B9F" w:rsidRPr="00DE475B" w:rsidRDefault="00656B9F" w:rsidP="000557E9">
            <w:pPr>
              <w:snapToGrid w:val="0"/>
              <w:jc w:val="center"/>
              <w:rPr>
                <w:rFonts w:ascii="Arial" w:hAnsi="Arial" w:cs="Arial"/>
                <w:b/>
                <w:bCs/>
                <w:sz w:val="18"/>
                <w:szCs w:val="18"/>
              </w:rPr>
            </w:pPr>
          </w:p>
        </w:tc>
        <w:tc>
          <w:tcPr>
            <w:tcW w:w="3827" w:type="dxa"/>
            <w:gridSpan w:val="3"/>
            <w:shd w:val="clear" w:color="auto" w:fill="auto"/>
            <w:vAlign w:val="bottom"/>
          </w:tcPr>
          <w:p w:rsidR="00656B9F" w:rsidRPr="00DE475B" w:rsidRDefault="00656B9F" w:rsidP="006B3D1C">
            <w:pPr>
              <w:jc w:val="center"/>
              <w:rPr>
                <w:rFonts w:ascii="Arial" w:hAnsi="Arial" w:cs="Arial"/>
                <w:b/>
                <w:bCs/>
                <w:sz w:val="20"/>
                <w:szCs w:val="20"/>
              </w:rPr>
            </w:pPr>
            <w:r w:rsidRPr="00DE475B">
              <w:rPr>
                <w:rFonts w:ascii="Arial" w:hAnsi="Arial" w:cs="Arial"/>
                <w:b/>
                <w:bCs/>
                <w:sz w:val="20"/>
                <w:szCs w:val="20"/>
              </w:rPr>
              <w:t>Economic Entity</w:t>
            </w:r>
          </w:p>
        </w:tc>
      </w:tr>
      <w:tr w:rsidR="00CE5403" w:rsidRPr="00DE475B" w:rsidTr="00CE5403">
        <w:trPr>
          <w:trHeight w:val="301"/>
        </w:trPr>
        <w:tc>
          <w:tcPr>
            <w:tcW w:w="4962" w:type="dxa"/>
            <w:gridSpan w:val="2"/>
            <w:shd w:val="clear" w:color="auto" w:fill="auto"/>
          </w:tcPr>
          <w:p w:rsidR="00CE5403" w:rsidRPr="00DE475B" w:rsidRDefault="00CE5403" w:rsidP="000557E9">
            <w:pPr>
              <w:rPr>
                <w:rFonts w:ascii="Arial" w:hAnsi="Arial" w:cs="Arial"/>
                <w:b/>
                <w:bCs/>
                <w:sz w:val="18"/>
                <w:szCs w:val="18"/>
              </w:rPr>
            </w:pPr>
          </w:p>
        </w:tc>
        <w:tc>
          <w:tcPr>
            <w:tcW w:w="1417" w:type="dxa"/>
            <w:vMerge w:val="restart"/>
            <w:shd w:val="clear" w:color="auto" w:fill="auto"/>
            <w:vAlign w:val="bottom"/>
          </w:tcPr>
          <w:p w:rsidR="00CE5403" w:rsidRPr="00DE475B" w:rsidRDefault="00CE5403" w:rsidP="00656B9F">
            <w:pPr>
              <w:jc w:val="right"/>
              <w:rPr>
                <w:rFonts w:ascii="Arial" w:hAnsi="Arial" w:cs="Arial"/>
                <w:b/>
                <w:bCs/>
                <w:sz w:val="20"/>
                <w:szCs w:val="20"/>
              </w:rPr>
            </w:pPr>
            <w:r>
              <w:rPr>
                <w:rFonts w:ascii="Arial" w:hAnsi="Arial" w:cs="Arial"/>
                <w:b/>
                <w:bCs/>
                <w:sz w:val="20"/>
                <w:szCs w:val="20"/>
              </w:rPr>
              <w:t>Actual 2017</w:t>
            </w:r>
          </w:p>
        </w:tc>
        <w:tc>
          <w:tcPr>
            <w:tcW w:w="1276" w:type="dxa"/>
            <w:vMerge w:val="restart"/>
            <w:shd w:val="clear" w:color="auto" w:fill="auto"/>
            <w:vAlign w:val="bottom"/>
          </w:tcPr>
          <w:p w:rsidR="00CE5403" w:rsidRPr="00DE475B" w:rsidRDefault="00CE5403" w:rsidP="00656B9F">
            <w:pPr>
              <w:jc w:val="right"/>
              <w:rPr>
                <w:rFonts w:ascii="Arial" w:hAnsi="Arial" w:cs="Arial"/>
                <w:b/>
                <w:bCs/>
                <w:sz w:val="20"/>
                <w:szCs w:val="20"/>
              </w:rPr>
            </w:pPr>
            <w:r>
              <w:rPr>
                <w:rFonts w:ascii="Arial" w:hAnsi="Arial" w:cs="Arial"/>
                <w:b/>
                <w:bCs/>
                <w:sz w:val="20"/>
                <w:szCs w:val="20"/>
              </w:rPr>
              <w:t>Original Budget 2017</w:t>
            </w:r>
          </w:p>
        </w:tc>
        <w:tc>
          <w:tcPr>
            <w:tcW w:w="1134" w:type="dxa"/>
            <w:vMerge w:val="restart"/>
            <w:shd w:val="clear" w:color="auto" w:fill="auto"/>
            <w:vAlign w:val="bottom"/>
          </w:tcPr>
          <w:p w:rsidR="00CE5403" w:rsidRPr="00DE475B" w:rsidRDefault="00CE5403" w:rsidP="00CE5403">
            <w:pPr>
              <w:jc w:val="right"/>
              <w:rPr>
                <w:rFonts w:ascii="Arial" w:hAnsi="Arial" w:cs="Arial"/>
                <w:b/>
                <w:bCs/>
                <w:sz w:val="20"/>
                <w:szCs w:val="20"/>
              </w:rPr>
            </w:pPr>
            <w:r w:rsidRPr="00DE475B">
              <w:rPr>
                <w:rFonts w:ascii="Arial" w:hAnsi="Arial" w:cs="Arial"/>
                <w:b/>
                <w:bCs/>
                <w:sz w:val="20"/>
                <w:szCs w:val="20"/>
              </w:rPr>
              <w:t xml:space="preserve">Budget </w:t>
            </w:r>
            <w:r>
              <w:rPr>
                <w:rFonts w:ascii="Arial" w:hAnsi="Arial" w:cs="Arial"/>
                <w:b/>
                <w:bCs/>
                <w:sz w:val="20"/>
                <w:szCs w:val="20"/>
              </w:rPr>
              <w:t xml:space="preserve"> </w:t>
            </w:r>
            <w:r w:rsidRPr="00DE475B">
              <w:rPr>
                <w:rFonts w:ascii="Arial" w:hAnsi="Arial" w:cs="Arial"/>
                <w:b/>
                <w:bCs/>
                <w:sz w:val="20"/>
                <w:szCs w:val="20"/>
              </w:rPr>
              <w:t xml:space="preserve">Variance </w:t>
            </w:r>
          </w:p>
        </w:tc>
      </w:tr>
      <w:tr w:rsidR="00CE5403" w:rsidRPr="00DE475B" w:rsidTr="00CE5403">
        <w:trPr>
          <w:trHeight w:val="465"/>
        </w:trPr>
        <w:tc>
          <w:tcPr>
            <w:tcW w:w="3969" w:type="dxa"/>
            <w:shd w:val="clear" w:color="auto" w:fill="auto"/>
          </w:tcPr>
          <w:p w:rsidR="00CE5403" w:rsidRPr="00DE475B" w:rsidRDefault="00CE5403" w:rsidP="000557E9">
            <w:pPr>
              <w:rPr>
                <w:rFonts w:ascii="Arial" w:hAnsi="Arial" w:cs="Arial"/>
                <w:b/>
                <w:bCs/>
                <w:sz w:val="18"/>
                <w:szCs w:val="18"/>
              </w:rPr>
            </w:pPr>
          </w:p>
        </w:tc>
        <w:tc>
          <w:tcPr>
            <w:tcW w:w="993" w:type="dxa"/>
            <w:vMerge w:val="restart"/>
            <w:shd w:val="clear" w:color="auto" w:fill="auto"/>
            <w:tcMar>
              <w:left w:w="28" w:type="dxa"/>
              <w:right w:w="28" w:type="dxa"/>
            </w:tcMar>
          </w:tcPr>
          <w:p w:rsidR="006F6B3B" w:rsidRDefault="006F6B3B" w:rsidP="006F6B3B">
            <w:pPr>
              <w:jc w:val="center"/>
              <w:rPr>
                <w:rFonts w:ascii="Arial" w:hAnsi="Arial" w:cs="Arial"/>
                <w:b/>
                <w:bCs/>
                <w:sz w:val="20"/>
                <w:szCs w:val="20"/>
              </w:rPr>
            </w:pPr>
            <w:r>
              <w:rPr>
                <w:rFonts w:ascii="Arial" w:hAnsi="Arial" w:cs="Arial"/>
                <w:b/>
                <w:bCs/>
                <w:sz w:val="20"/>
                <w:szCs w:val="20"/>
              </w:rPr>
              <w:t>Variance</w:t>
            </w:r>
          </w:p>
          <w:p w:rsidR="00CE5403" w:rsidRPr="00DE475B" w:rsidRDefault="006F6B3B" w:rsidP="006F6B3B">
            <w:pPr>
              <w:jc w:val="center"/>
              <w:rPr>
                <w:rFonts w:ascii="Arial" w:hAnsi="Arial" w:cs="Arial"/>
                <w:b/>
                <w:bCs/>
                <w:sz w:val="20"/>
                <w:szCs w:val="20"/>
              </w:rPr>
            </w:pPr>
            <w:r>
              <w:rPr>
                <w:rFonts w:ascii="Arial" w:hAnsi="Arial" w:cs="Arial"/>
                <w:b/>
                <w:bCs/>
                <w:sz w:val="20"/>
                <w:szCs w:val="20"/>
              </w:rPr>
              <w:t>Note</w:t>
            </w:r>
          </w:p>
        </w:tc>
        <w:tc>
          <w:tcPr>
            <w:tcW w:w="1417" w:type="dxa"/>
            <w:vMerge/>
            <w:shd w:val="clear" w:color="auto" w:fill="auto"/>
            <w:vAlign w:val="bottom"/>
          </w:tcPr>
          <w:p w:rsidR="00CE5403" w:rsidRPr="00DE475B" w:rsidRDefault="00CE5403" w:rsidP="000557E9">
            <w:pPr>
              <w:jc w:val="right"/>
              <w:rPr>
                <w:rFonts w:ascii="Arial" w:hAnsi="Arial" w:cs="Arial"/>
                <w:b/>
                <w:bCs/>
                <w:sz w:val="19"/>
                <w:szCs w:val="19"/>
              </w:rPr>
            </w:pPr>
          </w:p>
        </w:tc>
        <w:tc>
          <w:tcPr>
            <w:tcW w:w="1276" w:type="dxa"/>
            <w:vMerge/>
            <w:shd w:val="clear" w:color="auto" w:fill="auto"/>
            <w:vAlign w:val="bottom"/>
          </w:tcPr>
          <w:p w:rsidR="00CE5403" w:rsidRPr="00DE475B" w:rsidRDefault="00CE5403" w:rsidP="000557E9">
            <w:pPr>
              <w:jc w:val="right"/>
              <w:rPr>
                <w:rFonts w:ascii="Arial" w:hAnsi="Arial" w:cs="Arial"/>
                <w:b/>
                <w:bCs/>
                <w:sz w:val="19"/>
                <w:szCs w:val="19"/>
              </w:rPr>
            </w:pPr>
          </w:p>
        </w:tc>
        <w:tc>
          <w:tcPr>
            <w:tcW w:w="1134" w:type="dxa"/>
            <w:vMerge/>
            <w:shd w:val="clear" w:color="auto" w:fill="auto"/>
            <w:vAlign w:val="bottom"/>
          </w:tcPr>
          <w:p w:rsidR="00CE5403" w:rsidRPr="00DE475B" w:rsidRDefault="00CE5403" w:rsidP="000557E9">
            <w:pPr>
              <w:jc w:val="right"/>
              <w:rPr>
                <w:rFonts w:ascii="Arial" w:hAnsi="Arial" w:cs="Arial"/>
                <w:b/>
                <w:bCs/>
                <w:sz w:val="18"/>
                <w:szCs w:val="18"/>
              </w:rPr>
            </w:pPr>
          </w:p>
        </w:tc>
      </w:tr>
      <w:tr w:rsidR="00E1735A" w:rsidRPr="00DE475B" w:rsidTr="00CE5403">
        <w:trPr>
          <w:trHeight w:val="240"/>
        </w:trPr>
        <w:tc>
          <w:tcPr>
            <w:tcW w:w="3969" w:type="dxa"/>
            <w:shd w:val="clear" w:color="auto" w:fill="auto"/>
            <w:vAlign w:val="bottom"/>
          </w:tcPr>
          <w:p w:rsidR="00E1735A" w:rsidRPr="00DE475B" w:rsidRDefault="00E1735A" w:rsidP="000557E9">
            <w:pPr>
              <w:snapToGrid w:val="0"/>
              <w:rPr>
                <w:rFonts w:ascii="Arial" w:hAnsi="Arial" w:cs="Arial"/>
                <w:b/>
                <w:bCs/>
                <w:sz w:val="18"/>
                <w:szCs w:val="18"/>
              </w:rPr>
            </w:pPr>
          </w:p>
        </w:tc>
        <w:tc>
          <w:tcPr>
            <w:tcW w:w="993" w:type="dxa"/>
            <w:vMerge/>
            <w:shd w:val="clear" w:color="auto" w:fill="auto"/>
            <w:vAlign w:val="bottom"/>
          </w:tcPr>
          <w:p w:rsidR="00E1735A" w:rsidRPr="00DE475B" w:rsidRDefault="00E1735A" w:rsidP="000557E9">
            <w:pPr>
              <w:jc w:val="center"/>
              <w:rPr>
                <w:rFonts w:ascii="Arial" w:hAnsi="Arial" w:cs="Arial"/>
                <w:b/>
                <w:bCs/>
                <w:sz w:val="19"/>
                <w:szCs w:val="19"/>
              </w:rPr>
            </w:pPr>
          </w:p>
        </w:tc>
        <w:tc>
          <w:tcPr>
            <w:tcW w:w="1417" w:type="dxa"/>
            <w:shd w:val="clear" w:color="auto" w:fill="auto"/>
            <w:vAlign w:val="bottom"/>
          </w:tcPr>
          <w:p w:rsidR="00E1735A" w:rsidRPr="00DE475B" w:rsidRDefault="00E1735A" w:rsidP="000557E9">
            <w:pPr>
              <w:jc w:val="right"/>
              <w:rPr>
                <w:rFonts w:ascii="Arial" w:hAnsi="Arial" w:cs="Arial"/>
                <w:b/>
                <w:bCs/>
                <w:sz w:val="20"/>
                <w:szCs w:val="20"/>
              </w:rPr>
            </w:pPr>
            <w:r w:rsidRPr="00DE475B">
              <w:rPr>
                <w:rFonts w:ascii="Arial" w:hAnsi="Arial" w:cs="Arial"/>
                <w:b/>
                <w:bCs/>
                <w:sz w:val="20"/>
                <w:szCs w:val="20"/>
              </w:rPr>
              <w:t>$'000</w:t>
            </w:r>
          </w:p>
        </w:tc>
        <w:tc>
          <w:tcPr>
            <w:tcW w:w="1276" w:type="dxa"/>
            <w:shd w:val="clear" w:color="auto" w:fill="auto"/>
            <w:vAlign w:val="bottom"/>
          </w:tcPr>
          <w:p w:rsidR="00E1735A" w:rsidRPr="00DE475B" w:rsidRDefault="00E1735A" w:rsidP="000557E9">
            <w:pPr>
              <w:jc w:val="right"/>
              <w:rPr>
                <w:rFonts w:ascii="Arial" w:hAnsi="Arial" w:cs="Arial"/>
                <w:b/>
                <w:bCs/>
                <w:sz w:val="20"/>
                <w:szCs w:val="20"/>
              </w:rPr>
            </w:pPr>
            <w:r w:rsidRPr="00DE475B">
              <w:rPr>
                <w:rFonts w:ascii="Arial" w:hAnsi="Arial" w:cs="Arial"/>
                <w:b/>
                <w:bCs/>
                <w:sz w:val="20"/>
                <w:szCs w:val="20"/>
              </w:rPr>
              <w:t>$'000</w:t>
            </w:r>
          </w:p>
        </w:tc>
        <w:tc>
          <w:tcPr>
            <w:tcW w:w="1134" w:type="dxa"/>
            <w:shd w:val="clear" w:color="auto" w:fill="auto"/>
            <w:vAlign w:val="bottom"/>
          </w:tcPr>
          <w:p w:rsidR="00E1735A" w:rsidRPr="00DE475B" w:rsidRDefault="00CE5403" w:rsidP="000557E9">
            <w:pPr>
              <w:jc w:val="right"/>
              <w:rPr>
                <w:rFonts w:ascii="Arial" w:hAnsi="Arial" w:cs="Arial"/>
                <w:b/>
                <w:bCs/>
                <w:sz w:val="18"/>
                <w:szCs w:val="18"/>
              </w:rPr>
            </w:pPr>
            <w:r w:rsidRPr="00DE475B">
              <w:rPr>
                <w:rFonts w:ascii="Arial" w:hAnsi="Arial" w:cs="Arial"/>
                <w:b/>
                <w:bCs/>
                <w:sz w:val="20"/>
                <w:szCs w:val="20"/>
              </w:rPr>
              <w:t>$'000</w:t>
            </w:r>
          </w:p>
        </w:tc>
      </w:tr>
      <w:tr w:rsidR="00E1735A" w:rsidRPr="00DE475B" w:rsidTr="00CE5403">
        <w:trPr>
          <w:trHeight w:val="147"/>
        </w:trPr>
        <w:tc>
          <w:tcPr>
            <w:tcW w:w="4962" w:type="dxa"/>
            <w:gridSpan w:val="2"/>
            <w:shd w:val="clear" w:color="auto" w:fill="auto"/>
          </w:tcPr>
          <w:p w:rsidR="00E1735A" w:rsidRPr="00DE475B" w:rsidRDefault="00E1735A" w:rsidP="000557E9">
            <w:pPr>
              <w:rPr>
                <w:rFonts w:ascii="Arial" w:hAnsi="Arial" w:cs="Arial"/>
                <w:b/>
                <w:bCs/>
                <w:sz w:val="20"/>
                <w:szCs w:val="20"/>
              </w:rPr>
            </w:pPr>
            <w:r w:rsidRPr="00DE475B">
              <w:rPr>
                <w:rFonts w:ascii="Arial" w:hAnsi="Arial" w:cs="Arial"/>
                <w:b/>
                <w:bCs/>
                <w:sz w:val="20"/>
                <w:szCs w:val="20"/>
              </w:rPr>
              <w:t>Current Assets</w:t>
            </w:r>
          </w:p>
        </w:tc>
        <w:tc>
          <w:tcPr>
            <w:tcW w:w="1417" w:type="dxa"/>
            <w:shd w:val="clear" w:color="auto" w:fill="auto"/>
            <w:vAlign w:val="bottom"/>
          </w:tcPr>
          <w:p w:rsidR="00E1735A" w:rsidRPr="00DE475B" w:rsidRDefault="00E1735A" w:rsidP="000557E9">
            <w:pPr>
              <w:rPr>
                <w:rFonts w:ascii="Arial" w:hAnsi="Arial" w:cs="Arial"/>
                <w:b/>
                <w:bCs/>
                <w:sz w:val="19"/>
                <w:szCs w:val="19"/>
              </w:rPr>
            </w:pPr>
            <w:r w:rsidRPr="00DE475B">
              <w:rPr>
                <w:rFonts w:ascii="Arial" w:hAnsi="Arial" w:cs="Arial"/>
                <w:b/>
                <w:bCs/>
                <w:sz w:val="19"/>
                <w:szCs w:val="19"/>
              </w:rPr>
              <w:t> </w:t>
            </w:r>
          </w:p>
        </w:tc>
        <w:tc>
          <w:tcPr>
            <w:tcW w:w="1276" w:type="dxa"/>
            <w:shd w:val="clear" w:color="auto" w:fill="auto"/>
            <w:vAlign w:val="bottom"/>
          </w:tcPr>
          <w:p w:rsidR="00E1735A" w:rsidRPr="00DE475B" w:rsidRDefault="00E1735A" w:rsidP="000557E9">
            <w:pPr>
              <w:rPr>
                <w:rFonts w:ascii="Arial" w:hAnsi="Arial" w:cs="Arial"/>
                <w:b/>
                <w:bCs/>
                <w:sz w:val="19"/>
                <w:szCs w:val="19"/>
              </w:rPr>
            </w:pPr>
            <w:r w:rsidRPr="00DE475B">
              <w:rPr>
                <w:rFonts w:ascii="Arial" w:hAnsi="Arial" w:cs="Arial"/>
                <w:b/>
                <w:bCs/>
                <w:sz w:val="19"/>
                <w:szCs w:val="19"/>
              </w:rPr>
              <w:t> </w:t>
            </w:r>
          </w:p>
        </w:tc>
        <w:tc>
          <w:tcPr>
            <w:tcW w:w="1134" w:type="dxa"/>
            <w:shd w:val="clear" w:color="auto" w:fill="auto"/>
            <w:vAlign w:val="bottom"/>
          </w:tcPr>
          <w:p w:rsidR="00E1735A" w:rsidRPr="00DE475B" w:rsidRDefault="00E1735A" w:rsidP="000557E9">
            <w:pPr>
              <w:rPr>
                <w:rFonts w:ascii="Arial" w:hAnsi="Arial" w:cs="Arial"/>
                <w:sz w:val="19"/>
                <w:szCs w:val="19"/>
              </w:rPr>
            </w:pPr>
            <w:r w:rsidRPr="00DE475B">
              <w:rPr>
                <w:rFonts w:ascii="Arial" w:hAnsi="Arial" w:cs="Arial"/>
                <w:b/>
                <w:bCs/>
                <w:sz w:val="19"/>
                <w:szCs w:val="19"/>
              </w:rPr>
              <w:t> </w:t>
            </w:r>
          </w:p>
        </w:tc>
      </w:tr>
      <w:tr w:rsidR="00E1735A" w:rsidRPr="00DE475B" w:rsidTr="00CE5403">
        <w:trPr>
          <w:trHeight w:val="284"/>
        </w:trPr>
        <w:tc>
          <w:tcPr>
            <w:tcW w:w="3969" w:type="dxa"/>
            <w:shd w:val="clear" w:color="auto" w:fill="auto"/>
            <w:vAlign w:val="bottom"/>
          </w:tcPr>
          <w:p w:rsidR="00E1735A" w:rsidRPr="00DE475B" w:rsidRDefault="00E1735A" w:rsidP="000557E9">
            <w:pPr>
              <w:snapToGrid w:val="0"/>
              <w:rPr>
                <w:rFonts w:ascii="Arial" w:hAnsi="Arial" w:cs="Arial"/>
                <w:sz w:val="20"/>
                <w:szCs w:val="20"/>
              </w:rPr>
            </w:pPr>
            <w:r w:rsidRPr="00DE475B">
              <w:rPr>
                <w:rFonts w:ascii="Arial" w:hAnsi="Arial" w:cs="Arial"/>
                <w:bCs/>
                <w:iCs/>
                <w:sz w:val="20"/>
                <w:szCs w:val="20"/>
              </w:rPr>
              <w:t xml:space="preserve">Cash and cash equivalents </w:t>
            </w:r>
          </w:p>
        </w:tc>
        <w:tc>
          <w:tcPr>
            <w:tcW w:w="993" w:type="dxa"/>
            <w:shd w:val="clear" w:color="auto" w:fill="auto"/>
            <w:vAlign w:val="bottom"/>
          </w:tcPr>
          <w:p w:rsidR="00E1735A" w:rsidRPr="00DE475B" w:rsidRDefault="00E1735A" w:rsidP="000557E9">
            <w:pPr>
              <w:jc w:val="center"/>
              <w:rPr>
                <w:rFonts w:ascii="Arial" w:hAnsi="Arial" w:cs="Arial"/>
                <w:sz w:val="20"/>
                <w:szCs w:val="20"/>
              </w:rPr>
            </w:pPr>
          </w:p>
        </w:tc>
        <w:tc>
          <w:tcPr>
            <w:tcW w:w="1417" w:type="dxa"/>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18,860</w:t>
            </w:r>
          </w:p>
        </w:tc>
        <w:tc>
          <w:tcPr>
            <w:tcW w:w="1276" w:type="dxa"/>
            <w:shd w:val="clear" w:color="auto" w:fill="auto"/>
            <w:vAlign w:val="bottom"/>
          </w:tcPr>
          <w:p w:rsidR="00E1735A" w:rsidRPr="00DE475B" w:rsidRDefault="00252AB4" w:rsidP="00E82584">
            <w:pPr>
              <w:jc w:val="right"/>
              <w:rPr>
                <w:rFonts w:ascii="Arial" w:hAnsi="Arial" w:cs="Arial"/>
                <w:sz w:val="20"/>
                <w:szCs w:val="20"/>
              </w:rPr>
            </w:pPr>
            <w:r>
              <w:rPr>
                <w:rFonts w:ascii="Arial" w:hAnsi="Arial" w:cs="Arial"/>
                <w:sz w:val="20"/>
                <w:szCs w:val="20"/>
              </w:rPr>
              <w:t>15,567</w:t>
            </w:r>
          </w:p>
        </w:tc>
        <w:tc>
          <w:tcPr>
            <w:tcW w:w="1134" w:type="dxa"/>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3,293</w:t>
            </w:r>
          </w:p>
        </w:tc>
      </w:tr>
      <w:tr w:rsidR="00E1735A" w:rsidRPr="00DE475B" w:rsidTr="00CE5403">
        <w:trPr>
          <w:trHeight w:val="284"/>
        </w:trPr>
        <w:tc>
          <w:tcPr>
            <w:tcW w:w="3969" w:type="dxa"/>
            <w:shd w:val="clear" w:color="auto" w:fill="auto"/>
            <w:vAlign w:val="bottom"/>
          </w:tcPr>
          <w:p w:rsidR="00E1735A" w:rsidRPr="00DE475B" w:rsidRDefault="00E1735A" w:rsidP="000557E9">
            <w:pPr>
              <w:snapToGrid w:val="0"/>
              <w:rPr>
                <w:rFonts w:ascii="Arial" w:hAnsi="Arial" w:cs="Arial"/>
                <w:sz w:val="20"/>
                <w:szCs w:val="20"/>
              </w:rPr>
            </w:pPr>
            <w:r w:rsidRPr="00DE475B">
              <w:rPr>
                <w:rFonts w:ascii="Arial" w:hAnsi="Arial" w:cs="Arial"/>
                <w:sz w:val="20"/>
                <w:szCs w:val="20"/>
              </w:rPr>
              <w:t xml:space="preserve">Receivables </w:t>
            </w:r>
          </w:p>
        </w:tc>
        <w:tc>
          <w:tcPr>
            <w:tcW w:w="993" w:type="dxa"/>
            <w:shd w:val="clear" w:color="auto" w:fill="auto"/>
            <w:vAlign w:val="bottom"/>
          </w:tcPr>
          <w:p w:rsidR="00E1735A" w:rsidRPr="00DE475B" w:rsidRDefault="00E1735A" w:rsidP="000557E9">
            <w:pPr>
              <w:jc w:val="center"/>
              <w:rPr>
                <w:rFonts w:ascii="Arial" w:hAnsi="Arial" w:cs="Arial"/>
                <w:sz w:val="20"/>
                <w:szCs w:val="20"/>
              </w:rPr>
            </w:pPr>
          </w:p>
        </w:tc>
        <w:tc>
          <w:tcPr>
            <w:tcW w:w="1417" w:type="dxa"/>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1,034</w:t>
            </w:r>
          </w:p>
        </w:tc>
        <w:tc>
          <w:tcPr>
            <w:tcW w:w="1276" w:type="dxa"/>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893</w:t>
            </w:r>
          </w:p>
        </w:tc>
        <w:tc>
          <w:tcPr>
            <w:tcW w:w="1134" w:type="dxa"/>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141</w:t>
            </w:r>
          </w:p>
        </w:tc>
      </w:tr>
      <w:tr w:rsidR="00E1735A" w:rsidRPr="00DE475B" w:rsidTr="00CE5403">
        <w:trPr>
          <w:trHeight w:val="284"/>
        </w:trPr>
        <w:tc>
          <w:tcPr>
            <w:tcW w:w="3969" w:type="dxa"/>
            <w:shd w:val="clear" w:color="auto" w:fill="auto"/>
            <w:vAlign w:val="bottom"/>
          </w:tcPr>
          <w:p w:rsidR="00E1735A" w:rsidRPr="00DE475B" w:rsidRDefault="00E1735A" w:rsidP="000557E9">
            <w:pPr>
              <w:snapToGrid w:val="0"/>
              <w:rPr>
                <w:rFonts w:ascii="Arial" w:hAnsi="Arial" w:cs="Arial"/>
                <w:sz w:val="20"/>
                <w:szCs w:val="20"/>
              </w:rPr>
            </w:pPr>
            <w:r w:rsidRPr="00DE475B">
              <w:rPr>
                <w:rFonts w:ascii="Arial" w:hAnsi="Arial" w:cs="Arial"/>
                <w:sz w:val="20"/>
                <w:szCs w:val="20"/>
              </w:rPr>
              <w:t>Inventories</w:t>
            </w:r>
          </w:p>
        </w:tc>
        <w:tc>
          <w:tcPr>
            <w:tcW w:w="993" w:type="dxa"/>
            <w:shd w:val="clear" w:color="auto" w:fill="auto"/>
            <w:vAlign w:val="bottom"/>
          </w:tcPr>
          <w:p w:rsidR="00E1735A" w:rsidRPr="00DE475B" w:rsidRDefault="00E1735A" w:rsidP="000557E9">
            <w:pPr>
              <w:jc w:val="center"/>
              <w:rPr>
                <w:rFonts w:ascii="Arial" w:hAnsi="Arial" w:cs="Arial"/>
                <w:sz w:val="20"/>
                <w:szCs w:val="20"/>
              </w:rPr>
            </w:pPr>
          </w:p>
        </w:tc>
        <w:tc>
          <w:tcPr>
            <w:tcW w:w="1417" w:type="dxa"/>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213</w:t>
            </w:r>
          </w:p>
        </w:tc>
        <w:tc>
          <w:tcPr>
            <w:tcW w:w="1276" w:type="dxa"/>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248</w:t>
            </w:r>
          </w:p>
        </w:tc>
        <w:tc>
          <w:tcPr>
            <w:tcW w:w="1134" w:type="dxa"/>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(35)</w:t>
            </w:r>
          </w:p>
        </w:tc>
      </w:tr>
      <w:tr w:rsidR="00E1735A" w:rsidRPr="00DE475B" w:rsidTr="00CE5403">
        <w:trPr>
          <w:trHeight w:val="284"/>
        </w:trPr>
        <w:tc>
          <w:tcPr>
            <w:tcW w:w="3969" w:type="dxa"/>
            <w:shd w:val="clear" w:color="auto" w:fill="auto"/>
            <w:vAlign w:val="bottom"/>
          </w:tcPr>
          <w:p w:rsidR="00E1735A" w:rsidRPr="00DE475B" w:rsidRDefault="00CE5403" w:rsidP="000557E9">
            <w:pPr>
              <w:snapToGrid w:val="0"/>
              <w:rPr>
                <w:rFonts w:ascii="Arial" w:hAnsi="Arial" w:cs="Arial"/>
                <w:b/>
                <w:bCs/>
                <w:sz w:val="20"/>
                <w:szCs w:val="20"/>
              </w:rPr>
            </w:pPr>
            <w:r>
              <w:rPr>
                <w:rFonts w:ascii="Arial" w:hAnsi="Arial" w:cs="Arial"/>
                <w:sz w:val="20"/>
                <w:szCs w:val="20"/>
              </w:rPr>
              <w:t>Prepayments</w:t>
            </w:r>
          </w:p>
        </w:tc>
        <w:tc>
          <w:tcPr>
            <w:tcW w:w="993" w:type="dxa"/>
            <w:shd w:val="clear" w:color="auto" w:fill="auto"/>
            <w:vAlign w:val="bottom"/>
          </w:tcPr>
          <w:p w:rsidR="00E1735A" w:rsidRPr="00DE475B" w:rsidRDefault="00E1735A" w:rsidP="000557E9">
            <w:pPr>
              <w:jc w:val="center"/>
              <w:rPr>
                <w:rFonts w:ascii="Arial" w:hAnsi="Arial" w:cs="Arial"/>
                <w:sz w:val="20"/>
                <w:szCs w:val="20"/>
              </w:rPr>
            </w:pPr>
          </w:p>
        </w:tc>
        <w:tc>
          <w:tcPr>
            <w:tcW w:w="1417" w:type="dxa"/>
            <w:tcBorders>
              <w:bottom w:val="single" w:sz="4" w:space="0" w:color="000000"/>
            </w:tcBorders>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893</w:t>
            </w:r>
          </w:p>
        </w:tc>
        <w:tc>
          <w:tcPr>
            <w:tcW w:w="1276" w:type="dxa"/>
            <w:tcBorders>
              <w:bottom w:val="single" w:sz="4" w:space="0" w:color="000000"/>
            </w:tcBorders>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749</w:t>
            </w:r>
          </w:p>
        </w:tc>
        <w:tc>
          <w:tcPr>
            <w:tcW w:w="1134" w:type="dxa"/>
            <w:tcBorders>
              <w:bottom w:val="single" w:sz="4" w:space="0" w:color="000000"/>
            </w:tcBorders>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144</w:t>
            </w:r>
          </w:p>
        </w:tc>
      </w:tr>
      <w:tr w:rsidR="00E1735A" w:rsidRPr="00DE475B" w:rsidTr="00CE5403">
        <w:trPr>
          <w:trHeight w:val="284"/>
        </w:trPr>
        <w:tc>
          <w:tcPr>
            <w:tcW w:w="3969" w:type="dxa"/>
            <w:shd w:val="clear" w:color="auto" w:fill="auto"/>
            <w:vAlign w:val="bottom"/>
          </w:tcPr>
          <w:p w:rsidR="00E1735A" w:rsidRPr="00DE475B" w:rsidRDefault="00E1735A" w:rsidP="000557E9">
            <w:pPr>
              <w:snapToGrid w:val="0"/>
              <w:rPr>
                <w:rFonts w:ascii="Arial" w:hAnsi="Arial" w:cs="Arial"/>
                <w:b/>
                <w:bCs/>
                <w:sz w:val="20"/>
                <w:szCs w:val="20"/>
              </w:rPr>
            </w:pPr>
            <w:r w:rsidRPr="00DE475B">
              <w:rPr>
                <w:rFonts w:ascii="Arial" w:hAnsi="Arial" w:cs="Arial"/>
                <w:b/>
                <w:bCs/>
                <w:sz w:val="20"/>
                <w:szCs w:val="20"/>
              </w:rPr>
              <w:t>Total Current Assets</w:t>
            </w:r>
          </w:p>
        </w:tc>
        <w:tc>
          <w:tcPr>
            <w:tcW w:w="993" w:type="dxa"/>
            <w:shd w:val="clear" w:color="auto" w:fill="auto"/>
            <w:vAlign w:val="bottom"/>
          </w:tcPr>
          <w:p w:rsidR="00E1735A" w:rsidRPr="00DE475B" w:rsidRDefault="00E1735A" w:rsidP="000557E9">
            <w:pPr>
              <w:snapToGrid w:val="0"/>
              <w:jc w:val="center"/>
              <w:rPr>
                <w:rFonts w:ascii="Arial" w:hAnsi="Arial" w:cs="Arial"/>
                <w:b/>
                <w:bCs/>
                <w:sz w:val="20"/>
                <w:szCs w:val="20"/>
              </w:rPr>
            </w:pPr>
          </w:p>
        </w:tc>
        <w:tc>
          <w:tcPr>
            <w:tcW w:w="1417" w:type="dxa"/>
            <w:tcBorders>
              <w:top w:val="single" w:sz="4" w:space="0" w:color="000000"/>
              <w:bottom w:val="single" w:sz="12" w:space="0" w:color="000000"/>
            </w:tcBorders>
            <w:shd w:val="clear" w:color="auto" w:fill="auto"/>
            <w:vAlign w:val="bottom"/>
          </w:tcPr>
          <w:p w:rsidR="00E1735A" w:rsidRPr="00DE475B" w:rsidRDefault="00252AB4" w:rsidP="000557E9">
            <w:pPr>
              <w:jc w:val="right"/>
              <w:rPr>
                <w:rFonts w:ascii="Arial" w:hAnsi="Arial" w:cs="Arial"/>
                <w:b/>
                <w:bCs/>
                <w:sz w:val="20"/>
                <w:szCs w:val="20"/>
              </w:rPr>
            </w:pPr>
            <w:r>
              <w:rPr>
                <w:rFonts w:ascii="Arial" w:hAnsi="Arial" w:cs="Arial"/>
                <w:b/>
                <w:bCs/>
                <w:sz w:val="20"/>
                <w:szCs w:val="20"/>
              </w:rPr>
              <w:t>21,000</w:t>
            </w:r>
          </w:p>
        </w:tc>
        <w:tc>
          <w:tcPr>
            <w:tcW w:w="1276" w:type="dxa"/>
            <w:tcBorders>
              <w:top w:val="single" w:sz="4" w:space="0" w:color="000000"/>
              <w:bottom w:val="single" w:sz="12" w:space="0" w:color="000000"/>
            </w:tcBorders>
            <w:shd w:val="clear" w:color="auto" w:fill="auto"/>
            <w:vAlign w:val="bottom"/>
          </w:tcPr>
          <w:p w:rsidR="00E1735A" w:rsidRPr="00DE475B" w:rsidRDefault="00252AB4" w:rsidP="00E82584">
            <w:pPr>
              <w:jc w:val="right"/>
              <w:rPr>
                <w:rFonts w:ascii="Arial" w:hAnsi="Arial" w:cs="Arial"/>
                <w:b/>
                <w:bCs/>
                <w:sz w:val="20"/>
                <w:szCs w:val="20"/>
              </w:rPr>
            </w:pPr>
            <w:r>
              <w:rPr>
                <w:rFonts w:ascii="Arial" w:hAnsi="Arial" w:cs="Arial"/>
                <w:b/>
                <w:bCs/>
                <w:sz w:val="20"/>
                <w:szCs w:val="20"/>
              </w:rPr>
              <w:t>17,457</w:t>
            </w:r>
          </w:p>
        </w:tc>
        <w:tc>
          <w:tcPr>
            <w:tcW w:w="1134" w:type="dxa"/>
            <w:tcBorders>
              <w:top w:val="single" w:sz="4" w:space="0" w:color="000000"/>
              <w:bottom w:val="single" w:sz="12" w:space="0" w:color="000000"/>
            </w:tcBorders>
            <w:shd w:val="clear" w:color="auto" w:fill="auto"/>
            <w:vAlign w:val="bottom"/>
          </w:tcPr>
          <w:p w:rsidR="00E1735A" w:rsidRPr="00DE475B" w:rsidRDefault="00252AB4" w:rsidP="000557E9">
            <w:pPr>
              <w:jc w:val="right"/>
              <w:rPr>
                <w:rFonts w:ascii="Arial" w:hAnsi="Arial" w:cs="Arial"/>
                <w:b/>
                <w:bCs/>
                <w:sz w:val="20"/>
                <w:szCs w:val="20"/>
              </w:rPr>
            </w:pPr>
            <w:r>
              <w:rPr>
                <w:rFonts w:ascii="Arial" w:hAnsi="Arial" w:cs="Arial"/>
                <w:b/>
                <w:bCs/>
                <w:sz w:val="20"/>
                <w:szCs w:val="20"/>
              </w:rPr>
              <w:t>3,543</w:t>
            </w:r>
          </w:p>
        </w:tc>
      </w:tr>
      <w:tr w:rsidR="00E1735A" w:rsidRPr="00DE475B" w:rsidTr="00CE5403">
        <w:trPr>
          <w:trHeight w:val="155"/>
        </w:trPr>
        <w:tc>
          <w:tcPr>
            <w:tcW w:w="3969" w:type="dxa"/>
            <w:shd w:val="clear" w:color="auto" w:fill="auto"/>
            <w:vAlign w:val="bottom"/>
          </w:tcPr>
          <w:p w:rsidR="00E1735A" w:rsidRPr="00DE475B" w:rsidRDefault="00E1735A" w:rsidP="000557E9">
            <w:pPr>
              <w:snapToGrid w:val="0"/>
              <w:rPr>
                <w:rFonts w:ascii="Arial" w:hAnsi="Arial" w:cs="Arial"/>
                <w:b/>
                <w:bCs/>
                <w:sz w:val="12"/>
                <w:szCs w:val="12"/>
              </w:rPr>
            </w:pPr>
          </w:p>
        </w:tc>
        <w:tc>
          <w:tcPr>
            <w:tcW w:w="993" w:type="dxa"/>
            <w:shd w:val="clear" w:color="auto" w:fill="auto"/>
            <w:vAlign w:val="bottom"/>
          </w:tcPr>
          <w:p w:rsidR="00E1735A" w:rsidRPr="00DE475B" w:rsidRDefault="00E1735A" w:rsidP="000557E9">
            <w:pPr>
              <w:snapToGrid w:val="0"/>
              <w:jc w:val="center"/>
              <w:rPr>
                <w:rFonts w:ascii="Arial" w:hAnsi="Arial" w:cs="Arial"/>
                <w:b/>
                <w:bCs/>
                <w:sz w:val="12"/>
                <w:szCs w:val="12"/>
              </w:rPr>
            </w:pPr>
          </w:p>
        </w:tc>
        <w:tc>
          <w:tcPr>
            <w:tcW w:w="1417" w:type="dxa"/>
            <w:shd w:val="clear" w:color="auto" w:fill="auto"/>
            <w:vAlign w:val="bottom"/>
          </w:tcPr>
          <w:p w:rsidR="00E1735A" w:rsidRPr="00DE475B" w:rsidRDefault="00E1735A" w:rsidP="000557E9">
            <w:pPr>
              <w:jc w:val="right"/>
              <w:rPr>
                <w:rFonts w:ascii="Arial" w:hAnsi="Arial" w:cs="Arial"/>
                <w:b/>
                <w:sz w:val="12"/>
                <w:szCs w:val="12"/>
              </w:rPr>
            </w:pPr>
          </w:p>
        </w:tc>
        <w:tc>
          <w:tcPr>
            <w:tcW w:w="1276" w:type="dxa"/>
            <w:shd w:val="clear" w:color="auto" w:fill="auto"/>
            <w:vAlign w:val="bottom"/>
          </w:tcPr>
          <w:p w:rsidR="00E1735A" w:rsidRPr="00DE475B" w:rsidRDefault="00E1735A" w:rsidP="000557E9">
            <w:pPr>
              <w:jc w:val="right"/>
              <w:rPr>
                <w:rFonts w:ascii="Arial" w:hAnsi="Arial" w:cs="Arial"/>
                <w:b/>
                <w:sz w:val="12"/>
                <w:szCs w:val="12"/>
              </w:rPr>
            </w:pPr>
          </w:p>
        </w:tc>
        <w:tc>
          <w:tcPr>
            <w:tcW w:w="1134" w:type="dxa"/>
            <w:shd w:val="clear" w:color="auto" w:fill="auto"/>
            <w:vAlign w:val="bottom"/>
          </w:tcPr>
          <w:p w:rsidR="00E1735A" w:rsidRPr="00DE475B" w:rsidRDefault="00E1735A" w:rsidP="000557E9">
            <w:pPr>
              <w:jc w:val="right"/>
              <w:rPr>
                <w:rFonts w:ascii="Arial" w:hAnsi="Arial" w:cs="Arial"/>
                <w:b/>
                <w:sz w:val="12"/>
                <w:szCs w:val="12"/>
              </w:rPr>
            </w:pPr>
          </w:p>
        </w:tc>
      </w:tr>
      <w:tr w:rsidR="00E1735A" w:rsidRPr="00DE475B" w:rsidTr="00CE5403">
        <w:trPr>
          <w:trHeight w:val="104"/>
        </w:trPr>
        <w:tc>
          <w:tcPr>
            <w:tcW w:w="4962" w:type="dxa"/>
            <w:gridSpan w:val="2"/>
            <w:shd w:val="clear" w:color="auto" w:fill="auto"/>
          </w:tcPr>
          <w:p w:rsidR="00E1735A" w:rsidRPr="00DE475B" w:rsidRDefault="00E1735A" w:rsidP="000557E9">
            <w:pPr>
              <w:snapToGrid w:val="0"/>
              <w:rPr>
                <w:rFonts w:ascii="Arial" w:hAnsi="Arial" w:cs="Arial"/>
                <w:b/>
                <w:bCs/>
                <w:sz w:val="20"/>
                <w:szCs w:val="20"/>
              </w:rPr>
            </w:pPr>
            <w:proofErr w:type="spellStart"/>
            <w:r w:rsidRPr="00DE475B">
              <w:rPr>
                <w:rFonts w:ascii="Arial" w:hAnsi="Arial" w:cs="Arial"/>
                <w:b/>
                <w:bCs/>
                <w:sz w:val="20"/>
                <w:szCs w:val="20"/>
              </w:rPr>
              <w:t>Non Current</w:t>
            </w:r>
            <w:proofErr w:type="spellEnd"/>
            <w:r w:rsidRPr="00DE475B">
              <w:rPr>
                <w:rFonts w:ascii="Arial" w:hAnsi="Arial" w:cs="Arial"/>
                <w:b/>
                <w:bCs/>
                <w:sz w:val="20"/>
                <w:szCs w:val="20"/>
              </w:rPr>
              <w:t xml:space="preserve"> Assets</w:t>
            </w:r>
          </w:p>
        </w:tc>
        <w:tc>
          <w:tcPr>
            <w:tcW w:w="1417" w:type="dxa"/>
            <w:shd w:val="clear" w:color="auto" w:fill="auto"/>
            <w:vAlign w:val="bottom"/>
          </w:tcPr>
          <w:p w:rsidR="00E1735A" w:rsidRPr="00DE475B" w:rsidRDefault="00E1735A" w:rsidP="000557E9">
            <w:pPr>
              <w:jc w:val="right"/>
              <w:rPr>
                <w:rFonts w:ascii="Arial" w:hAnsi="Arial" w:cs="Arial"/>
                <w:b/>
                <w:sz w:val="20"/>
                <w:szCs w:val="20"/>
              </w:rPr>
            </w:pPr>
          </w:p>
        </w:tc>
        <w:tc>
          <w:tcPr>
            <w:tcW w:w="1276" w:type="dxa"/>
            <w:shd w:val="clear" w:color="auto" w:fill="auto"/>
            <w:vAlign w:val="bottom"/>
          </w:tcPr>
          <w:p w:rsidR="00E1735A" w:rsidRPr="00DE475B" w:rsidRDefault="00E1735A" w:rsidP="000557E9">
            <w:pPr>
              <w:jc w:val="right"/>
              <w:rPr>
                <w:rFonts w:ascii="Arial" w:hAnsi="Arial" w:cs="Arial"/>
                <w:b/>
                <w:sz w:val="20"/>
                <w:szCs w:val="20"/>
              </w:rPr>
            </w:pPr>
          </w:p>
        </w:tc>
        <w:tc>
          <w:tcPr>
            <w:tcW w:w="1134" w:type="dxa"/>
            <w:shd w:val="clear" w:color="auto" w:fill="auto"/>
            <w:vAlign w:val="bottom"/>
          </w:tcPr>
          <w:p w:rsidR="00E1735A" w:rsidRPr="00DE475B" w:rsidRDefault="00E1735A" w:rsidP="000557E9">
            <w:pPr>
              <w:jc w:val="right"/>
              <w:rPr>
                <w:rFonts w:ascii="Arial" w:hAnsi="Arial" w:cs="Arial"/>
                <w:b/>
                <w:sz w:val="20"/>
                <w:szCs w:val="20"/>
              </w:rPr>
            </w:pPr>
          </w:p>
        </w:tc>
      </w:tr>
      <w:tr w:rsidR="00E1735A" w:rsidRPr="00DE475B" w:rsidTr="00CE5403">
        <w:trPr>
          <w:trHeight w:val="284"/>
        </w:trPr>
        <w:tc>
          <w:tcPr>
            <w:tcW w:w="3969" w:type="dxa"/>
            <w:shd w:val="clear" w:color="auto" w:fill="auto"/>
            <w:vAlign w:val="bottom"/>
          </w:tcPr>
          <w:p w:rsidR="00E1735A" w:rsidRPr="00DE475B" w:rsidRDefault="00E1735A" w:rsidP="000557E9">
            <w:pPr>
              <w:rPr>
                <w:rFonts w:ascii="Arial" w:hAnsi="Arial" w:cs="Arial"/>
                <w:sz w:val="20"/>
                <w:szCs w:val="20"/>
              </w:rPr>
            </w:pPr>
            <w:r w:rsidRPr="00DE475B">
              <w:rPr>
                <w:rFonts w:ascii="Arial" w:hAnsi="Arial" w:cs="Arial"/>
                <w:sz w:val="20"/>
                <w:szCs w:val="20"/>
              </w:rPr>
              <w:t>Intangible assets</w:t>
            </w:r>
          </w:p>
        </w:tc>
        <w:tc>
          <w:tcPr>
            <w:tcW w:w="993" w:type="dxa"/>
            <w:shd w:val="clear" w:color="auto" w:fill="auto"/>
            <w:vAlign w:val="bottom"/>
          </w:tcPr>
          <w:p w:rsidR="00E1735A" w:rsidRPr="00DE475B" w:rsidRDefault="00E1735A" w:rsidP="000557E9">
            <w:pPr>
              <w:jc w:val="center"/>
              <w:rPr>
                <w:rFonts w:ascii="Arial" w:hAnsi="Arial" w:cs="Arial"/>
                <w:sz w:val="20"/>
                <w:szCs w:val="20"/>
              </w:rPr>
            </w:pPr>
          </w:p>
        </w:tc>
        <w:tc>
          <w:tcPr>
            <w:tcW w:w="1417" w:type="dxa"/>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8,585</w:t>
            </w:r>
          </w:p>
        </w:tc>
        <w:tc>
          <w:tcPr>
            <w:tcW w:w="1276" w:type="dxa"/>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6,453</w:t>
            </w:r>
          </w:p>
        </w:tc>
        <w:tc>
          <w:tcPr>
            <w:tcW w:w="1134" w:type="dxa"/>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2,132</w:t>
            </w:r>
          </w:p>
        </w:tc>
      </w:tr>
      <w:tr w:rsidR="00E1735A" w:rsidRPr="00DE475B" w:rsidTr="00CE5403">
        <w:trPr>
          <w:trHeight w:val="284"/>
        </w:trPr>
        <w:tc>
          <w:tcPr>
            <w:tcW w:w="3969" w:type="dxa"/>
            <w:shd w:val="clear" w:color="auto" w:fill="auto"/>
            <w:vAlign w:val="bottom"/>
          </w:tcPr>
          <w:p w:rsidR="00E1735A" w:rsidRPr="00DE475B" w:rsidRDefault="00E1735A" w:rsidP="000557E9">
            <w:pPr>
              <w:rPr>
                <w:rFonts w:ascii="Arial" w:hAnsi="Arial" w:cs="Arial"/>
                <w:sz w:val="20"/>
                <w:szCs w:val="20"/>
              </w:rPr>
            </w:pPr>
            <w:r w:rsidRPr="00DE475B">
              <w:rPr>
                <w:rFonts w:ascii="Arial" w:hAnsi="Arial" w:cs="Arial"/>
                <w:sz w:val="20"/>
                <w:szCs w:val="20"/>
              </w:rPr>
              <w:t>Property, plant and equipment</w:t>
            </w:r>
          </w:p>
        </w:tc>
        <w:tc>
          <w:tcPr>
            <w:tcW w:w="993" w:type="dxa"/>
            <w:shd w:val="clear" w:color="auto" w:fill="auto"/>
            <w:vAlign w:val="bottom"/>
          </w:tcPr>
          <w:p w:rsidR="00E1735A" w:rsidRPr="00DE475B" w:rsidRDefault="00E1735A" w:rsidP="000557E9">
            <w:pPr>
              <w:jc w:val="center"/>
              <w:rPr>
                <w:rFonts w:ascii="Arial" w:hAnsi="Arial" w:cs="Arial"/>
                <w:sz w:val="20"/>
                <w:szCs w:val="20"/>
              </w:rPr>
            </w:pPr>
          </w:p>
        </w:tc>
        <w:tc>
          <w:tcPr>
            <w:tcW w:w="1417" w:type="dxa"/>
            <w:tcBorders>
              <w:bottom w:val="single" w:sz="8" w:space="0" w:color="000000"/>
            </w:tcBorders>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123,254</w:t>
            </w:r>
          </w:p>
        </w:tc>
        <w:tc>
          <w:tcPr>
            <w:tcW w:w="1276" w:type="dxa"/>
            <w:tcBorders>
              <w:bottom w:val="single" w:sz="8" w:space="0" w:color="000000"/>
            </w:tcBorders>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109,198</w:t>
            </w:r>
          </w:p>
        </w:tc>
        <w:tc>
          <w:tcPr>
            <w:tcW w:w="1134" w:type="dxa"/>
            <w:tcBorders>
              <w:bottom w:val="single" w:sz="8" w:space="0" w:color="000000"/>
            </w:tcBorders>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14,056</w:t>
            </w:r>
          </w:p>
        </w:tc>
      </w:tr>
      <w:tr w:rsidR="00E1735A" w:rsidRPr="00DE475B" w:rsidTr="00CE5403">
        <w:trPr>
          <w:trHeight w:val="284"/>
        </w:trPr>
        <w:tc>
          <w:tcPr>
            <w:tcW w:w="3969" w:type="dxa"/>
            <w:shd w:val="clear" w:color="auto" w:fill="auto"/>
            <w:vAlign w:val="bottom"/>
          </w:tcPr>
          <w:p w:rsidR="00E1735A" w:rsidRPr="00DE475B" w:rsidRDefault="00E1735A" w:rsidP="000557E9">
            <w:pPr>
              <w:rPr>
                <w:rFonts w:ascii="Arial" w:hAnsi="Arial" w:cs="Arial"/>
                <w:sz w:val="20"/>
                <w:szCs w:val="20"/>
              </w:rPr>
            </w:pPr>
            <w:r w:rsidRPr="00DE475B">
              <w:rPr>
                <w:rFonts w:ascii="Arial" w:hAnsi="Arial" w:cs="Arial"/>
                <w:b/>
                <w:sz w:val="20"/>
                <w:szCs w:val="20"/>
              </w:rPr>
              <w:t xml:space="preserve">Total </w:t>
            </w:r>
            <w:proofErr w:type="spellStart"/>
            <w:r w:rsidRPr="00DE475B">
              <w:rPr>
                <w:rFonts w:ascii="Arial" w:hAnsi="Arial" w:cs="Arial"/>
                <w:b/>
                <w:bCs/>
                <w:sz w:val="20"/>
                <w:szCs w:val="20"/>
              </w:rPr>
              <w:t>Non Current</w:t>
            </w:r>
            <w:proofErr w:type="spellEnd"/>
            <w:r w:rsidRPr="00DE475B">
              <w:rPr>
                <w:rFonts w:ascii="Arial" w:hAnsi="Arial" w:cs="Arial"/>
                <w:b/>
                <w:bCs/>
                <w:sz w:val="20"/>
                <w:szCs w:val="20"/>
              </w:rPr>
              <w:t xml:space="preserve"> Assets</w:t>
            </w:r>
          </w:p>
        </w:tc>
        <w:tc>
          <w:tcPr>
            <w:tcW w:w="993" w:type="dxa"/>
            <w:shd w:val="clear" w:color="auto" w:fill="auto"/>
            <w:vAlign w:val="bottom"/>
          </w:tcPr>
          <w:p w:rsidR="00E1735A" w:rsidRPr="00DE475B" w:rsidRDefault="00E1735A" w:rsidP="000557E9">
            <w:pPr>
              <w:jc w:val="center"/>
              <w:rPr>
                <w:rFonts w:ascii="Arial" w:hAnsi="Arial" w:cs="Arial"/>
                <w:sz w:val="20"/>
                <w:szCs w:val="20"/>
              </w:rPr>
            </w:pPr>
          </w:p>
        </w:tc>
        <w:tc>
          <w:tcPr>
            <w:tcW w:w="1417" w:type="dxa"/>
            <w:tcBorders>
              <w:top w:val="single" w:sz="8" w:space="0" w:color="000000"/>
              <w:bottom w:val="single" w:sz="8" w:space="0" w:color="000000"/>
            </w:tcBorders>
            <w:shd w:val="clear" w:color="auto" w:fill="auto"/>
            <w:vAlign w:val="bottom"/>
          </w:tcPr>
          <w:p w:rsidR="00E1735A" w:rsidRPr="00DE475B" w:rsidRDefault="00252AB4" w:rsidP="000557E9">
            <w:pPr>
              <w:jc w:val="right"/>
              <w:rPr>
                <w:rFonts w:ascii="Arial" w:hAnsi="Arial" w:cs="Arial"/>
                <w:b/>
                <w:bCs/>
                <w:sz w:val="20"/>
                <w:szCs w:val="20"/>
              </w:rPr>
            </w:pPr>
            <w:r>
              <w:rPr>
                <w:rFonts w:ascii="Arial" w:hAnsi="Arial" w:cs="Arial"/>
                <w:b/>
                <w:bCs/>
                <w:sz w:val="20"/>
                <w:szCs w:val="20"/>
              </w:rPr>
              <w:t>131,839</w:t>
            </w:r>
          </w:p>
        </w:tc>
        <w:tc>
          <w:tcPr>
            <w:tcW w:w="1276" w:type="dxa"/>
            <w:tcBorders>
              <w:top w:val="single" w:sz="8" w:space="0" w:color="000000"/>
              <w:bottom w:val="single" w:sz="8" w:space="0" w:color="000000"/>
            </w:tcBorders>
            <w:shd w:val="clear" w:color="auto" w:fill="auto"/>
            <w:vAlign w:val="bottom"/>
          </w:tcPr>
          <w:p w:rsidR="00E1735A" w:rsidRPr="00DE475B" w:rsidRDefault="00252AB4" w:rsidP="000557E9">
            <w:pPr>
              <w:jc w:val="right"/>
              <w:rPr>
                <w:rFonts w:ascii="Arial" w:hAnsi="Arial" w:cs="Arial"/>
                <w:b/>
                <w:bCs/>
                <w:sz w:val="20"/>
                <w:szCs w:val="20"/>
              </w:rPr>
            </w:pPr>
            <w:r>
              <w:rPr>
                <w:rFonts w:ascii="Arial" w:hAnsi="Arial" w:cs="Arial"/>
                <w:b/>
                <w:bCs/>
                <w:sz w:val="20"/>
                <w:szCs w:val="20"/>
              </w:rPr>
              <w:t>115,651</w:t>
            </w:r>
          </w:p>
        </w:tc>
        <w:tc>
          <w:tcPr>
            <w:tcW w:w="1134" w:type="dxa"/>
            <w:tcBorders>
              <w:top w:val="single" w:sz="8" w:space="0" w:color="000000"/>
              <w:bottom w:val="single" w:sz="8" w:space="0" w:color="000000"/>
            </w:tcBorders>
            <w:shd w:val="clear" w:color="auto" w:fill="auto"/>
            <w:vAlign w:val="bottom"/>
          </w:tcPr>
          <w:p w:rsidR="00E1735A" w:rsidRPr="00DE475B" w:rsidRDefault="00252AB4" w:rsidP="000557E9">
            <w:pPr>
              <w:jc w:val="right"/>
              <w:rPr>
                <w:rFonts w:ascii="Arial" w:hAnsi="Arial" w:cs="Arial"/>
                <w:b/>
                <w:bCs/>
                <w:sz w:val="20"/>
                <w:szCs w:val="20"/>
              </w:rPr>
            </w:pPr>
            <w:r>
              <w:rPr>
                <w:rFonts w:ascii="Arial" w:hAnsi="Arial" w:cs="Arial"/>
                <w:b/>
                <w:bCs/>
                <w:sz w:val="20"/>
                <w:szCs w:val="20"/>
              </w:rPr>
              <w:t>16,188</w:t>
            </w:r>
          </w:p>
        </w:tc>
      </w:tr>
      <w:tr w:rsidR="00E1735A" w:rsidRPr="00DE475B" w:rsidTr="00CE5403">
        <w:trPr>
          <w:trHeight w:val="284"/>
        </w:trPr>
        <w:tc>
          <w:tcPr>
            <w:tcW w:w="3969" w:type="dxa"/>
            <w:shd w:val="clear" w:color="auto" w:fill="auto"/>
            <w:vAlign w:val="bottom"/>
          </w:tcPr>
          <w:p w:rsidR="00E1735A" w:rsidRPr="00DE475B" w:rsidRDefault="00E1735A" w:rsidP="000557E9">
            <w:pPr>
              <w:rPr>
                <w:rFonts w:ascii="Arial" w:hAnsi="Arial" w:cs="Arial"/>
                <w:sz w:val="20"/>
                <w:szCs w:val="20"/>
              </w:rPr>
            </w:pPr>
            <w:r w:rsidRPr="00DE475B">
              <w:rPr>
                <w:rFonts w:ascii="Arial" w:hAnsi="Arial" w:cs="Arial"/>
                <w:b/>
                <w:bCs/>
                <w:sz w:val="20"/>
                <w:szCs w:val="20"/>
              </w:rPr>
              <w:t>Total Assets</w:t>
            </w:r>
          </w:p>
        </w:tc>
        <w:tc>
          <w:tcPr>
            <w:tcW w:w="993" w:type="dxa"/>
            <w:shd w:val="clear" w:color="auto" w:fill="auto"/>
            <w:vAlign w:val="bottom"/>
          </w:tcPr>
          <w:p w:rsidR="00E1735A" w:rsidRPr="00DE475B" w:rsidRDefault="00E1735A" w:rsidP="000557E9">
            <w:pPr>
              <w:snapToGrid w:val="0"/>
              <w:jc w:val="center"/>
              <w:rPr>
                <w:rFonts w:ascii="Arial" w:hAnsi="Arial" w:cs="Arial"/>
                <w:b/>
                <w:bCs/>
                <w:sz w:val="20"/>
                <w:szCs w:val="20"/>
              </w:rPr>
            </w:pPr>
          </w:p>
        </w:tc>
        <w:tc>
          <w:tcPr>
            <w:tcW w:w="1417" w:type="dxa"/>
            <w:tcBorders>
              <w:top w:val="single" w:sz="8" w:space="0" w:color="000000"/>
              <w:bottom w:val="single" w:sz="12" w:space="0" w:color="000000"/>
            </w:tcBorders>
            <w:shd w:val="clear" w:color="auto" w:fill="auto"/>
            <w:vAlign w:val="bottom"/>
          </w:tcPr>
          <w:p w:rsidR="00E1735A" w:rsidRPr="00DE475B" w:rsidRDefault="00252AB4" w:rsidP="000557E9">
            <w:pPr>
              <w:jc w:val="right"/>
              <w:rPr>
                <w:rFonts w:ascii="Arial" w:hAnsi="Arial" w:cs="Arial"/>
                <w:b/>
                <w:bCs/>
                <w:sz w:val="20"/>
                <w:szCs w:val="20"/>
              </w:rPr>
            </w:pPr>
            <w:r>
              <w:rPr>
                <w:rFonts w:ascii="Arial" w:hAnsi="Arial" w:cs="Arial"/>
                <w:b/>
                <w:bCs/>
                <w:sz w:val="20"/>
                <w:szCs w:val="20"/>
              </w:rPr>
              <w:t>152,839</w:t>
            </w:r>
          </w:p>
        </w:tc>
        <w:tc>
          <w:tcPr>
            <w:tcW w:w="1276" w:type="dxa"/>
            <w:tcBorders>
              <w:top w:val="single" w:sz="8" w:space="0" w:color="000000"/>
              <w:bottom w:val="single" w:sz="12" w:space="0" w:color="000000"/>
            </w:tcBorders>
            <w:shd w:val="clear" w:color="auto" w:fill="auto"/>
            <w:vAlign w:val="bottom"/>
          </w:tcPr>
          <w:p w:rsidR="00E1735A" w:rsidRPr="00DE475B" w:rsidRDefault="00252AB4" w:rsidP="00E82584">
            <w:pPr>
              <w:jc w:val="right"/>
              <w:rPr>
                <w:rFonts w:ascii="Arial" w:hAnsi="Arial" w:cs="Arial"/>
                <w:b/>
                <w:bCs/>
                <w:sz w:val="20"/>
                <w:szCs w:val="20"/>
              </w:rPr>
            </w:pPr>
            <w:r>
              <w:rPr>
                <w:rFonts w:ascii="Arial" w:hAnsi="Arial" w:cs="Arial"/>
                <w:b/>
                <w:bCs/>
                <w:sz w:val="20"/>
                <w:szCs w:val="20"/>
              </w:rPr>
              <w:t>133,108</w:t>
            </w:r>
          </w:p>
        </w:tc>
        <w:tc>
          <w:tcPr>
            <w:tcW w:w="1134" w:type="dxa"/>
            <w:tcBorders>
              <w:top w:val="single" w:sz="8" w:space="0" w:color="000000"/>
              <w:bottom w:val="single" w:sz="12" w:space="0" w:color="000000"/>
            </w:tcBorders>
            <w:shd w:val="clear" w:color="auto" w:fill="auto"/>
            <w:vAlign w:val="bottom"/>
          </w:tcPr>
          <w:p w:rsidR="00E1735A" w:rsidRPr="00DE475B" w:rsidRDefault="00252AB4" w:rsidP="000557E9">
            <w:pPr>
              <w:jc w:val="right"/>
              <w:rPr>
                <w:rFonts w:ascii="Arial" w:hAnsi="Arial" w:cs="Arial"/>
                <w:b/>
                <w:bCs/>
                <w:sz w:val="20"/>
                <w:szCs w:val="20"/>
              </w:rPr>
            </w:pPr>
            <w:r>
              <w:rPr>
                <w:rFonts w:ascii="Arial" w:hAnsi="Arial" w:cs="Arial"/>
                <w:b/>
                <w:bCs/>
                <w:sz w:val="20"/>
                <w:szCs w:val="20"/>
              </w:rPr>
              <w:t>19,731</w:t>
            </w:r>
          </w:p>
        </w:tc>
      </w:tr>
      <w:tr w:rsidR="00E1735A" w:rsidRPr="00DE475B" w:rsidTr="00CE5403">
        <w:trPr>
          <w:trHeight w:val="157"/>
        </w:trPr>
        <w:tc>
          <w:tcPr>
            <w:tcW w:w="3969" w:type="dxa"/>
            <w:shd w:val="clear" w:color="auto" w:fill="auto"/>
            <w:vAlign w:val="bottom"/>
          </w:tcPr>
          <w:p w:rsidR="00E1735A" w:rsidRPr="00DE475B" w:rsidRDefault="00E1735A" w:rsidP="000557E9">
            <w:pPr>
              <w:rPr>
                <w:rFonts w:ascii="Arial" w:hAnsi="Arial" w:cs="Arial"/>
                <w:sz w:val="12"/>
                <w:szCs w:val="12"/>
              </w:rPr>
            </w:pPr>
          </w:p>
        </w:tc>
        <w:tc>
          <w:tcPr>
            <w:tcW w:w="993" w:type="dxa"/>
            <w:shd w:val="clear" w:color="auto" w:fill="auto"/>
            <w:vAlign w:val="bottom"/>
          </w:tcPr>
          <w:p w:rsidR="00E1735A" w:rsidRPr="00DE475B" w:rsidRDefault="00E1735A" w:rsidP="000557E9">
            <w:pPr>
              <w:snapToGrid w:val="0"/>
              <w:jc w:val="center"/>
              <w:rPr>
                <w:rFonts w:ascii="Arial" w:hAnsi="Arial" w:cs="Arial"/>
                <w:b/>
                <w:bCs/>
                <w:sz w:val="12"/>
                <w:szCs w:val="12"/>
              </w:rPr>
            </w:pPr>
          </w:p>
        </w:tc>
        <w:tc>
          <w:tcPr>
            <w:tcW w:w="1417" w:type="dxa"/>
            <w:shd w:val="clear" w:color="auto" w:fill="auto"/>
            <w:vAlign w:val="bottom"/>
          </w:tcPr>
          <w:p w:rsidR="00E1735A" w:rsidRPr="00DE475B" w:rsidRDefault="00E1735A" w:rsidP="000557E9">
            <w:pPr>
              <w:jc w:val="right"/>
              <w:rPr>
                <w:rFonts w:ascii="Arial" w:hAnsi="Arial" w:cs="Arial"/>
                <w:sz w:val="12"/>
                <w:szCs w:val="12"/>
              </w:rPr>
            </w:pPr>
          </w:p>
        </w:tc>
        <w:tc>
          <w:tcPr>
            <w:tcW w:w="1276" w:type="dxa"/>
            <w:shd w:val="clear" w:color="auto" w:fill="auto"/>
            <w:vAlign w:val="bottom"/>
          </w:tcPr>
          <w:p w:rsidR="00E1735A" w:rsidRPr="00DE475B" w:rsidRDefault="00E1735A" w:rsidP="000557E9">
            <w:pPr>
              <w:jc w:val="right"/>
              <w:rPr>
                <w:rFonts w:ascii="Arial" w:hAnsi="Arial" w:cs="Arial"/>
                <w:sz w:val="12"/>
                <w:szCs w:val="12"/>
              </w:rPr>
            </w:pPr>
          </w:p>
        </w:tc>
        <w:tc>
          <w:tcPr>
            <w:tcW w:w="1134" w:type="dxa"/>
            <w:shd w:val="clear" w:color="auto" w:fill="auto"/>
            <w:vAlign w:val="bottom"/>
          </w:tcPr>
          <w:p w:rsidR="00E1735A" w:rsidRPr="00DE475B" w:rsidRDefault="00E1735A" w:rsidP="000557E9">
            <w:pPr>
              <w:jc w:val="right"/>
              <w:rPr>
                <w:rFonts w:ascii="Arial" w:hAnsi="Arial" w:cs="Arial"/>
                <w:sz w:val="12"/>
                <w:szCs w:val="12"/>
              </w:rPr>
            </w:pPr>
          </w:p>
        </w:tc>
      </w:tr>
      <w:tr w:rsidR="00E1735A" w:rsidRPr="00DE475B" w:rsidTr="00CE5403">
        <w:trPr>
          <w:trHeight w:val="183"/>
        </w:trPr>
        <w:tc>
          <w:tcPr>
            <w:tcW w:w="3969" w:type="dxa"/>
            <w:shd w:val="clear" w:color="auto" w:fill="auto"/>
            <w:vAlign w:val="bottom"/>
          </w:tcPr>
          <w:p w:rsidR="00E1735A" w:rsidRPr="00DE475B" w:rsidRDefault="00E1735A" w:rsidP="000557E9">
            <w:pPr>
              <w:rPr>
                <w:rFonts w:ascii="Arial" w:hAnsi="Arial" w:cs="Arial"/>
                <w:b/>
                <w:sz w:val="20"/>
                <w:szCs w:val="20"/>
              </w:rPr>
            </w:pPr>
            <w:r w:rsidRPr="00DE475B">
              <w:rPr>
                <w:rFonts w:ascii="Arial" w:hAnsi="Arial" w:cs="Arial"/>
                <w:b/>
                <w:sz w:val="20"/>
                <w:szCs w:val="20"/>
              </w:rPr>
              <w:t>Current Liabilities</w:t>
            </w:r>
          </w:p>
        </w:tc>
        <w:tc>
          <w:tcPr>
            <w:tcW w:w="993" w:type="dxa"/>
            <w:shd w:val="clear" w:color="auto" w:fill="auto"/>
            <w:vAlign w:val="bottom"/>
          </w:tcPr>
          <w:p w:rsidR="00E1735A" w:rsidRPr="00DE475B" w:rsidRDefault="00E1735A" w:rsidP="000557E9">
            <w:pPr>
              <w:snapToGrid w:val="0"/>
              <w:jc w:val="center"/>
              <w:rPr>
                <w:rFonts w:ascii="Arial" w:hAnsi="Arial" w:cs="Arial"/>
                <w:b/>
                <w:bCs/>
                <w:sz w:val="20"/>
                <w:szCs w:val="20"/>
              </w:rPr>
            </w:pPr>
          </w:p>
        </w:tc>
        <w:tc>
          <w:tcPr>
            <w:tcW w:w="1417" w:type="dxa"/>
            <w:shd w:val="clear" w:color="auto" w:fill="auto"/>
            <w:vAlign w:val="bottom"/>
          </w:tcPr>
          <w:p w:rsidR="00E1735A" w:rsidRPr="00DE475B" w:rsidRDefault="00E1735A" w:rsidP="000557E9">
            <w:pPr>
              <w:jc w:val="right"/>
              <w:rPr>
                <w:rFonts w:ascii="Arial" w:hAnsi="Arial" w:cs="Arial"/>
                <w:sz w:val="20"/>
                <w:szCs w:val="20"/>
              </w:rPr>
            </w:pPr>
          </w:p>
        </w:tc>
        <w:tc>
          <w:tcPr>
            <w:tcW w:w="1276" w:type="dxa"/>
            <w:shd w:val="clear" w:color="auto" w:fill="auto"/>
            <w:vAlign w:val="bottom"/>
          </w:tcPr>
          <w:p w:rsidR="00E1735A" w:rsidRPr="00DE475B" w:rsidRDefault="00E1735A" w:rsidP="000557E9">
            <w:pPr>
              <w:jc w:val="right"/>
              <w:rPr>
                <w:rFonts w:ascii="Arial" w:hAnsi="Arial" w:cs="Arial"/>
                <w:sz w:val="20"/>
                <w:szCs w:val="20"/>
              </w:rPr>
            </w:pPr>
          </w:p>
        </w:tc>
        <w:tc>
          <w:tcPr>
            <w:tcW w:w="1134" w:type="dxa"/>
            <w:shd w:val="clear" w:color="auto" w:fill="auto"/>
            <w:vAlign w:val="bottom"/>
          </w:tcPr>
          <w:p w:rsidR="00E1735A" w:rsidRPr="00DE475B" w:rsidRDefault="00E1735A" w:rsidP="000557E9">
            <w:pPr>
              <w:jc w:val="right"/>
              <w:rPr>
                <w:rFonts w:ascii="Arial" w:hAnsi="Arial" w:cs="Arial"/>
                <w:sz w:val="20"/>
                <w:szCs w:val="20"/>
              </w:rPr>
            </w:pPr>
          </w:p>
        </w:tc>
      </w:tr>
      <w:tr w:rsidR="00E1735A" w:rsidRPr="00DE475B" w:rsidTr="00CE5403">
        <w:trPr>
          <w:trHeight w:val="284"/>
        </w:trPr>
        <w:tc>
          <w:tcPr>
            <w:tcW w:w="3969" w:type="dxa"/>
            <w:shd w:val="clear" w:color="auto" w:fill="auto"/>
            <w:vAlign w:val="bottom"/>
          </w:tcPr>
          <w:p w:rsidR="00E1735A" w:rsidRPr="00DE475B" w:rsidRDefault="00E1735A" w:rsidP="000557E9">
            <w:pPr>
              <w:rPr>
                <w:rFonts w:ascii="Arial" w:hAnsi="Arial" w:cs="Arial"/>
                <w:sz w:val="20"/>
                <w:szCs w:val="20"/>
              </w:rPr>
            </w:pPr>
            <w:r w:rsidRPr="00DE475B">
              <w:rPr>
                <w:rFonts w:ascii="Arial" w:hAnsi="Arial" w:cs="Arial"/>
                <w:sz w:val="20"/>
                <w:szCs w:val="20"/>
              </w:rPr>
              <w:t>Payables</w:t>
            </w:r>
          </w:p>
        </w:tc>
        <w:tc>
          <w:tcPr>
            <w:tcW w:w="993" w:type="dxa"/>
            <w:shd w:val="clear" w:color="auto" w:fill="auto"/>
            <w:vAlign w:val="bottom"/>
          </w:tcPr>
          <w:p w:rsidR="00E1735A" w:rsidRPr="00DE475B" w:rsidRDefault="00E1735A" w:rsidP="000557E9">
            <w:pPr>
              <w:jc w:val="center"/>
              <w:rPr>
                <w:rFonts w:ascii="Arial" w:hAnsi="Arial" w:cs="Arial"/>
                <w:sz w:val="20"/>
                <w:szCs w:val="20"/>
              </w:rPr>
            </w:pPr>
          </w:p>
        </w:tc>
        <w:tc>
          <w:tcPr>
            <w:tcW w:w="1417" w:type="dxa"/>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1,578</w:t>
            </w:r>
          </w:p>
        </w:tc>
        <w:tc>
          <w:tcPr>
            <w:tcW w:w="1276" w:type="dxa"/>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1,428</w:t>
            </w:r>
          </w:p>
        </w:tc>
        <w:tc>
          <w:tcPr>
            <w:tcW w:w="1134" w:type="dxa"/>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150</w:t>
            </w:r>
          </w:p>
        </w:tc>
      </w:tr>
      <w:tr w:rsidR="00E1735A" w:rsidRPr="00DE475B" w:rsidTr="00CE5403">
        <w:trPr>
          <w:trHeight w:val="284"/>
        </w:trPr>
        <w:tc>
          <w:tcPr>
            <w:tcW w:w="3969" w:type="dxa"/>
            <w:shd w:val="clear" w:color="auto" w:fill="auto"/>
            <w:vAlign w:val="bottom"/>
          </w:tcPr>
          <w:p w:rsidR="00E1735A" w:rsidRPr="00DE475B" w:rsidRDefault="00E1735A" w:rsidP="000557E9">
            <w:pPr>
              <w:rPr>
                <w:rFonts w:ascii="Arial" w:hAnsi="Arial" w:cs="Arial"/>
                <w:sz w:val="20"/>
                <w:szCs w:val="20"/>
              </w:rPr>
            </w:pPr>
            <w:r w:rsidRPr="00DE475B">
              <w:rPr>
                <w:rFonts w:ascii="Arial" w:hAnsi="Arial" w:cs="Arial"/>
                <w:sz w:val="20"/>
                <w:szCs w:val="20"/>
              </w:rPr>
              <w:t>Accrued employee benefits</w:t>
            </w:r>
          </w:p>
        </w:tc>
        <w:tc>
          <w:tcPr>
            <w:tcW w:w="993" w:type="dxa"/>
            <w:shd w:val="clear" w:color="auto" w:fill="auto"/>
            <w:vAlign w:val="bottom"/>
          </w:tcPr>
          <w:p w:rsidR="00E1735A" w:rsidRPr="00DE475B" w:rsidRDefault="00E1735A" w:rsidP="000557E9">
            <w:pPr>
              <w:jc w:val="center"/>
              <w:rPr>
                <w:rFonts w:ascii="Arial" w:hAnsi="Arial" w:cs="Arial"/>
                <w:sz w:val="20"/>
                <w:szCs w:val="20"/>
              </w:rPr>
            </w:pPr>
          </w:p>
        </w:tc>
        <w:tc>
          <w:tcPr>
            <w:tcW w:w="1417" w:type="dxa"/>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2,746</w:t>
            </w:r>
          </w:p>
        </w:tc>
        <w:tc>
          <w:tcPr>
            <w:tcW w:w="1276" w:type="dxa"/>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2,516</w:t>
            </w:r>
          </w:p>
        </w:tc>
        <w:tc>
          <w:tcPr>
            <w:tcW w:w="1134" w:type="dxa"/>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230</w:t>
            </w:r>
          </w:p>
        </w:tc>
      </w:tr>
      <w:tr w:rsidR="00E1735A" w:rsidRPr="00DE475B" w:rsidTr="00CE5403">
        <w:trPr>
          <w:trHeight w:val="284"/>
        </w:trPr>
        <w:tc>
          <w:tcPr>
            <w:tcW w:w="3969" w:type="dxa"/>
            <w:shd w:val="clear" w:color="auto" w:fill="auto"/>
            <w:vAlign w:val="bottom"/>
          </w:tcPr>
          <w:p w:rsidR="00E1735A" w:rsidRPr="00DE475B" w:rsidRDefault="00CE5403" w:rsidP="000557E9">
            <w:pPr>
              <w:rPr>
                <w:rFonts w:ascii="Arial" w:hAnsi="Arial" w:cs="Arial"/>
                <w:sz w:val="20"/>
                <w:szCs w:val="20"/>
              </w:rPr>
            </w:pPr>
            <w:r>
              <w:rPr>
                <w:rFonts w:ascii="Arial" w:hAnsi="Arial" w:cs="Arial"/>
                <w:sz w:val="20"/>
                <w:szCs w:val="20"/>
              </w:rPr>
              <w:t>Unearned revenue</w:t>
            </w:r>
          </w:p>
        </w:tc>
        <w:tc>
          <w:tcPr>
            <w:tcW w:w="993" w:type="dxa"/>
            <w:shd w:val="clear" w:color="auto" w:fill="auto"/>
            <w:vAlign w:val="bottom"/>
          </w:tcPr>
          <w:p w:rsidR="00E1735A" w:rsidRPr="00DE475B" w:rsidRDefault="00E1735A" w:rsidP="000557E9">
            <w:pPr>
              <w:jc w:val="center"/>
              <w:rPr>
                <w:rFonts w:ascii="Arial" w:hAnsi="Arial" w:cs="Arial"/>
                <w:sz w:val="20"/>
                <w:szCs w:val="20"/>
              </w:rPr>
            </w:pPr>
          </w:p>
        </w:tc>
        <w:tc>
          <w:tcPr>
            <w:tcW w:w="1417" w:type="dxa"/>
            <w:tcBorders>
              <w:bottom w:val="single" w:sz="8" w:space="0" w:color="000000"/>
            </w:tcBorders>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153</w:t>
            </w:r>
          </w:p>
        </w:tc>
        <w:tc>
          <w:tcPr>
            <w:tcW w:w="1276" w:type="dxa"/>
            <w:tcBorders>
              <w:bottom w:val="single" w:sz="8" w:space="0" w:color="000000"/>
            </w:tcBorders>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195</w:t>
            </w:r>
          </w:p>
        </w:tc>
        <w:tc>
          <w:tcPr>
            <w:tcW w:w="1134" w:type="dxa"/>
            <w:tcBorders>
              <w:bottom w:val="single" w:sz="8" w:space="0" w:color="000000"/>
            </w:tcBorders>
            <w:shd w:val="clear" w:color="auto" w:fill="auto"/>
            <w:vAlign w:val="bottom"/>
          </w:tcPr>
          <w:p w:rsidR="00E1735A" w:rsidRPr="00DE475B" w:rsidRDefault="00252AB4" w:rsidP="000557E9">
            <w:pPr>
              <w:jc w:val="right"/>
              <w:rPr>
                <w:rFonts w:ascii="Arial" w:hAnsi="Arial" w:cs="Arial"/>
                <w:sz w:val="20"/>
                <w:szCs w:val="20"/>
              </w:rPr>
            </w:pPr>
            <w:r>
              <w:rPr>
                <w:rFonts w:ascii="Arial" w:hAnsi="Arial" w:cs="Arial"/>
                <w:sz w:val="20"/>
                <w:szCs w:val="20"/>
              </w:rPr>
              <w:t>(42)</w:t>
            </w:r>
          </w:p>
        </w:tc>
      </w:tr>
      <w:tr w:rsidR="00E1735A" w:rsidRPr="00DE475B" w:rsidTr="00CE5403">
        <w:trPr>
          <w:trHeight w:val="284"/>
        </w:trPr>
        <w:tc>
          <w:tcPr>
            <w:tcW w:w="3969" w:type="dxa"/>
            <w:shd w:val="clear" w:color="auto" w:fill="auto"/>
            <w:vAlign w:val="bottom"/>
          </w:tcPr>
          <w:p w:rsidR="00E1735A" w:rsidRPr="00DE475B" w:rsidRDefault="00E1735A" w:rsidP="000557E9">
            <w:pPr>
              <w:snapToGrid w:val="0"/>
              <w:rPr>
                <w:rFonts w:ascii="Arial" w:hAnsi="Arial" w:cs="Arial"/>
                <w:b/>
                <w:bCs/>
                <w:sz w:val="20"/>
                <w:szCs w:val="20"/>
              </w:rPr>
            </w:pPr>
            <w:r w:rsidRPr="00DE475B">
              <w:rPr>
                <w:rFonts w:ascii="Arial" w:hAnsi="Arial" w:cs="Arial"/>
                <w:b/>
                <w:sz w:val="20"/>
                <w:szCs w:val="20"/>
              </w:rPr>
              <w:t>Total Current Liabilities</w:t>
            </w:r>
          </w:p>
        </w:tc>
        <w:tc>
          <w:tcPr>
            <w:tcW w:w="993" w:type="dxa"/>
            <w:shd w:val="clear" w:color="auto" w:fill="auto"/>
            <w:vAlign w:val="bottom"/>
          </w:tcPr>
          <w:p w:rsidR="00E1735A" w:rsidRPr="00DE475B" w:rsidRDefault="00E1735A" w:rsidP="000557E9">
            <w:pPr>
              <w:snapToGrid w:val="0"/>
              <w:jc w:val="center"/>
              <w:rPr>
                <w:rFonts w:ascii="Arial" w:hAnsi="Arial" w:cs="Arial"/>
                <w:b/>
                <w:bCs/>
                <w:sz w:val="20"/>
                <w:szCs w:val="20"/>
              </w:rPr>
            </w:pPr>
          </w:p>
        </w:tc>
        <w:tc>
          <w:tcPr>
            <w:tcW w:w="1417" w:type="dxa"/>
            <w:tcBorders>
              <w:top w:val="single" w:sz="8" w:space="0" w:color="000000"/>
              <w:bottom w:val="single" w:sz="8" w:space="0" w:color="000000"/>
            </w:tcBorders>
            <w:shd w:val="clear" w:color="auto" w:fill="auto"/>
            <w:vAlign w:val="bottom"/>
          </w:tcPr>
          <w:p w:rsidR="00E1735A" w:rsidRPr="00DE475B" w:rsidRDefault="00252AB4" w:rsidP="000557E9">
            <w:pPr>
              <w:jc w:val="right"/>
              <w:rPr>
                <w:rFonts w:ascii="Arial" w:hAnsi="Arial" w:cs="Arial"/>
                <w:b/>
                <w:bCs/>
                <w:sz w:val="20"/>
                <w:szCs w:val="20"/>
              </w:rPr>
            </w:pPr>
            <w:r>
              <w:rPr>
                <w:rFonts w:ascii="Arial" w:hAnsi="Arial" w:cs="Arial"/>
                <w:b/>
                <w:bCs/>
                <w:sz w:val="20"/>
                <w:szCs w:val="20"/>
              </w:rPr>
              <w:t>4,477</w:t>
            </w:r>
          </w:p>
        </w:tc>
        <w:tc>
          <w:tcPr>
            <w:tcW w:w="1276" w:type="dxa"/>
            <w:tcBorders>
              <w:top w:val="single" w:sz="8" w:space="0" w:color="000000"/>
              <w:bottom w:val="single" w:sz="8" w:space="0" w:color="000000"/>
            </w:tcBorders>
            <w:shd w:val="clear" w:color="auto" w:fill="auto"/>
            <w:vAlign w:val="bottom"/>
          </w:tcPr>
          <w:p w:rsidR="00E1735A" w:rsidRPr="00DE475B" w:rsidRDefault="00252AB4" w:rsidP="000557E9">
            <w:pPr>
              <w:jc w:val="right"/>
              <w:rPr>
                <w:rFonts w:ascii="Arial" w:hAnsi="Arial" w:cs="Arial"/>
                <w:b/>
                <w:bCs/>
                <w:sz w:val="20"/>
                <w:szCs w:val="20"/>
              </w:rPr>
            </w:pPr>
            <w:r>
              <w:rPr>
                <w:rFonts w:ascii="Arial" w:hAnsi="Arial" w:cs="Arial"/>
                <w:b/>
                <w:bCs/>
                <w:sz w:val="20"/>
                <w:szCs w:val="20"/>
              </w:rPr>
              <w:t>4,139</w:t>
            </w:r>
          </w:p>
        </w:tc>
        <w:tc>
          <w:tcPr>
            <w:tcW w:w="1134" w:type="dxa"/>
            <w:tcBorders>
              <w:top w:val="single" w:sz="8" w:space="0" w:color="000000"/>
              <w:bottom w:val="single" w:sz="8" w:space="0" w:color="000000"/>
            </w:tcBorders>
            <w:shd w:val="clear" w:color="auto" w:fill="auto"/>
            <w:vAlign w:val="bottom"/>
          </w:tcPr>
          <w:p w:rsidR="00E1735A" w:rsidRPr="00DE475B" w:rsidRDefault="00252AB4" w:rsidP="000557E9">
            <w:pPr>
              <w:jc w:val="right"/>
              <w:rPr>
                <w:rFonts w:ascii="Arial" w:hAnsi="Arial" w:cs="Arial"/>
                <w:b/>
                <w:bCs/>
                <w:sz w:val="20"/>
                <w:szCs w:val="20"/>
              </w:rPr>
            </w:pPr>
            <w:r>
              <w:rPr>
                <w:rFonts w:ascii="Arial" w:hAnsi="Arial" w:cs="Arial"/>
                <w:b/>
                <w:bCs/>
                <w:sz w:val="20"/>
                <w:szCs w:val="20"/>
              </w:rPr>
              <w:t>338</w:t>
            </w:r>
          </w:p>
        </w:tc>
      </w:tr>
      <w:tr w:rsidR="00E1735A" w:rsidRPr="00DE475B" w:rsidTr="00CE5403">
        <w:trPr>
          <w:trHeight w:val="107"/>
        </w:trPr>
        <w:tc>
          <w:tcPr>
            <w:tcW w:w="3969" w:type="dxa"/>
            <w:shd w:val="clear" w:color="auto" w:fill="auto"/>
            <w:vAlign w:val="bottom"/>
          </w:tcPr>
          <w:p w:rsidR="00E1735A" w:rsidRPr="00DE475B" w:rsidRDefault="00E1735A" w:rsidP="000557E9">
            <w:pPr>
              <w:snapToGrid w:val="0"/>
              <w:rPr>
                <w:rFonts w:ascii="Arial" w:hAnsi="Arial" w:cs="Arial"/>
                <w:bCs/>
                <w:i/>
                <w:sz w:val="18"/>
                <w:szCs w:val="18"/>
              </w:rPr>
            </w:pPr>
          </w:p>
        </w:tc>
        <w:tc>
          <w:tcPr>
            <w:tcW w:w="993" w:type="dxa"/>
            <w:shd w:val="clear" w:color="auto" w:fill="auto"/>
            <w:vAlign w:val="bottom"/>
          </w:tcPr>
          <w:p w:rsidR="00E1735A" w:rsidRPr="00DE475B" w:rsidRDefault="00E1735A" w:rsidP="000557E9">
            <w:pPr>
              <w:snapToGrid w:val="0"/>
              <w:jc w:val="center"/>
              <w:rPr>
                <w:rFonts w:ascii="Arial" w:hAnsi="Arial" w:cs="Arial"/>
                <w:b/>
                <w:bCs/>
                <w:sz w:val="20"/>
                <w:szCs w:val="20"/>
              </w:rPr>
            </w:pPr>
          </w:p>
        </w:tc>
        <w:tc>
          <w:tcPr>
            <w:tcW w:w="1417" w:type="dxa"/>
            <w:tcBorders>
              <w:top w:val="single" w:sz="8" w:space="0" w:color="000000"/>
            </w:tcBorders>
            <w:shd w:val="clear" w:color="auto" w:fill="auto"/>
            <w:vAlign w:val="bottom"/>
          </w:tcPr>
          <w:p w:rsidR="00E1735A" w:rsidRPr="00DE475B" w:rsidRDefault="00E1735A" w:rsidP="000557E9">
            <w:pPr>
              <w:jc w:val="right"/>
              <w:rPr>
                <w:rFonts w:ascii="Arial" w:hAnsi="Arial" w:cs="Arial"/>
                <w:b/>
                <w:bCs/>
                <w:sz w:val="20"/>
                <w:szCs w:val="20"/>
              </w:rPr>
            </w:pPr>
          </w:p>
        </w:tc>
        <w:tc>
          <w:tcPr>
            <w:tcW w:w="1276" w:type="dxa"/>
            <w:tcBorders>
              <w:top w:val="single" w:sz="8" w:space="0" w:color="000000"/>
            </w:tcBorders>
            <w:shd w:val="clear" w:color="auto" w:fill="auto"/>
            <w:vAlign w:val="bottom"/>
          </w:tcPr>
          <w:p w:rsidR="00E1735A" w:rsidRPr="00DE475B" w:rsidRDefault="00E1735A" w:rsidP="000557E9">
            <w:pPr>
              <w:jc w:val="right"/>
              <w:rPr>
                <w:rFonts w:ascii="Arial" w:hAnsi="Arial" w:cs="Arial"/>
                <w:b/>
                <w:bCs/>
                <w:sz w:val="20"/>
                <w:szCs w:val="20"/>
              </w:rPr>
            </w:pPr>
          </w:p>
        </w:tc>
        <w:tc>
          <w:tcPr>
            <w:tcW w:w="1134" w:type="dxa"/>
            <w:tcBorders>
              <w:top w:val="single" w:sz="8" w:space="0" w:color="000000"/>
            </w:tcBorders>
            <w:shd w:val="clear" w:color="auto" w:fill="auto"/>
            <w:vAlign w:val="bottom"/>
          </w:tcPr>
          <w:p w:rsidR="00E1735A" w:rsidRPr="00DE475B" w:rsidRDefault="00E1735A" w:rsidP="000557E9">
            <w:pPr>
              <w:jc w:val="right"/>
              <w:rPr>
                <w:rFonts w:ascii="Arial" w:hAnsi="Arial" w:cs="Arial"/>
                <w:b/>
                <w:bCs/>
                <w:sz w:val="20"/>
                <w:szCs w:val="20"/>
              </w:rPr>
            </w:pPr>
          </w:p>
        </w:tc>
      </w:tr>
      <w:tr w:rsidR="00E1735A" w:rsidRPr="00DE475B" w:rsidTr="00CE5403">
        <w:trPr>
          <w:trHeight w:val="284"/>
        </w:trPr>
        <w:tc>
          <w:tcPr>
            <w:tcW w:w="3969" w:type="dxa"/>
            <w:shd w:val="clear" w:color="auto" w:fill="auto"/>
            <w:vAlign w:val="bottom"/>
          </w:tcPr>
          <w:p w:rsidR="00E1735A" w:rsidRPr="00DE475B" w:rsidRDefault="00E1735A" w:rsidP="00CE5403">
            <w:pPr>
              <w:snapToGrid w:val="0"/>
              <w:rPr>
                <w:rFonts w:ascii="Arial" w:hAnsi="Arial" w:cs="Arial"/>
                <w:b/>
                <w:sz w:val="20"/>
                <w:szCs w:val="20"/>
              </w:rPr>
            </w:pPr>
            <w:r w:rsidRPr="00DE475B">
              <w:rPr>
                <w:rFonts w:ascii="Arial" w:hAnsi="Arial" w:cs="Arial"/>
                <w:b/>
                <w:sz w:val="20"/>
                <w:szCs w:val="20"/>
              </w:rPr>
              <w:t>Total Liabilities</w:t>
            </w:r>
          </w:p>
        </w:tc>
        <w:tc>
          <w:tcPr>
            <w:tcW w:w="993" w:type="dxa"/>
            <w:shd w:val="clear" w:color="auto" w:fill="auto"/>
            <w:vAlign w:val="bottom"/>
          </w:tcPr>
          <w:p w:rsidR="00E1735A" w:rsidRPr="00DE475B" w:rsidRDefault="00E1735A" w:rsidP="000557E9">
            <w:pPr>
              <w:snapToGrid w:val="0"/>
              <w:jc w:val="center"/>
              <w:rPr>
                <w:rFonts w:ascii="Arial" w:hAnsi="Arial" w:cs="Arial"/>
                <w:b/>
                <w:bCs/>
                <w:sz w:val="20"/>
                <w:szCs w:val="20"/>
              </w:rPr>
            </w:pPr>
          </w:p>
        </w:tc>
        <w:tc>
          <w:tcPr>
            <w:tcW w:w="1417" w:type="dxa"/>
            <w:tcBorders>
              <w:top w:val="single" w:sz="8" w:space="0" w:color="000000"/>
              <w:bottom w:val="single" w:sz="8" w:space="0" w:color="000000"/>
            </w:tcBorders>
            <w:shd w:val="clear" w:color="auto" w:fill="auto"/>
            <w:vAlign w:val="bottom"/>
          </w:tcPr>
          <w:p w:rsidR="00E1735A" w:rsidRPr="00DE475B" w:rsidRDefault="00252AB4" w:rsidP="000557E9">
            <w:pPr>
              <w:jc w:val="right"/>
              <w:rPr>
                <w:rFonts w:ascii="Arial" w:hAnsi="Arial" w:cs="Arial"/>
                <w:b/>
                <w:bCs/>
                <w:sz w:val="20"/>
                <w:szCs w:val="20"/>
              </w:rPr>
            </w:pPr>
            <w:r>
              <w:rPr>
                <w:rFonts w:ascii="Arial" w:hAnsi="Arial" w:cs="Arial"/>
                <w:b/>
                <w:bCs/>
                <w:sz w:val="20"/>
                <w:szCs w:val="20"/>
              </w:rPr>
              <w:t>4,477</w:t>
            </w:r>
          </w:p>
        </w:tc>
        <w:tc>
          <w:tcPr>
            <w:tcW w:w="1276" w:type="dxa"/>
            <w:tcBorders>
              <w:top w:val="single" w:sz="8" w:space="0" w:color="000000"/>
              <w:bottom w:val="single" w:sz="8" w:space="0" w:color="000000"/>
            </w:tcBorders>
            <w:shd w:val="clear" w:color="auto" w:fill="auto"/>
            <w:vAlign w:val="bottom"/>
          </w:tcPr>
          <w:p w:rsidR="00E1735A" w:rsidRPr="00DE475B" w:rsidRDefault="00252AB4" w:rsidP="000557E9">
            <w:pPr>
              <w:jc w:val="right"/>
              <w:rPr>
                <w:rFonts w:ascii="Arial" w:hAnsi="Arial" w:cs="Arial"/>
                <w:b/>
                <w:bCs/>
                <w:sz w:val="20"/>
                <w:szCs w:val="20"/>
              </w:rPr>
            </w:pPr>
            <w:r>
              <w:rPr>
                <w:rFonts w:ascii="Arial" w:hAnsi="Arial" w:cs="Arial"/>
                <w:b/>
                <w:bCs/>
                <w:sz w:val="20"/>
                <w:szCs w:val="20"/>
              </w:rPr>
              <w:t>4,139</w:t>
            </w:r>
          </w:p>
        </w:tc>
        <w:tc>
          <w:tcPr>
            <w:tcW w:w="1134" w:type="dxa"/>
            <w:tcBorders>
              <w:top w:val="single" w:sz="8" w:space="0" w:color="000000"/>
              <w:bottom w:val="single" w:sz="8" w:space="0" w:color="000000"/>
            </w:tcBorders>
            <w:shd w:val="clear" w:color="auto" w:fill="auto"/>
            <w:vAlign w:val="bottom"/>
          </w:tcPr>
          <w:p w:rsidR="00E1735A" w:rsidRPr="00DE475B" w:rsidRDefault="00252AB4" w:rsidP="000557E9">
            <w:pPr>
              <w:jc w:val="right"/>
              <w:rPr>
                <w:rFonts w:ascii="Arial" w:hAnsi="Arial" w:cs="Arial"/>
                <w:b/>
                <w:bCs/>
                <w:sz w:val="20"/>
                <w:szCs w:val="20"/>
              </w:rPr>
            </w:pPr>
            <w:r>
              <w:rPr>
                <w:rFonts w:ascii="Arial" w:hAnsi="Arial" w:cs="Arial"/>
                <w:b/>
                <w:bCs/>
                <w:sz w:val="20"/>
                <w:szCs w:val="20"/>
              </w:rPr>
              <w:t>338</w:t>
            </w:r>
          </w:p>
        </w:tc>
      </w:tr>
      <w:tr w:rsidR="00E1735A" w:rsidRPr="00DE475B" w:rsidTr="00CE5403">
        <w:trPr>
          <w:trHeight w:val="125"/>
        </w:trPr>
        <w:tc>
          <w:tcPr>
            <w:tcW w:w="3969" w:type="dxa"/>
            <w:shd w:val="clear" w:color="auto" w:fill="auto"/>
            <w:vAlign w:val="bottom"/>
          </w:tcPr>
          <w:p w:rsidR="00E1735A" w:rsidRPr="00DE475B" w:rsidRDefault="00E1735A" w:rsidP="000557E9">
            <w:pPr>
              <w:snapToGrid w:val="0"/>
              <w:rPr>
                <w:rFonts w:ascii="Arial" w:hAnsi="Arial" w:cs="Arial"/>
                <w:b/>
                <w:sz w:val="12"/>
                <w:szCs w:val="12"/>
              </w:rPr>
            </w:pPr>
          </w:p>
        </w:tc>
        <w:tc>
          <w:tcPr>
            <w:tcW w:w="993" w:type="dxa"/>
            <w:shd w:val="clear" w:color="auto" w:fill="auto"/>
            <w:vAlign w:val="bottom"/>
          </w:tcPr>
          <w:p w:rsidR="00E1735A" w:rsidRPr="00DE475B" w:rsidRDefault="00E1735A" w:rsidP="000557E9">
            <w:pPr>
              <w:snapToGrid w:val="0"/>
              <w:jc w:val="center"/>
              <w:rPr>
                <w:rFonts w:ascii="Arial" w:hAnsi="Arial" w:cs="Arial"/>
                <w:b/>
                <w:bCs/>
                <w:sz w:val="12"/>
                <w:szCs w:val="12"/>
              </w:rPr>
            </w:pPr>
          </w:p>
        </w:tc>
        <w:tc>
          <w:tcPr>
            <w:tcW w:w="1417" w:type="dxa"/>
            <w:tcBorders>
              <w:top w:val="single" w:sz="8" w:space="0" w:color="000000"/>
              <w:bottom w:val="single" w:sz="8" w:space="0" w:color="000000"/>
            </w:tcBorders>
            <w:shd w:val="clear" w:color="auto" w:fill="auto"/>
            <w:vAlign w:val="bottom"/>
          </w:tcPr>
          <w:p w:rsidR="00E1735A" w:rsidRPr="00DE475B" w:rsidRDefault="00E1735A" w:rsidP="000557E9">
            <w:pPr>
              <w:jc w:val="right"/>
              <w:rPr>
                <w:rFonts w:ascii="Arial" w:hAnsi="Arial" w:cs="Arial"/>
                <w:b/>
                <w:bCs/>
                <w:sz w:val="12"/>
                <w:szCs w:val="12"/>
              </w:rPr>
            </w:pPr>
          </w:p>
        </w:tc>
        <w:tc>
          <w:tcPr>
            <w:tcW w:w="1276" w:type="dxa"/>
            <w:tcBorders>
              <w:top w:val="single" w:sz="8" w:space="0" w:color="000000"/>
              <w:bottom w:val="single" w:sz="8" w:space="0" w:color="000000"/>
            </w:tcBorders>
            <w:shd w:val="clear" w:color="auto" w:fill="auto"/>
            <w:vAlign w:val="bottom"/>
          </w:tcPr>
          <w:p w:rsidR="00E1735A" w:rsidRPr="00DE475B" w:rsidRDefault="00E1735A" w:rsidP="000557E9">
            <w:pPr>
              <w:jc w:val="right"/>
              <w:rPr>
                <w:rFonts w:ascii="Arial" w:hAnsi="Arial" w:cs="Arial"/>
                <w:b/>
                <w:bCs/>
                <w:sz w:val="12"/>
                <w:szCs w:val="12"/>
              </w:rPr>
            </w:pPr>
          </w:p>
        </w:tc>
        <w:tc>
          <w:tcPr>
            <w:tcW w:w="1134" w:type="dxa"/>
            <w:tcBorders>
              <w:top w:val="single" w:sz="8" w:space="0" w:color="000000"/>
              <w:bottom w:val="single" w:sz="8" w:space="0" w:color="000000"/>
            </w:tcBorders>
            <w:shd w:val="clear" w:color="auto" w:fill="auto"/>
            <w:vAlign w:val="bottom"/>
          </w:tcPr>
          <w:p w:rsidR="00E1735A" w:rsidRPr="00DE475B" w:rsidRDefault="00E1735A" w:rsidP="000557E9">
            <w:pPr>
              <w:jc w:val="right"/>
              <w:rPr>
                <w:rFonts w:ascii="Arial" w:hAnsi="Arial" w:cs="Arial"/>
                <w:b/>
                <w:bCs/>
                <w:sz w:val="12"/>
                <w:szCs w:val="12"/>
              </w:rPr>
            </w:pPr>
          </w:p>
        </w:tc>
      </w:tr>
      <w:tr w:rsidR="00E1735A" w:rsidRPr="00DE475B" w:rsidTr="00CE5403">
        <w:trPr>
          <w:trHeight w:val="284"/>
        </w:trPr>
        <w:tc>
          <w:tcPr>
            <w:tcW w:w="3969" w:type="dxa"/>
            <w:shd w:val="clear" w:color="auto" w:fill="auto"/>
            <w:vAlign w:val="bottom"/>
          </w:tcPr>
          <w:p w:rsidR="00E1735A" w:rsidRPr="00DE475B" w:rsidRDefault="00E1735A" w:rsidP="000557E9">
            <w:pPr>
              <w:snapToGrid w:val="0"/>
              <w:rPr>
                <w:rFonts w:ascii="Arial" w:hAnsi="Arial" w:cs="Arial"/>
                <w:b/>
                <w:bCs/>
                <w:sz w:val="20"/>
                <w:szCs w:val="20"/>
              </w:rPr>
            </w:pPr>
            <w:r w:rsidRPr="00DE475B">
              <w:rPr>
                <w:rFonts w:ascii="Arial" w:hAnsi="Arial" w:cs="Arial"/>
                <w:b/>
                <w:bCs/>
                <w:sz w:val="20"/>
                <w:szCs w:val="20"/>
              </w:rPr>
              <w:t>Net Assets</w:t>
            </w:r>
          </w:p>
        </w:tc>
        <w:tc>
          <w:tcPr>
            <w:tcW w:w="993" w:type="dxa"/>
            <w:shd w:val="clear" w:color="auto" w:fill="auto"/>
            <w:vAlign w:val="bottom"/>
          </w:tcPr>
          <w:p w:rsidR="00E1735A" w:rsidRPr="00DE475B" w:rsidRDefault="00E1735A" w:rsidP="000557E9">
            <w:pPr>
              <w:jc w:val="center"/>
              <w:rPr>
                <w:rFonts w:ascii="Arial" w:hAnsi="Arial" w:cs="Arial"/>
                <w:sz w:val="20"/>
                <w:szCs w:val="20"/>
              </w:rPr>
            </w:pPr>
          </w:p>
        </w:tc>
        <w:tc>
          <w:tcPr>
            <w:tcW w:w="1417" w:type="dxa"/>
            <w:tcBorders>
              <w:top w:val="single" w:sz="8" w:space="0" w:color="000000"/>
              <w:bottom w:val="single" w:sz="12" w:space="0" w:color="000000"/>
            </w:tcBorders>
            <w:shd w:val="clear" w:color="auto" w:fill="auto"/>
            <w:vAlign w:val="bottom"/>
          </w:tcPr>
          <w:p w:rsidR="00E1735A" w:rsidRPr="00DE475B" w:rsidRDefault="00252AB4" w:rsidP="000557E9">
            <w:pPr>
              <w:jc w:val="right"/>
              <w:rPr>
                <w:rFonts w:ascii="Arial" w:hAnsi="Arial" w:cs="Arial"/>
                <w:b/>
                <w:bCs/>
                <w:sz w:val="20"/>
                <w:szCs w:val="20"/>
              </w:rPr>
            </w:pPr>
            <w:r>
              <w:rPr>
                <w:rFonts w:ascii="Arial" w:hAnsi="Arial" w:cs="Arial"/>
                <w:b/>
                <w:bCs/>
                <w:sz w:val="20"/>
                <w:szCs w:val="20"/>
              </w:rPr>
              <w:t>148,362</w:t>
            </w:r>
          </w:p>
        </w:tc>
        <w:tc>
          <w:tcPr>
            <w:tcW w:w="1276" w:type="dxa"/>
            <w:tcBorders>
              <w:top w:val="single" w:sz="8" w:space="0" w:color="000000"/>
              <w:bottom w:val="single" w:sz="12" w:space="0" w:color="000000"/>
            </w:tcBorders>
            <w:shd w:val="clear" w:color="auto" w:fill="auto"/>
            <w:vAlign w:val="bottom"/>
          </w:tcPr>
          <w:p w:rsidR="00E1735A" w:rsidRPr="00DE475B" w:rsidRDefault="00252AB4" w:rsidP="00E82584">
            <w:pPr>
              <w:jc w:val="right"/>
              <w:rPr>
                <w:rFonts w:ascii="Arial" w:hAnsi="Arial" w:cs="Arial"/>
                <w:b/>
                <w:bCs/>
                <w:sz w:val="20"/>
                <w:szCs w:val="20"/>
              </w:rPr>
            </w:pPr>
            <w:r>
              <w:rPr>
                <w:rFonts w:ascii="Arial" w:hAnsi="Arial" w:cs="Arial"/>
                <w:b/>
                <w:bCs/>
                <w:sz w:val="20"/>
                <w:szCs w:val="20"/>
              </w:rPr>
              <w:t>128,969</w:t>
            </w:r>
          </w:p>
        </w:tc>
        <w:tc>
          <w:tcPr>
            <w:tcW w:w="1134" w:type="dxa"/>
            <w:tcBorders>
              <w:top w:val="single" w:sz="8" w:space="0" w:color="000000"/>
              <w:bottom w:val="single" w:sz="12" w:space="0" w:color="000000"/>
            </w:tcBorders>
            <w:shd w:val="clear" w:color="auto" w:fill="auto"/>
            <w:vAlign w:val="bottom"/>
          </w:tcPr>
          <w:p w:rsidR="00E1735A" w:rsidRPr="00DE475B" w:rsidRDefault="00252AB4" w:rsidP="000557E9">
            <w:pPr>
              <w:jc w:val="right"/>
              <w:rPr>
                <w:rFonts w:ascii="Arial" w:hAnsi="Arial" w:cs="Arial"/>
                <w:b/>
                <w:bCs/>
                <w:sz w:val="20"/>
                <w:szCs w:val="20"/>
              </w:rPr>
            </w:pPr>
            <w:r>
              <w:rPr>
                <w:rFonts w:ascii="Arial" w:hAnsi="Arial" w:cs="Arial"/>
                <w:b/>
                <w:bCs/>
                <w:sz w:val="20"/>
                <w:szCs w:val="20"/>
              </w:rPr>
              <w:t>19,393</w:t>
            </w:r>
          </w:p>
        </w:tc>
      </w:tr>
    </w:tbl>
    <w:p w:rsidR="00000C76" w:rsidRPr="00DE475B" w:rsidRDefault="00000C76" w:rsidP="00652F6C">
      <w:pPr>
        <w:tabs>
          <w:tab w:val="left" w:pos="284"/>
          <w:tab w:val="left" w:pos="5878"/>
          <w:tab w:val="left" w:pos="8548"/>
          <w:tab w:val="left" w:pos="8770"/>
          <w:tab w:val="left" w:pos="10266"/>
          <w:tab w:val="left" w:pos="11702"/>
        </w:tabs>
        <w:spacing w:before="240"/>
        <w:rPr>
          <w:rFonts w:ascii="Arial" w:hAnsi="Arial" w:cs="Arial"/>
          <w:b/>
          <w:bCs/>
          <w:sz w:val="20"/>
          <w:szCs w:val="20"/>
        </w:rPr>
      </w:pPr>
      <w:r w:rsidRPr="00DE475B">
        <w:rPr>
          <w:rFonts w:ascii="Arial" w:hAnsi="Arial" w:cs="Arial"/>
          <w:b/>
          <w:bCs/>
          <w:sz w:val="20"/>
          <w:szCs w:val="20"/>
        </w:rPr>
        <w:t>E</w:t>
      </w:r>
      <w:r w:rsidR="00E1735A">
        <w:rPr>
          <w:rFonts w:ascii="Arial" w:hAnsi="Arial" w:cs="Arial"/>
          <w:b/>
          <w:bCs/>
          <w:sz w:val="20"/>
          <w:szCs w:val="20"/>
        </w:rPr>
        <w:t>1</w:t>
      </w:r>
      <w:r w:rsidRPr="00DE475B">
        <w:rPr>
          <w:rFonts w:ascii="Arial" w:hAnsi="Arial" w:cs="Arial"/>
          <w:b/>
          <w:bCs/>
          <w:sz w:val="20"/>
          <w:szCs w:val="20"/>
        </w:rPr>
        <w:t>-</w:t>
      </w:r>
      <w:r w:rsidR="00E1735A">
        <w:rPr>
          <w:rFonts w:ascii="Arial" w:hAnsi="Arial" w:cs="Arial"/>
          <w:b/>
          <w:bCs/>
          <w:sz w:val="20"/>
          <w:szCs w:val="20"/>
        </w:rPr>
        <w:t>4</w:t>
      </w:r>
      <w:r w:rsidRPr="00DE475B">
        <w:rPr>
          <w:rFonts w:ascii="Arial" w:hAnsi="Arial" w:cs="Arial"/>
          <w:b/>
          <w:bCs/>
          <w:sz w:val="20"/>
          <w:szCs w:val="20"/>
        </w:rPr>
        <w:t xml:space="preserve">   Explanation of Major Variances — Statement of financial position</w:t>
      </w:r>
    </w:p>
    <w:p w:rsidR="00CE5403" w:rsidRPr="00CE5403" w:rsidRDefault="00CE5403" w:rsidP="00CE5403">
      <w:pPr>
        <w:rPr>
          <w:rFonts w:ascii="Arial" w:hAnsi="Arial" w:cs="Arial"/>
          <w:i/>
          <w:iCs/>
          <w:sz w:val="20"/>
          <w:szCs w:val="20"/>
        </w:rPr>
      </w:pPr>
      <w:r w:rsidRPr="00CE5403">
        <w:rPr>
          <w:rFonts w:ascii="Arial" w:hAnsi="Arial" w:cs="Arial"/>
          <w:i/>
          <w:iCs/>
          <w:sz w:val="20"/>
          <w:szCs w:val="20"/>
        </w:rPr>
        <w:t>Cash and cash equivalents</w:t>
      </w:r>
    </w:p>
    <w:p w:rsidR="00CE5403" w:rsidRDefault="00CE5403" w:rsidP="00CE5403">
      <w:pPr>
        <w:tabs>
          <w:tab w:val="left" w:pos="284"/>
          <w:tab w:val="left" w:pos="5878"/>
          <w:tab w:val="left" w:pos="8548"/>
          <w:tab w:val="left" w:pos="8770"/>
          <w:tab w:val="left" w:pos="10266"/>
          <w:tab w:val="left" w:pos="11702"/>
        </w:tabs>
        <w:spacing w:after="120"/>
        <w:rPr>
          <w:rFonts w:ascii="Arial" w:hAnsi="Arial" w:cs="Arial"/>
          <w:bCs/>
          <w:sz w:val="20"/>
          <w:szCs w:val="20"/>
        </w:rPr>
      </w:pPr>
      <w:r w:rsidRPr="00CE5403">
        <w:rPr>
          <w:rFonts w:ascii="Arial" w:hAnsi="Arial" w:cs="Arial"/>
          <w:bCs/>
          <w:sz w:val="20"/>
          <w:szCs w:val="20"/>
        </w:rPr>
        <w:t xml:space="preserve">The variance between the cash budget and the actual is due to the unplanned surplus of $3.2M, partly due to grant payments received in advance. In addition purchases of plant and equipment were delayed, resulting in higher cash. </w:t>
      </w:r>
    </w:p>
    <w:p w:rsidR="00CE5403" w:rsidRPr="00CE5403" w:rsidRDefault="00CE5403" w:rsidP="00CE5403">
      <w:pPr>
        <w:rPr>
          <w:rFonts w:ascii="Arial" w:hAnsi="Arial" w:cs="Arial"/>
          <w:i/>
          <w:iCs/>
          <w:sz w:val="20"/>
          <w:szCs w:val="20"/>
        </w:rPr>
      </w:pPr>
      <w:r w:rsidRPr="00CE5403">
        <w:rPr>
          <w:rFonts w:ascii="Arial" w:hAnsi="Arial" w:cs="Arial"/>
          <w:i/>
          <w:iCs/>
          <w:sz w:val="20"/>
          <w:szCs w:val="20"/>
        </w:rPr>
        <w:t>Intangible assets</w:t>
      </w:r>
    </w:p>
    <w:p w:rsidR="00CE5403" w:rsidRDefault="00CE5403" w:rsidP="00CE5403">
      <w:pPr>
        <w:tabs>
          <w:tab w:val="left" w:pos="284"/>
          <w:tab w:val="left" w:pos="5878"/>
          <w:tab w:val="left" w:pos="8548"/>
          <w:tab w:val="left" w:pos="8770"/>
          <w:tab w:val="left" w:pos="10266"/>
          <w:tab w:val="left" w:pos="11702"/>
        </w:tabs>
        <w:spacing w:after="120"/>
        <w:rPr>
          <w:rFonts w:ascii="Arial" w:hAnsi="Arial" w:cs="Arial"/>
          <w:bCs/>
          <w:sz w:val="20"/>
          <w:szCs w:val="20"/>
        </w:rPr>
      </w:pPr>
      <w:r w:rsidRPr="00CE5403">
        <w:rPr>
          <w:rFonts w:ascii="Arial" w:hAnsi="Arial" w:cs="Arial"/>
          <w:bCs/>
          <w:sz w:val="20"/>
          <w:szCs w:val="20"/>
        </w:rPr>
        <w:t xml:space="preserve">The increase in intangible </w:t>
      </w:r>
      <w:r>
        <w:rPr>
          <w:rFonts w:ascii="Arial" w:hAnsi="Arial" w:cs="Arial"/>
          <w:bCs/>
          <w:sz w:val="20"/>
          <w:szCs w:val="20"/>
        </w:rPr>
        <w:t xml:space="preserve">assets reflects </w:t>
      </w:r>
      <w:r w:rsidRPr="00CE5403">
        <w:rPr>
          <w:rFonts w:ascii="Arial" w:hAnsi="Arial" w:cs="Arial"/>
          <w:bCs/>
          <w:sz w:val="20"/>
          <w:szCs w:val="20"/>
        </w:rPr>
        <w:t>State Library's increased focus on both purchasing digital assets, such as digital stories and oral histories, and digitising the unique collections.</w:t>
      </w:r>
    </w:p>
    <w:p w:rsidR="00CE5403" w:rsidRPr="00CE5403" w:rsidRDefault="00CE5403" w:rsidP="00CE5403">
      <w:pPr>
        <w:rPr>
          <w:rFonts w:ascii="Arial" w:hAnsi="Arial" w:cs="Arial"/>
          <w:i/>
          <w:iCs/>
          <w:sz w:val="20"/>
          <w:szCs w:val="20"/>
        </w:rPr>
      </w:pPr>
      <w:r w:rsidRPr="00CE5403">
        <w:rPr>
          <w:rFonts w:ascii="Arial" w:hAnsi="Arial" w:cs="Arial"/>
          <w:i/>
          <w:iCs/>
          <w:sz w:val="20"/>
          <w:szCs w:val="20"/>
        </w:rPr>
        <w:t>Property, plant and equipment</w:t>
      </w:r>
    </w:p>
    <w:p w:rsidR="00502093" w:rsidRPr="00DE475B" w:rsidRDefault="00CE5403" w:rsidP="00000C76">
      <w:pPr>
        <w:tabs>
          <w:tab w:val="left" w:pos="284"/>
          <w:tab w:val="left" w:pos="5878"/>
          <w:tab w:val="left" w:pos="8548"/>
          <w:tab w:val="left" w:pos="8770"/>
          <w:tab w:val="left" w:pos="10266"/>
          <w:tab w:val="left" w:pos="11702"/>
        </w:tabs>
        <w:spacing w:after="120"/>
        <w:rPr>
          <w:rFonts w:ascii="Arial" w:hAnsi="Arial" w:cs="Arial"/>
          <w:bCs/>
          <w:sz w:val="20"/>
          <w:szCs w:val="20"/>
        </w:rPr>
      </w:pPr>
      <w:r w:rsidRPr="00CE5403">
        <w:rPr>
          <w:rFonts w:ascii="Arial" w:hAnsi="Arial" w:cs="Arial"/>
          <w:bCs/>
          <w:sz w:val="20"/>
          <w:szCs w:val="20"/>
        </w:rPr>
        <w:t>During 2016</w:t>
      </w:r>
      <w:r>
        <w:rPr>
          <w:rFonts w:ascii="Arial" w:hAnsi="Arial" w:cs="Arial"/>
          <w:bCs/>
          <w:sz w:val="20"/>
          <w:szCs w:val="20"/>
        </w:rPr>
        <w:t>–</w:t>
      </w:r>
      <w:r w:rsidRPr="00CE5403">
        <w:rPr>
          <w:rFonts w:ascii="Arial" w:hAnsi="Arial" w:cs="Arial"/>
          <w:bCs/>
          <w:sz w:val="20"/>
          <w:szCs w:val="20"/>
        </w:rPr>
        <w:t xml:space="preserve">17, an assessment of microfilm assets held within the </w:t>
      </w:r>
      <w:proofErr w:type="spellStart"/>
      <w:r w:rsidRPr="00CE5403">
        <w:rPr>
          <w:rFonts w:ascii="Arial" w:hAnsi="Arial" w:cs="Arial"/>
          <w:bCs/>
          <w:sz w:val="20"/>
          <w:szCs w:val="20"/>
        </w:rPr>
        <w:t>JOL</w:t>
      </w:r>
      <w:proofErr w:type="spellEnd"/>
      <w:r w:rsidRPr="00CE5403">
        <w:rPr>
          <w:rFonts w:ascii="Arial" w:hAnsi="Arial" w:cs="Arial"/>
          <w:bCs/>
          <w:sz w:val="20"/>
          <w:szCs w:val="20"/>
        </w:rPr>
        <w:t xml:space="preserve"> &amp; ALA collections currently valued 'per title' was found to not represent the fair value of these assets. An independent valuation of these assets based on the number of microfilm rolls held was completed which resulted in </w:t>
      </w:r>
      <w:r>
        <w:rPr>
          <w:rFonts w:ascii="Arial" w:hAnsi="Arial" w:cs="Arial"/>
          <w:bCs/>
          <w:sz w:val="20"/>
          <w:szCs w:val="20"/>
        </w:rPr>
        <w:t>an increase of $16.112M in 2016–</w:t>
      </w:r>
      <w:r w:rsidRPr="00CE5403">
        <w:rPr>
          <w:rFonts w:ascii="Arial" w:hAnsi="Arial" w:cs="Arial"/>
          <w:bCs/>
          <w:sz w:val="20"/>
          <w:szCs w:val="20"/>
        </w:rPr>
        <w:t>17.</w:t>
      </w:r>
    </w:p>
    <w:p w:rsidR="00D21753" w:rsidRPr="00DE475B" w:rsidRDefault="00502093" w:rsidP="00D21753">
      <w:pPr>
        <w:pStyle w:val="ARbodytext"/>
        <w:rPr>
          <w:b/>
          <w:bCs/>
        </w:rPr>
      </w:pPr>
      <w:r w:rsidRPr="00DE475B">
        <w:rPr>
          <w:bCs/>
        </w:rPr>
        <w:br w:type="page"/>
      </w:r>
      <w:r w:rsidR="00D21753" w:rsidRPr="00DE475B">
        <w:rPr>
          <w:b/>
          <w:bCs/>
          <w:i/>
          <w:iCs/>
        </w:rPr>
        <w:lastRenderedPageBreak/>
        <w:t>Library Board of Queensland and controlled entities</w:t>
      </w:r>
    </w:p>
    <w:p w:rsidR="00D21753" w:rsidRPr="00DE475B" w:rsidRDefault="00373FFE" w:rsidP="00D21753">
      <w:pPr>
        <w:rPr>
          <w:rFonts w:ascii="Arial" w:hAnsi="Arial" w:cs="Arial"/>
          <w:b/>
          <w:bCs/>
          <w:sz w:val="20"/>
          <w:szCs w:val="20"/>
        </w:rPr>
      </w:pPr>
      <w:r w:rsidRPr="00DE475B">
        <w:rPr>
          <w:noProof/>
          <w:lang w:eastAsia="en-AU"/>
        </w:rPr>
        <mc:AlternateContent>
          <mc:Choice Requires="wps">
            <w:drawing>
              <wp:anchor distT="0" distB="0" distL="114300" distR="114300" simplePos="0" relativeHeight="251672576" behindDoc="0" locked="0" layoutInCell="1" allowOverlap="1" wp14:anchorId="6B176E6F" wp14:editId="7CF47CF3">
                <wp:simplePos x="0" y="0"/>
                <wp:positionH relativeFrom="column">
                  <wp:posOffset>-66040</wp:posOffset>
                </wp:positionH>
                <wp:positionV relativeFrom="paragraph">
                  <wp:posOffset>-222250</wp:posOffset>
                </wp:positionV>
                <wp:extent cx="5573395" cy="0"/>
                <wp:effectExtent l="13970" t="9525" r="13335" b="9525"/>
                <wp:wrapNone/>
                <wp:docPr id="22"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b2mgIAAHoFAAAOAAAAZHJzL2Uyb0RvYy54bWysVE1v2zAMvQ/YfxB0d/2ZL6NO0TrOLt1W&#10;oB12VmQ5FiZLnqTGCYb+91FK4jXdZRiaAIYokdQj36Oub/adQDumDVeywPFVhBGTVNVcbgv87Wkd&#10;zDEylsiaCCVZgQ/M4Jvlxw/XQ5+zRLVK1EwjSCJNPvQFbq3t8zA0tGUdMVeqZxIOG6U7YsHU27DW&#10;ZIDsnQiTKJqGg9J1rxVlxsDu6niIlz5/0zBqvzaNYRaJAgM267/afzfuGy6vSb7VpG85PcEg/4Gi&#10;I1zCpWOqFbEEPWv+V6qOU62MauwVVV2omoZT5muAauLoTTWPLemZrwWaY/qxTeb90tIvuweNeF3g&#10;JMFIkg44uueSoWSauuYMvcnBp5QP2pVH9/Kxv1f0h0FSlS2RW+ZBPh16CIxdRHgR4gzTwxWb4bOq&#10;wYc8W+U7tW9051JCD9DeE3IYCWF7iyhsTiazNF1MMKLns5Dk58BeG/uJqQ65RYEFoPaJye7eWAeE&#10;5GcXd49Uay6E51tINBR4kU5BEZSA6sxPH2mU4LXzcv5Gbzel0GhHnHT8z5cHJ6/dOm5BwIJ3BZ6P&#10;TiRvGakrWfvrLOHiuAZIQrrkzEvziBOsvYWl34fCvWx+LaJFNa/mWZAl0yrIotUquF2XWTBdx7PJ&#10;Kl2V5Sp+cajjLG95XTPpgJ8lHGf/JpHTMB3FN4p4bFV4md33FMBeIr1dT6JZls6D2WySBllaRcHd&#10;fF0Gt2U8nc6qu/KueoO08tWb9wE7ttKhUs/AxmNbD6jmThTpZJHEGAwY+WR25AcRsYW3ilqNkVb2&#10;O7et17BTn8txQfw8cv8T8WP2YyPOHDprZOFU259WAednfv1ouGk4ztVG1YcHfR4ZGHAfdHqM3Avy&#10;2ob16ydz+RsAAP//AwBQSwMEFAAGAAgAAAAhAN7Yq2fgAAAACwEAAA8AAABkcnMvZG93bnJldi54&#10;bWxMj0FLw0AQhe+C/2EZwYu0m5pYS8ymiCAeBGmrKN622TEbzM6G3W0T/70jCHqbmfd4871qPble&#10;HDHEzpOCxTwDgdR401Gr4OX5frYCEZMmo3tPqOALI6zr05NKl8aPtMXjLrWCQyiWWoFNaSiljI1F&#10;p+PcD0isffjgdOI1tNIEPXK46+Vlli2l0x3xB6sHvLPYfO4OTsFTGLuY8qLYYHp/fXh8s5sLt1Xq&#10;/Gy6vQGRcEp/ZvjBZ3SomWnvD2Si6BXMFlnBVh7yKy7FjtXyOgex/73IupL/O9TfAAAA//8DAFBL&#10;AQItABQABgAIAAAAIQC2gziS/gAAAOEBAAATAAAAAAAAAAAAAAAAAAAAAABbQ29udGVudF9UeXBl&#10;c10ueG1sUEsBAi0AFAAGAAgAAAAhADj9If/WAAAAlAEAAAsAAAAAAAAAAAAAAAAALwEAAF9yZWxz&#10;Ly5yZWxzUEsBAi0AFAAGAAgAAAAhAFE7pvaaAgAAegUAAA4AAAAAAAAAAAAAAAAALgIAAGRycy9l&#10;Mm9Eb2MueG1sUEsBAi0AFAAGAAgAAAAhAN7Yq2fgAAAACwEAAA8AAAAAAAAAAAAAAAAA9AQAAGRy&#10;cy9kb3ducmV2LnhtbFBLBQYAAAAABAAEAPMAAAABBgAAAAA=&#10;" strokeweight=".26mm">
                <v:stroke joinstyle="miter" endcap="square"/>
              </v:line>
            </w:pict>
          </mc:Fallback>
        </mc:AlternateContent>
      </w:r>
      <w:r w:rsidR="00D21753" w:rsidRPr="00DE475B">
        <w:rPr>
          <w:rFonts w:ascii="Arial" w:hAnsi="Arial" w:cs="Arial"/>
          <w:b/>
          <w:bCs/>
          <w:sz w:val="20"/>
          <w:szCs w:val="20"/>
        </w:rPr>
        <w:t>NOTES TO THE FINANCIAL STATEMENTS</w:t>
      </w:r>
    </w:p>
    <w:p w:rsidR="00D21753" w:rsidRPr="00DE475B" w:rsidRDefault="00D21753" w:rsidP="00D21753">
      <w:r w:rsidRPr="00DE475B">
        <w:rPr>
          <w:rFonts w:ascii="Arial" w:hAnsi="Arial" w:cs="Arial"/>
          <w:b/>
          <w:bCs/>
          <w:sz w:val="20"/>
          <w:szCs w:val="20"/>
        </w:rPr>
        <w:t>For the y</w:t>
      </w:r>
      <w:r w:rsidR="00C771E1">
        <w:rPr>
          <w:rFonts w:ascii="Arial" w:hAnsi="Arial" w:cs="Arial"/>
          <w:b/>
          <w:bCs/>
          <w:sz w:val="20"/>
          <w:szCs w:val="20"/>
        </w:rPr>
        <w:t>ear ended 30 June 2017</w:t>
      </w:r>
    </w:p>
    <w:p w:rsidR="00D21753" w:rsidRPr="00DE475B" w:rsidRDefault="00373FFE" w:rsidP="00D21753">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671552" behindDoc="0" locked="0" layoutInCell="1" allowOverlap="1" wp14:anchorId="4A6A7462" wp14:editId="70FFA20C">
                <wp:simplePos x="0" y="0"/>
                <wp:positionH relativeFrom="column">
                  <wp:posOffset>-46726</wp:posOffset>
                </wp:positionH>
                <wp:positionV relativeFrom="paragraph">
                  <wp:posOffset>43815</wp:posOffset>
                </wp:positionV>
                <wp:extent cx="5573395" cy="0"/>
                <wp:effectExtent l="19050" t="19050" r="27305" b="38100"/>
                <wp:wrapNone/>
                <wp:docPr id="2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45pt" to="435.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78lmwIAAHoFAAAOAAAAZHJzL2Uyb0RvYy54bWysVF1v2yAUfZ+0/4B4d23HzpdVZ2odZy/d&#10;Vqmd9kwAx2gYPKBxqmn/fReSeE33Mk1NJIuPy+Hce87l+sOhk2jPjRValTi9SjDiimom1K7EXx83&#10;0QIj64hiRGrFS/zMLf6wev/ueugLPtGtlowbBCDKFkNf4ta5vohjS1veEXule65gs9GmIw6mZhcz&#10;QwZA72Q8SZJZPGjDeqMptxZW18dNvAr4TcOp+9I0ljskSwzcXPia8N36b7y6JsXOkL4V9ESD/AeL&#10;jggFl45Qa+IIejLiL6hOUKOtbtwV1V2sm0ZQHnKAbNLkVTYPLel5yAWKY/uxTPbtYOnn/b1BgpV4&#10;kmKkSAca3QnF0WQ28cUZeltATKXujU+PHtRDf6fpd4uUrlqidjyQfHzu4WDqT8QXR/zE9nDFdvik&#10;GcSQJ6dDpQ6N6Twk1AAdgiDPoyD84BCFxel0nmXLKUb0vBeT4nywN9Z95LpDflBiCawDMNnfWeeJ&#10;kOIc4u9ReiOkDHpLhYYSL7MZOIIScJ39EU5aLQXzUT7emt22kgbtibdO+IX0YOdlWCccGFiKrsSL&#10;MYgULSesVixc54iQxzFQksqD82DNI0+YHRwMwzokHmzzc5ks60W9yKN8MqujPFmvo5tNlUezTTqf&#10;rrN1Va3TX551mhetYIwrT/xs4TT/N4ucmulovtHEY6niS/RQUyB7yfRmM03mebaI5vNpFuVZnUS3&#10;i00V3VTpbDavb6vb+hXTOmRv34bsWErPSj+BGg8tGxAT3hTZdOl9zQS0/GR+1AcRuYO3ijqDkdHu&#10;m3Bt8LB3n8e4EH6R+P9J+BH9WIizhn42qnDK7U+pQPOzvqE1fDcc+2qr2fO9ObcMNHg4dHqM/Avy&#10;cg7jl0/m6jcAAAD//wMAUEsDBBQABgAIAAAAIQA/skGg3AAAAAYBAAAPAAAAZHJzL2Rvd25yZXYu&#10;eG1sTI5RS8MwFIXfBf9DuIIvsqW6ss3adIggPgiyTdnw7a65NsXmpiTZWv+90Rd9PJzDd75yNdpO&#10;nMiH1rGC62kGgrh2uuVGwdvr42QJIkRkjZ1jUvBFAVbV+VmJhXYDb+i0jY1IEA4FKjAx9oWUoTZk&#10;MUxdT5y6D+ctxhR9I7XHIcFtJ2+ybC4ttpweDPb0YKj+3B6tghc/tCHO8nxN8X339Lw36yu7Uery&#10;Yry/AxFpjH9j+NFP6lAlp4M7sg6iUzBZ5GmpYH4LItXLRTYDcfjNsirlf/3qGwAA//8DAFBLAQIt&#10;ABQABgAIAAAAIQC2gziS/gAAAOEBAAATAAAAAAAAAAAAAAAAAAAAAABbQ29udGVudF9UeXBlc10u&#10;eG1sUEsBAi0AFAAGAAgAAAAhADj9If/WAAAAlAEAAAsAAAAAAAAAAAAAAAAALwEAAF9yZWxzLy5y&#10;ZWxzUEsBAi0AFAAGAAgAAAAhADHnvyWbAgAAegUAAA4AAAAAAAAAAAAAAAAALgIAAGRycy9lMm9E&#10;b2MueG1sUEsBAi0AFAAGAAgAAAAhAD+yQaDcAAAABgEAAA8AAAAAAAAAAAAAAAAA9QQAAGRycy9k&#10;b3ducmV2LnhtbFBLBQYAAAAABAAEAPMAAAD+BQAAAAA=&#10;" strokeweight=".26mm">
                <v:stroke joinstyle="miter" endcap="square"/>
              </v:line>
            </w:pict>
          </mc:Fallback>
        </mc:AlternateContent>
      </w:r>
    </w:p>
    <w:p w:rsidR="00C771E1" w:rsidRPr="00DE475B" w:rsidRDefault="00C771E1" w:rsidP="00C771E1">
      <w:pPr>
        <w:pStyle w:val="ARheading3"/>
        <w:widowControl w:val="0"/>
        <w:tabs>
          <w:tab w:val="left" w:pos="851"/>
        </w:tabs>
        <w:spacing w:after="120"/>
        <w:rPr>
          <w:color w:val="808080"/>
        </w:rPr>
      </w:pPr>
      <w:r w:rsidRPr="00DE475B">
        <w:rPr>
          <w:color w:val="808080"/>
        </w:rPr>
        <w:t>E1   Budgetary reporting disclosures</w:t>
      </w:r>
      <w:r>
        <w:rPr>
          <w:color w:val="808080"/>
        </w:rPr>
        <w:t xml:space="preserve"> (continued)</w:t>
      </w:r>
    </w:p>
    <w:p w:rsidR="00D21753" w:rsidRPr="00C771E1" w:rsidRDefault="00D21753" w:rsidP="005C1B09">
      <w:pPr>
        <w:tabs>
          <w:tab w:val="left" w:pos="284"/>
          <w:tab w:val="left" w:pos="5878"/>
          <w:tab w:val="left" w:pos="8548"/>
          <w:tab w:val="left" w:pos="8770"/>
          <w:tab w:val="left" w:pos="10266"/>
          <w:tab w:val="left" w:pos="11702"/>
        </w:tabs>
        <w:spacing w:before="120" w:after="40"/>
        <w:rPr>
          <w:rFonts w:ascii="Arial" w:hAnsi="Arial" w:cs="Arial"/>
          <w:b/>
          <w:bCs/>
          <w:sz w:val="20"/>
          <w:szCs w:val="20"/>
        </w:rPr>
      </w:pPr>
      <w:r w:rsidRPr="00C771E1">
        <w:rPr>
          <w:rFonts w:ascii="Arial" w:hAnsi="Arial" w:cs="Arial"/>
          <w:b/>
          <w:bCs/>
          <w:sz w:val="20"/>
          <w:szCs w:val="20"/>
        </w:rPr>
        <w:t>E</w:t>
      </w:r>
      <w:r w:rsidR="00BB596B">
        <w:rPr>
          <w:rFonts w:ascii="Arial" w:hAnsi="Arial" w:cs="Arial"/>
          <w:b/>
          <w:bCs/>
          <w:sz w:val="20"/>
          <w:szCs w:val="20"/>
        </w:rPr>
        <w:t>1</w:t>
      </w:r>
      <w:r w:rsidR="005C1B09">
        <w:rPr>
          <w:rFonts w:ascii="Arial" w:hAnsi="Arial" w:cs="Arial"/>
          <w:b/>
          <w:bCs/>
          <w:sz w:val="20"/>
          <w:szCs w:val="20"/>
        </w:rPr>
        <w:t>-</w:t>
      </w:r>
      <w:proofErr w:type="gramStart"/>
      <w:r w:rsidR="00BB596B">
        <w:rPr>
          <w:rFonts w:ascii="Arial" w:hAnsi="Arial" w:cs="Arial"/>
          <w:b/>
          <w:bCs/>
          <w:sz w:val="20"/>
          <w:szCs w:val="20"/>
        </w:rPr>
        <w:t>5</w:t>
      </w:r>
      <w:r w:rsidRPr="00C771E1">
        <w:rPr>
          <w:rFonts w:ascii="Arial" w:hAnsi="Arial" w:cs="Arial"/>
          <w:b/>
          <w:bCs/>
          <w:sz w:val="20"/>
          <w:szCs w:val="20"/>
        </w:rPr>
        <w:t xml:space="preserve"> </w:t>
      </w:r>
      <w:r w:rsidR="005C1B09">
        <w:rPr>
          <w:rFonts w:ascii="Arial" w:hAnsi="Arial" w:cs="Arial"/>
          <w:b/>
          <w:bCs/>
          <w:sz w:val="20"/>
          <w:szCs w:val="20"/>
        </w:rPr>
        <w:t xml:space="preserve"> </w:t>
      </w:r>
      <w:r w:rsidRPr="00C771E1">
        <w:rPr>
          <w:rFonts w:ascii="Arial" w:hAnsi="Arial" w:cs="Arial"/>
          <w:b/>
          <w:bCs/>
          <w:sz w:val="20"/>
          <w:szCs w:val="20"/>
        </w:rPr>
        <w:t>Budget</w:t>
      </w:r>
      <w:proofErr w:type="gramEnd"/>
      <w:r w:rsidRPr="00C771E1">
        <w:rPr>
          <w:rFonts w:ascii="Arial" w:hAnsi="Arial" w:cs="Arial"/>
          <w:b/>
          <w:bCs/>
          <w:sz w:val="20"/>
          <w:szCs w:val="20"/>
        </w:rPr>
        <w:t xml:space="preserve"> to actual comparison — Statement of cash flows</w:t>
      </w:r>
    </w:p>
    <w:tbl>
      <w:tblPr>
        <w:tblW w:w="8789" w:type="dxa"/>
        <w:tblInd w:w="108" w:type="dxa"/>
        <w:tblLayout w:type="fixed"/>
        <w:tblLook w:val="0000" w:firstRow="0" w:lastRow="0" w:firstColumn="0" w:lastColumn="0" w:noHBand="0" w:noVBand="0"/>
      </w:tblPr>
      <w:tblGrid>
        <w:gridCol w:w="3402"/>
        <w:gridCol w:w="1560"/>
        <w:gridCol w:w="1417"/>
        <w:gridCol w:w="1276"/>
        <w:gridCol w:w="1134"/>
      </w:tblGrid>
      <w:tr w:rsidR="00DD72CD" w:rsidRPr="00DE475B" w:rsidTr="00C771E1">
        <w:trPr>
          <w:trHeight w:val="240"/>
        </w:trPr>
        <w:tc>
          <w:tcPr>
            <w:tcW w:w="3402" w:type="dxa"/>
            <w:shd w:val="clear" w:color="auto" w:fill="auto"/>
            <w:vAlign w:val="bottom"/>
          </w:tcPr>
          <w:p w:rsidR="00DD72CD" w:rsidRPr="00DE475B" w:rsidRDefault="00DD72CD" w:rsidP="000557E9">
            <w:pPr>
              <w:snapToGrid w:val="0"/>
              <w:jc w:val="center"/>
              <w:rPr>
                <w:rFonts w:ascii="Arial" w:hAnsi="Arial" w:cs="Arial"/>
                <w:b/>
                <w:bCs/>
                <w:sz w:val="20"/>
                <w:szCs w:val="20"/>
              </w:rPr>
            </w:pPr>
          </w:p>
        </w:tc>
        <w:tc>
          <w:tcPr>
            <w:tcW w:w="1560" w:type="dxa"/>
            <w:shd w:val="clear" w:color="auto" w:fill="auto"/>
            <w:vAlign w:val="bottom"/>
          </w:tcPr>
          <w:p w:rsidR="00DD72CD" w:rsidRPr="00DE475B" w:rsidRDefault="00DD72CD" w:rsidP="000557E9">
            <w:pPr>
              <w:snapToGrid w:val="0"/>
              <w:jc w:val="center"/>
              <w:rPr>
                <w:rFonts w:ascii="Arial" w:hAnsi="Arial" w:cs="Arial"/>
                <w:b/>
                <w:bCs/>
                <w:sz w:val="20"/>
                <w:szCs w:val="20"/>
              </w:rPr>
            </w:pPr>
          </w:p>
        </w:tc>
        <w:tc>
          <w:tcPr>
            <w:tcW w:w="3827" w:type="dxa"/>
            <w:gridSpan w:val="3"/>
            <w:shd w:val="clear" w:color="auto" w:fill="auto"/>
          </w:tcPr>
          <w:p w:rsidR="00DD72CD" w:rsidRPr="00DE475B" w:rsidRDefault="00DD72CD" w:rsidP="000557E9">
            <w:pPr>
              <w:jc w:val="center"/>
              <w:rPr>
                <w:rFonts w:ascii="Arial" w:hAnsi="Arial" w:cs="Arial"/>
                <w:b/>
                <w:bCs/>
                <w:sz w:val="20"/>
                <w:szCs w:val="20"/>
              </w:rPr>
            </w:pPr>
            <w:r w:rsidRPr="00DE475B">
              <w:rPr>
                <w:rFonts w:ascii="Arial" w:hAnsi="Arial" w:cs="Arial"/>
                <w:b/>
                <w:bCs/>
                <w:sz w:val="20"/>
                <w:szCs w:val="20"/>
              </w:rPr>
              <w:t>Economic Entity</w:t>
            </w:r>
          </w:p>
        </w:tc>
      </w:tr>
      <w:tr w:rsidR="00C771E1" w:rsidRPr="00DE475B" w:rsidTr="00C771E1">
        <w:trPr>
          <w:trHeight w:val="301"/>
        </w:trPr>
        <w:tc>
          <w:tcPr>
            <w:tcW w:w="4962" w:type="dxa"/>
            <w:gridSpan w:val="2"/>
            <w:shd w:val="clear" w:color="auto" w:fill="auto"/>
          </w:tcPr>
          <w:p w:rsidR="00C771E1" w:rsidRPr="00DE475B" w:rsidRDefault="00C771E1" w:rsidP="000557E9">
            <w:pPr>
              <w:rPr>
                <w:rFonts w:ascii="Arial" w:hAnsi="Arial" w:cs="Arial"/>
                <w:b/>
                <w:bCs/>
                <w:sz w:val="20"/>
                <w:szCs w:val="20"/>
              </w:rPr>
            </w:pPr>
          </w:p>
        </w:tc>
        <w:tc>
          <w:tcPr>
            <w:tcW w:w="1417" w:type="dxa"/>
            <w:vMerge w:val="restart"/>
            <w:shd w:val="clear" w:color="auto" w:fill="auto"/>
            <w:vAlign w:val="bottom"/>
          </w:tcPr>
          <w:p w:rsidR="00C771E1" w:rsidRPr="00DE475B" w:rsidRDefault="00C771E1" w:rsidP="000557E9">
            <w:pPr>
              <w:jc w:val="right"/>
              <w:rPr>
                <w:rFonts w:ascii="Arial" w:hAnsi="Arial" w:cs="Arial"/>
                <w:b/>
                <w:bCs/>
                <w:sz w:val="20"/>
                <w:szCs w:val="20"/>
              </w:rPr>
            </w:pPr>
            <w:r>
              <w:rPr>
                <w:rFonts w:ascii="Arial" w:hAnsi="Arial" w:cs="Arial"/>
                <w:b/>
                <w:bCs/>
                <w:sz w:val="20"/>
                <w:szCs w:val="20"/>
              </w:rPr>
              <w:t>Actual 2017</w:t>
            </w:r>
          </w:p>
        </w:tc>
        <w:tc>
          <w:tcPr>
            <w:tcW w:w="1276" w:type="dxa"/>
            <w:vMerge w:val="restart"/>
            <w:shd w:val="clear" w:color="auto" w:fill="auto"/>
            <w:vAlign w:val="bottom"/>
          </w:tcPr>
          <w:p w:rsidR="00C771E1" w:rsidRPr="00DE475B" w:rsidRDefault="00C771E1" w:rsidP="00DD72CD">
            <w:pPr>
              <w:jc w:val="right"/>
              <w:rPr>
                <w:rFonts w:ascii="Arial" w:hAnsi="Arial" w:cs="Arial"/>
                <w:b/>
                <w:bCs/>
                <w:sz w:val="20"/>
                <w:szCs w:val="20"/>
              </w:rPr>
            </w:pPr>
            <w:r w:rsidRPr="00DE475B">
              <w:rPr>
                <w:rFonts w:ascii="Arial" w:hAnsi="Arial" w:cs="Arial"/>
                <w:b/>
                <w:bCs/>
                <w:sz w:val="20"/>
                <w:szCs w:val="20"/>
              </w:rPr>
              <w:t>Original Budget</w:t>
            </w:r>
            <w:r>
              <w:rPr>
                <w:rFonts w:ascii="Arial" w:hAnsi="Arial" w:cs="Arial"/>
                <w:b/>
                <w:bCs/>
                <w:sz w:val="20"/>
                <w:szCs w:val="20"/>
              </w:rPr>
              <w:t xml:space="preserve"> 2017</w:t>
            </w:r>
          </w:p>
        </w:tc>
        <w:tc>
          <w:tcPr>
            <w:tcW w:w="1134" w:type="dxa"/>
            <w:vMerge w:val="restart"/>
            <w:shd w:val="clear" w:color="auto" w:fill="auto"/>
            <w:vAlign w:val="bottom"/>
          </w:tcPr>
          <w:p w:rsidR="00C771E1" w:rsidRPr="00DE475B" w:rsidRDefault="00C771E1" w:rsidP="00C771E1">
            <w:pPr>
              <w:jc w:val="right"/>
              <w:rPr>
                <w:rFonts w:ascii="Arial" w:hAnsi="Arial" w:cs="Arial"/>
                <w:b/>
                <w:bCs/>
                <w:sz w:val="20"/>
                <w:szCs w:val="20"/>
              </w:rPr>
            </w:pPr>
            <w:r w:rsidRPr="00DE475B">
              <w:rPr>
                <w:rFonts w:ascii="Arial" w:hAnsi="Arial" w:cs="Arial"/>
                <w:b/>
                <w:bCs/>
                <w:sz w:val="20"/>
                <w:szCs w:val="20"/>
              </w:rPr>
              <w:t xml:space="preserve">Budget </w:t>
            </w:r>
            <w:r>
              <w:rPr>
                <w:rFonts w:ascii="Arial" w:hAnsi="Arial" w:cs="Arial"/>
                <w:b/>
                <w:bCs/>
                <w:sz w:val="20"/>
                <w:szCs w:val="20"/>
              </w:rPr>
              <w:t xml:space="preserve"> Variance</w:t>
            </w:r>
          </w:p>
        </w:tc>
      </w:tr>
      <w:tr w:rsidR="00C771E1" w:rsidRPr="00DE475B" w:rsidTr="00C771E1">
        <w:trPr>
          <w:trHeight w:val="301"/>
        </w:trPr>
        <w:tc>
          <w:tcPr>
            <w:tcW w:w="3402" w:type="dxa"/>
            <w:shd w:val="clear" w:color="auto" w:fill="auto"/>
          </w:tcPr>
          <w:p w:rsidR="00C771E1" w:rsidRPr="00DE475B" w:rsidRDefault="00C771E1" w:rsidP="000557E9">
            <w:pPr>
              <w:rPr>
                <w:rFonts w:ascii="Arial" w:hAnsi="Arial" w:cs="Arial"/>
                <w:b/>
                <w:bCs/>
                <w:sz w:val="20"/>
                <w:szCs w:val="20"/>
              </w:rPr>
            </w:pPr>
          </w:p>
        </w:tc>
        <w:tc>
          <w:tcPr>
            <w:tcW w:w="1560" w:type="dxa"/>
            <w:vMerge w:val="restart"/>
            <w:shd w:val="clear" w:color="auto" w:fill="auto"/>
            <w:tcMar>
              <w:left w:w="28" w:type="dxa"/>
              <w:right w:w="28" w:type="dxa"/>
            </w:tcMar>
          </w:tcPr>
          <w:p w:rsidR="00BB596B" w:rsidRDefault="00BB596B" w:rsidP="00BB596B">
            <w:pPr>
              <w:jc w:val="center"/>
              <w:rPr>
                <w:rFonts w:ascii="Arial" w:hAnsi="Arial" w:cs="Arial"/>
                <w:b/>
                <w:bCs/>
                <w:sz w:val="20"/>
                <w:szCs w:val="20"/>
              </w:rPr>
            </w:pPr>
            <w:r>
              <w:rPr>
                <w:rFonts w:ascii="Arial" w:hAnsi="Arial" w:cs="Arial"/>
                <w:b/>
                <w:bCs/>
                <w:sz w:val="20"/>
                <w:szCs w:val="20"/>
              </w:rPr>
              <w:t>Variance</w:t>
            </w:r>
          </w:p>
          <w:p w:rsidR="00C771E1" w:rsidRPr="00DE475B" w:rsidRDefault="00BB596B" w:rsidP="00BB596B">
            <w:pPr>
              <w:jc w:val="center"/>
              <w:rPr>
                <w:rFonts w:ascii="Arial" w:hAnsi="Arial" w:cs="Arial"/>
                <w:b/>
                <w:bCs/>
                <w:sz w:val="20"/>
                <w:szCs w:val="20"/>
              </w:rPr>
            </w:pPr>
            <w:r>
              <w:rPr>
                <w:rFonts w:ascii="Arial" w:hAnsi="Arial" w:cs="Arial"/>
                <w:b/>
                <w:bCs/>
                <w:sz w:val="20"/>
                <w:szCs w:val="20"/>
              </w:rPr>
              <w:t>Note</w:t>
            </w:r>
          </w:p>
        </w:tc>
        <w:tc>
          <w:tcPr>
            <w:tcW w:w="1417" w:type="dxa"/>
            <w:vMerge/>
            <w:shd w:val="clear" w:color="auto" w:fill="auto"/>
            <w:vAlign w:val="bottom"/>
          </w:tcPr>
          <w:p w:rsidR="00C771E1" w:rsidRPr="00DE475B" w:rsidRDefault="00C771E1" w:rsidP="000557E9">
            <w:pPr>
              <w:jc w:val="right"/>
              <w:rPr>
                <w:rFonts w:ascii="Arial" w:hAnsi="Arial" w:cs="Arial"/>
                <w:b/>
                <w:bCs/>
                <w:sz w:val="20"/>
                <w:szCs w:val="20"/>
              </w:rPr>
            </w:pPr>
          </w:p>
        </w:tc>
        <w:tc>
          <w:tcPr>
            <w:tcW w:w="1276" w:type="dxa"/>
            <w:vMerge/>
            <w:shd w:val="clear" w:color="auto" w:fill="auto"/>
            <w:vAlign w:val="bottom"/>
          </w:tcPr>
          <w:p w:rsidR="00C771E1" w:rsidRPr="00DE475B" w:rsidRDefault="00C771E1" w:rsidP="000557E9">
            <w:pPr>
              <w:jc w:val="right"/>
              <w:rPr>
                <w:rFonts w:ascii="Arial" w:hAnsi="Arial" w:cs="Arial"/>
                <w:b/>
                <w:bCs/>
                <w:sz w:val="20"/>
                <w:szCs w:val="20"/>
              </w:rPr>
            </w:pPr>
          </w:p>
        </w:tc>
        <w:tc>
          <w:tcPr>
            <w:tcW w:w="1134" w:type="dxa"/>
            <w:vMerge/>
            <w:shd w:val="clear" w:color="auto" w:fill="auto"/>
            <w:vAlign w:val="bottom"/>
          </w:tcPr>
          <w:p w:rsidR="00C771E1" w:rsidRPr="00DE475B" w:rsidRDefault="00C771E1" w:rsidP="000557E9">
            <w:pPr>
              <w:jc w:val="right"/>
              <w:rPr>
                <w:rFonts w:ascii="Arial" w:hAnsi="Arial" w:cs="Arial"/>
                <w:b/>
                <w:bCs/>
                <w:sz w:val="20"/>
                <w:szCs w:val="20"/>
              </w:rPr>
            </w:pPr>
          </w:p>
        </w:tc>
      </w:tr>
      <w:tr w:rsidR="00C771E1" w:rsidRPr="00DE475B" w:rsidTr="00C771E1">
        <w:trPr>
          <w:trHeight w:val="240"/>
        </w:trPr>
        <w:tc>
          <w:tcPr>
            <w:tcW w:w="3402" w:type="dxa"/>
            <w:shd w:val="clear" w:color="auto" w:fill="auto"/>
            <w:vAlign w:val="bottom"/>
          </w:tcPr>
          <w:p w:rsidR="00C771E1" w:rsidRPr="00DE475B" w:rsidRDefault="00C771E1" w:rsidP="000557E9">
            <w:pPr>
              <w:snapToGrid w:val="0"/>
              <w:rPr>
                <w:rFonts w:ascii="Arial" w:hAnsi="Arial" w:cs="Arial"/>
                <w:b/>
                <w:bCs/>
                <w:sz w:val="20"/>
                <w:szCs w:val="20"/>
              </w:rPr>
            </w:pPr>
          </w:p>
        </w:tc>
        <w:tc>
          <w:tcPr>
            <w:tcW w:w="1560" w:type="dxa"/>
            <w:vMerge/>
            <w:shd w:val="clear" w:color="auto" w:fill="auto"/>
            <w:vAlign w:val="bottom"/>
          </w:tcPr>
          <w:p w:rsidR="00C771E1" w:rsidRPr="00DE475B" w:rsidRDefault="00C771E1" w:rsidP="000557E9">
            <w:pPr>
              <w:jc w:val="center"/>
              <w:rPr>
                <w:rFonts w:ascii="Arial" w:hAnsi="Arial" w:cs="Arial"/>
                <w:b/>
                <w:bCs/>
                <w:sz w:val="20"/>
                <w:szCs w:val="20"/>
              </w:rPr>
            </w:pPr>
          </w:p>
        </w:tc>
        <w:tc>
          <w:tcPr>
            <w:tcW w:w="1417" w:type="dxa"/>
            <w:shd w:val="clear" w:color="auto" w:fill="auto"/>
            <w:vAlign w:val="bottom"/>
          </w:tcPr>
          <w:p w:rsidR="00C771E1" w:rsidRPr="00DE475B" w:rsidRDefault="00C771E1" w:rsidP="000557E9">
            <w:pPr>
              <w:jc w:val="right"/>
              <w:rPr>
                <w:rFonts w:ascii="Arial" w:hAnsi="Arial" w:cs="Arial"/>
                <w:b/>
                <w:bCs/>
                <w:sz w:val="20"/>
                <w:szCs w:val="20"/>
              </w:rPr>
            </w:pPr>
            <w:r w:rsidRPr="00DE475B">
              <w:rPr>
                <w:rFonts w:ascii="Arial" w:hAnsi="Arial" w:cs="Arial"/>
                <w:b/>
                <w:bCs/>
                <w:sz w:val="20"/>
                <w:szCs w:val="20"/>
              </w:rPr>
              <w:t>$'000</w:t>
            </w:r>
          </w:p>
        </w:tc>
        <w:tc>
          <w:tcPr>
            <w:tcW w:w="1276" w:type="dxa"/>
            <w:shd w:val="clear" w:color="auto" w:fill="auto"/>
            <w:vAlign w:val="bottom"/>
          </w:tcPr>
          <w:p w:rsidR="00C771E1" w:rsidRPr="00DE475B" w:rsidRDefault="00C771E1" w:rsidP="000557E9">
            <w:pPr>
              <w:jc w:val="right"/>
              <w:rPr>
                <w:rFonts w:ascii="Arial" w:hAnsi="Arial" w:cs="Arial"/>
                <w:b/>
                <w:bCs/>
                <w:sz w:val="20"/>
                <w:szCs w:val="20"/>
              </w:rPr>
            </w:pPr>
            <w:r w:rsidRPr="00DE475B">
              <w:rPr>
                <w:rFonts w:ascii="Arial" w:hAnsi="Arial" w:cs="Arial"/>
                <w:b/>
                <w:bCs/>
                <w:sz w:val="20"/>
                <w:szCs w:val="20"/>
              </w:rPr>
              <w:t>$'000</w:t>
            </w:r>
          </w:p>
        </w:tc>
        <w:tc>
          <w:tcPr>
            <w:tcW w:w="1134" w:type="dxa"/>
            <w:shd w:val="clear" w:color="auto" w:fill="auto"/>
            <w:vAlign w:val="bottom"/>
          </w:tcPr>
          <w:p w:rsidR="00C771E1" w:rsidRPr="00DE475B" w:rsidRDefault="00C771E1" w:rsidP="000557E9">
            <w:pPr>
              <w:jc w:val="right"/>
              <w:rPr>
                <w:rFonts w:ascii="Arial" w:hAnsi="Arial" w:cs="Arial"/>
                <w:b/>
                <w:bCs/>
                <w:sz w:val="20"/>
                <w:szCs w:val="20"/>
              </w:rPr>
            </w:pPr>
            <w:r w:rsidRPr="00DE475B">
              <w:rPr>
                <w:rFonts w:ascii="Arial" w:hAnsi="Arial" w:cs="Arial"/>
                <w:b/>
                <w:bCs/>
                <w:sz w:val="20"/>
                <w:szCs w:val="20"/>
              </w:rPr>
              <w:t>$'000</w:t>
            </w:r>
          </w:p>
        </w:tc>
      </w:tr>
      <w:tr w:rsidR="00C771E1" w:rsidRPr="00DE475B" w:rsidTr="00C771E1">
        <w:trPr>
          <w:trHeight w:val="284"/>
        </w:trPr>
        <w:tc>
          <w:tcPr>
            <w:tcW w:w="4962" w:type="dxa"/>
            <w:gridSpan w:val="2"/>
            <w:shd w:val="clear" w:color="auto" w:fill="auto"/>
          </w:tcPr>
          <w:p w:rsidR="00C771E1" w:rsidRPr="00DE475B" w:rsidRDefault="00C771E1" w:rsidP="000557E9">
            <w:pPr>
              <w:rPr>
                <w:rFonts w:ascii="Arial" w:hAnsi="Arial" w:cs="Arial"/>
                <w:b/>
                <w:bCs/>
                <w:sz w:val="20"/>
                <w:szCs w:val="20"/>
              </w:rPr>
            </w:pPr>
            <w:r w:rsidRPr="00DE475B">
              <w:rPr>
                <w:rFonts w:ascii="Arial" w:hAnsi="Arial" w:cs="Arial"/>
                <w:b/>
                <w:bCs/>
                <w:sz w:val="20"/>
                <w:szCs w:val="20"/>
              </w:rPr>
              <w:t xml:space="preserve">Cash flows from operating activities </w:t>
            </w:r>
          </w:p>
        </w:tc>
        <w:tc>
          <w:tcPr>
            <w:tcW w:w="1417" w:type="dxa"/>
            <w:shd w:val="clear" w:color="auto" w:fill="auto"/>
            <w:vAlign w:val="bottom"/>
          </w:tcPr>
          <w:p w:rsidR="00C771E1" w:rsidRPr="00DE475B" w:rsidRDefault="00C771E1" w:rsidP="000557E9">
            <w:pPr>
              <w:rPr>
                <w:rFonts w:ascii="Arial" w:hAnsi="Arial" w:cs="Arial"/>
                <w:b/>
                <w:bCs/>
                <w:sz w:val="20"/>
                <w:szCs w:val="20"/>
              </w:rPr>
            </w:pPr>
            <w:r w:rsidRPr="00DE475B">
              <w:rPr>
                <w:rFonts w:ascii="Arial" w:hAnsi="Arial" w:cs="Arial"/>
                <w:b/>
                <w:bCs/>
                <w:sz w:val="20"/>
                <w:szCs w:val="20"/>
              </w:rPr>
              <w:t> </w:t>
            </w:r>
          </w:p>
        </w:tc>
        <w:tc>
          <w:tcPr>
            <w:tcW w:w="1276" w:type="dxa"/>
            <w:shd w:val="clear" w:color="auto" w:fill="auto"/>
            <w:vAlign w:val="bottom"/>
          </w:tcPr>
          <w:p w:rsidR="00C771E1" w:rsidRPr="00DE475B" w:rsidRDefault="00C771E1" w:rsidP="000557E9">
            <w:pPr>
              <w:rPr>
                <w:rFonts w:ascii="Arial" w:hAnsi="Arial" w:cs="Arial"/>
                <w:b/>
                <w:bCs/>
                <w:sz w:val="20"/>
                <w:szCs w:val="20"/>
              </w:rPr>
            </w:pPr>
            <w:r w:rsidRPr="00DE475B">
              <w:rPr>
                <w:rFonts w:ascii="Arial" w:hAnsi="Arial" w:cs="Arial"/>
                <w:b/>
                <w:bCs/>
                <w:sz w:val="20"/>
                <w:szCs w:val="20"/>
              </w:rPr>
              <w:t> </w:t>
            </w:r>
          </w:p>
        </w:tc>
        <w:tc>
          <w:tcPr>
            <w:tcW w:w="1134" w:type="dxa"/>
            <w:shd w:val="clear" w:color="auto" w:fill="auto"/>
            <w:vAlign w:val="bottom"/>
          </w:tcPr>
          <w:p w:rsidR="00C771E1" w:rsidRPr="00DE475B" w:rsidRDefault="00C771E1" w:rsidP="000557E9">
            <w:pPr>
              <w:rPr>
                <w:rFonts w:ascii="Arial" w:hAnsi="Arial" w:cs="Arial"/>
                <w:sz w:val="20"/>
                <w:szCs w:val="20"/>
              </w:rPr>
            </w:pPr>
            <w:r w:rsidRPr="00DE475B">
              <w:rPr>
                <w:rFonts w:ascii="Arial" w:hAnsi="Arial" w:cs="Arial"/>
                <w:b/>
                <w:bCs/>
                <w:sz w:val="20"/>
                <w:szCs w:val="20"/>
              </w:rPr>
              <w:t> </w:t>
            </w: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i/>
                <w:iCs/>
                <w:sz w:val="20"/>
                <w:szCs w:val="20"/>
              </w:rPr>
            </w:pPr>
            <w:r w:rsidRPr="00DE475B">
              <w:rPr>
                <w:rFonts w:ascii="Arial" w:hAnsi="Arial" w:cs="Arial"/>
                <w:i/>
                <w:iCs/>
                <w:sz w:val="20"/>
                <w:szCs w:val="20"/>
              </w:rPr>
              <w:t>Inflows:</w:t>
            </w:r>
          </w:p>
        </w:tc>
        <w:tc>
          <w:tcPr>
            <w:tcW w:w="1560" w:type="dxa"/>
            <w:shd w:val="clear" w:color="auto" w:fill="auto"/>
            <w:vAlign w:val="bottom"/>
          </w:tcPr>
          <w:p w:rsidR="00C771E1" w:rsidRPr="00DE475B" w:rsidRDefault="00C771E1" w:rsidP="000557E9">
            <w:pPr>
              <w:jc w:val="center"/>
              <w:rPr>
                <w:rFonts w:ascii="Arial" w:hAnsi="Arial" w:cs="Arial"/>
                <w:sz w:val="20"/>
                <w:szCs w:val="20"/>
              </w:rPr>
            </w:pPr>
          </w:p>
        </w:tc>
        <w:tc>
          <w:tcPr>
            <w:tcW w:w="1417" w:type="dxa"/>
            <w:shd w:val="clear" w:color="auto" w:fill="auto"/>
            <w:vAlign w:val="bottom"/>
          </w:tcPr>
          <w:p w:rsidR="00C771E1" w:rsidRPr="00DE475B" w:rsidRDefault="00C771E1" w:rsidP="000557E9">
            <w:pPr>
              <w:jc w:val="right"/>
              <w:rPr>
                <w:rFonts w:ascii="Arial" w:hAnsi="Arial" w:cs="Arial"/>
                <w:sz w:val="20"/>
                <w:szCs w:val="20"/>
              </w:rPr>
            </w:pPr>
          </w:p>
        </w:tc>
        <w:tc>
          <w:tcPr>
            <w:tcW w:w="1276" w:type="dxa"/>
            <w:shd w:val="clear" w:color="auto" w:fill="auto"/>
            <w:vAlign w:val="bottom"/>
          </w:tcPr>
          <w:p w:rsidR="00C771E1" w:rsidRPr="00DE475B" w:rsidRDefault="00C771E1" w:rsidP="000557E9">
            <w:pPr>
              <w:jc w:val="right"/>
              <w:rPr>
                <w:rFonts w:ascii="Arial" w:hAnsi="Arial" w:cs="Arial"/>
                <w:sz w:val="20"/>
                <w:szCs w:val="20"/>
              </w:rPr>
            </w:pPr>
          </w:p>
        </w:tc>
        <w:tc>
          <w:tcPr>
            <w:tcW w:w="1134" w:type="dxa"/>
            <w:shd w:val="clear" w:color="auto" w:fill="auto"/>
            <w:vAlign w:val="bottom"/>
          </w:tcPr>
          <w:p w:rsidR="00C771E1" w:rsidRPr="00DE475B" w:rsidRDefault="00C771E1" w:rsidP="000557E9">
            <w:pPr>
              <w:jc w:val="right"/>
              <w:rPr>
                <w:rFonts w:ascii="Arial" w:hAnsi="Arial" w:cs="Arial"/>
                <w:sz w:val="20"/>
                <w:szCs w:val="20"/>
              </w:rPr>
            </w:pP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sz w:val="20"/>
                <w:szCs w:val="20"/>
              </w:rPr>
            </w:pPr>
            <w:r w:rsidRPr="00DE475B">
              <w:rPr>
                <w:rFonts w:ascii="Arial" w:hAnsi="Arial" w:cs="Arial"/>
                <w:sz w:val="20"/>
                <w:szCs w:val="20"/>
              </w:rPr>
              <w:t>User charges</w:t>
            </w:r>
          </w:p>
        </w:tc>
        <w:tc>
          <w:tcPr>
            <w:tcW w:w="1560" w:type="dxa"/>
            <w:shd w:val="clear" w:color="auto" w:fill="auto"/>
            <w:vAlign w:val="bottom"/>
          </w:tcPr>
          <w:p w:rsidR="00C771E1" w:rsidRPr="00DE475B" w:rsidRDefault="00C771E1" w:rsidP="000557E9">
            <w:pPr>
              <w:jc w:val="center"/>
              <w:rPr>
                <w:rFonts w:ascii="Arial" w:hAnsi="Arial" w:cs="Arial"/>
                <w:sz w:val="20"/>
                <w:szCs w:val="20"/>
              </w:rPr>
            </w:pPr>
          </w:p>
        </w:tc>
        <w:tc>
          <w:tcPr>
            <w:tcW w:w="1417"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5,141</w:t>
            </w:r>
          </w:p>
        </w:tc>
        <w:tc>
          <w:tcPr>
            <w:tcW w:w="1276"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4,004</w:t>
            </w:r>
          </w:p>
        </w:tc>
        <w:tc>
          <w:tcPr>
            <w:tcW w:w="1134"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1,137</w:t>
            </w: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sz w:val="20"/>
                <w:szCs w:val="20"/>
              </w:rPr>
            </w:pPr>
            <w:r w:rsidRPr="00DE475B">
              <w:rPr>
                <w:rFonts w:ascii="Arial" w:hAnsi="Arial" w:cs="Arial"/>
                <w:sz w:val="20"/>
                <w:szCs w:val="20"/>
              </w:rPr>
              <w:t>Grants and other contributions</w:t>
            </w:r>
          </w:p>
        </w:tc>
        <w:tc>
          <w:tcPr>
            <w:tcW w:w="1560" w:type="dxa"/>
            <w:shd w:val="clear" w:color="auto" w:fill="auto"/>
            <w:vAlign w:val="bottom"/>
          </w:tcPr>
          <w:p w:rsidR="00C771E1" w:rsidRPr="00DE475B" w:rsidRDefault="00C771E1" w:rsidP="000557E9">
            <w:pPr>
              <w:jc w:val="center"/>
              <w:rPr>
                <w:rFonts w:ascii="Arial" w:hAnsi="Arial" w:cs="Arial"/>
                <w:sz w:val="20"/>
                <w:szCs w:val="20"/>
              </w:rPr>
            </w:pPr>
          </w:p>
        </w:tc>
        <w:tc>
          <w:tcPr>
            <w:tcW w:w="1417"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64,746</w:t>
            </w:r>
          </w:p>
        </w:tc>
        <w:tc>
          <w:tcPr>
            <w:tcW w:w="1276"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64,459</w:t>
            </w:r>
          </w:p>
        </w:tc>
        <w:tc>
          <w:tcPr>
            <w:tcW w:w="1134"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287</w:t>
            </w: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sz w:val="20"/>
                <w:szCs w:val="20"/>
              </w:rPr>
            </w:pPr>
            <w:r w:rsidRPr="00DE475B">
              <w:rPr>
                <w:rFonts w:ascii="Arial" w:hAnsi="Arial" w:cs="Arial"/>
                <w:sz w:val="20"/>
                <w:szCs w:val="20"/>
              </w:rPr>
              <w:t>GST collected from customers</w:t>
            </w:r>
          </w:p>
        </w:tc>
        <w:tc>
          <w:tcPr>
            <w:tcW w:w="1560" w:type="dxa"/>
            <w:shd w:val="clear" w:color="auto" w:fill="auto"/>
            <w:vAlign w:val="bottom"/>
          </w:tcPr>
          <w:p w:rsidR="00C771E1" w:rsidRPr="00DE475B" w:rsidRDefault="00C771E1" w:rsidP="000557E9">
            <w:pPr>
              <w:jc w:val="center"/>
              <w:rPr>
                <w:rFonts w:ascii="Arial" w:hAnsi="Arial" w:cs="Arial"/>
                <w:sz w:val="20"/>
                <w:szCs w:val="20"/>
              </w:rPr>
            </w:pPr>
          </w:p>
        </w:tc>
        <w:tc>
          <w:tcPr>
            <w:tcW w:w="1417"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1,825</w:t>
            </w:r>
          </w:p>
        </w:tc>
        <w:tc>
          <w:tcPr>
            <w:tcW w:w="1276"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w:t>
            </w:r>
          </w:p>
        </w:tc>
        <w:tc>
          <w:tcPr>
            <w:tcW w:w="1134"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1,825</w:t>
            </w: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sz w:val="20"/>
                <w:szCs w:val="20"/>
              </w:rPr>
            </w:pPr>
            <w:r w:rsidRPr="00DE475B">
              <w:rPr>
                <w:rFonts w:ascii="Arial" w:hAnsi="Arial" w:cs="Arial"/>
                <w:sz w:val="20"/>
                <w:szCs w:val="20"/>
              </w:rPr>
              <w:t xml:space="preserve">GST input tax credits from </w:t>
            </w:r>
            <w:proofErr w:type="spellStart"/>
            <w:r w:rsidRPr="00DE475B">
              <w:rPr>
                <w:rFonts w:ascii="Arial" w:hAnsi="Arial" w:cs="Arial"/>
                <w:sz w:val="20"/>
                <w:szCs w:val="20"/>
              </w:rPr>
              <w:t>ATO</w:t>
            </w:r>
            <w:proofErr w:type="spellEnd"/>
          </w:p>
        </w:tc>
        <w:tc>
          <w:tcPr>
            <w:tcW w:w="1560" w:type="dxa"/>
            <w:shd w:val="clear" w:color="auto" w:fill="auto"/>
            <w:vAlign w:val="bottom"/>
          </w:tcPr>
          <w:p w:rsidR="00C771E1" w:rsidRPr="00DE475B" w:rsidRDefault="00C771E1" w:rsidP="000557E9">
            <w:pPr>
              <w:jc w:val="center"/>
              <w:rPr>
                <w:rFonts w:ascii="Arial" w:hAnsi="Arial" w:cs="Arial"/>
                <w:sz w:val="20"/>
                <w:szCs w:val="20"/>
              </w:rPr>
            </w:pPr>
          </w:p>
        </w:tc>
        <w:tc>
          <w:tcPr>
            <w:tcW w:w="1417"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2,715</w:t>
            </w:r>
          </w:p>
        </w:tc>
        <w:tc>
          <w:tcPr>
            <w:tcW w:w="1276"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w:t>
            </w:r>
          </w:p>
        </w:tc>
        <w:tc>
          <w:tcPr>
            <w:tcW w:w="1134"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2,715</w:t>
            </w: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sz w:val="20"/>
                <w:szCs w:val="20"/>
              </w:rPr>
            </w:pPr>
            <w:r w:rsidRPr="00DE475B">
              <w:rPr>
                <w:rFonts w:ascii="Arial" w:hAnsi="Arial" w:cs="Arial"/>
                <w:sz w:val="20"/>
                <w:szCs w:val="20"/>
              </w:rPr>
              <w:t>Interest receipts</w:t>
            </w:r>
          </w:p>
        </w:tc>
        <w:tc>
          <w:tcPr>
            <w:tcW w:w="1560" w:type="dxa"/>
            <w:shd w:val="clear" w:color="auto" w:fill="auto"/>
            <w:vAlign w:val="bottom"/>
          </w:tcPr>
          <w:p w:rsidR="00C771E1" w:rsidRPr="00DE475B" w:rsidRDefault="00C771E1" w:rsidP="000557E9">
            <w:pPr>
              <w:jc w:val="center"/>
              <w:rPr>
                <w:rFonts w:ascii="Arial" w:hAnsi="Arial" w:cs="Arial"/>
                <w:sz w:val="20"/>
                <w:szCs w:val="20"/>
              </w:rPr>
            </w:pPr>
          </w:p>
        </w:tc>
        <w:tc>
          <w:tcPr>
            <w:tcW w:w="1417"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735</w:t>
            </w:r>
          </w:p>
        </w:tc>
        <w:tc>
          <w:tcPr>
            <w:tcW w:w="1276"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804</w:t>
            </w:r>
          </w:p>
        </w:tc>
        <w:tc>
          <w:tcPr>
            <w:tcW w:w="1134"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(69)</w:t>
            </w: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sz w:val="20"/>
                <w:szCs w:val="20"/>
              </w:rPr>
            </w:pPr>
            <w:r w:rsidRPr="00DE475B">
              <w:rPr>
                <w:rFonts w:ascii="Arial" w:hAnsi="Arial" w:cs="Arial"/>
                <w:sz w:val="20"/>
                <w:szCs w:val="20"/>
              </w:rPr>
              <w:t xml:space="preserve">Other </w:t>
            </w:r>
          </w:p>
        </w:tc>
        <w:tc>
          <w:tcPr>
            <w:tcW w:w="1560" w:type="dxa"/>
            <w:shd w:val="clear" w:color="auto" w:fill="auto"/>
            <w:vAlign w:val="bottom"/>
          </w:tcPr>
          <w:p w:rsidR="00C771E1" w:rsidRPr="00DE475B" w:rsidRDefault="00C771E1" w:rsidP="000557E9">
            <w:pPr>
              <w:jc w:val="center"/>
              <w:rPr>
                <w:rFonts w:ascii="Arial" w:hAnsi="Arial" w:cs="Arial"/>
                <w:sz w:val="20"/>
                <w:szCs w:val="20"/>
              </w:rPr>
            </w:pPr>
          </w:p>
        </w:tc>
        <w:tc>
          <w:tcPr>
            <w:tcW w:w="1417"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w:t>
            </w:r>
          </w:p>
        </w:tc>
        <w:tc>
          <w:tcPr>
            <w:tcW w:w="1276"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311</w:t>
            </w:r>
          </w:p>
        </w:tc>
        <w:tc>
          <w:tcPr>
            <w:tcW w:w="1134"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(311)</w:t>
            </w: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i/>
                <w:iCs/>
                <w:sz w:val="20"/>
                <w:szCs w:val="20"/>
              </w:rPr>
            </w:pPr>
            <w:r w:rsidRPr="00DE475B">
              <w:rPr>
                <w:rFonts w:ascii="Arial" w:hAnsi="Arial" w:cs="Arial"/>
                <w:i/>
                <w:iCs/>
                <w:sz w:val="20"/>
                <w:szCs w:val="20"/>
              </w:rPr>
              <w:t>Outflows:</w:t>
            </w:r>
          </w:p>
        </w:tc>
        <w:tc>
          <w:tcPr>
            <w:tcW w:w="1560" w:type="dxa"/>
            <w:shd w:val="clear" w:color="auto" w:fill="auto"/>
            <w:vAlign w:val="bottom"/>
          </w:tcPr>
          <w:p w:rsidR="00C771E1" w:rsidRPr="00DE475B" w:rsidRDefault="00C771E1" w:rsidP="000557E9">
            <w:pPr>
              <w:jc w:val="center"/>
              <w:rPr>
                <w:rFonts w:ascii="Arial" w:hAnsi="Arial" w:cs="Arial"/>
                <w:sz w:val="20"/>
                <w:szCs w:val="20"/>
              </w:rPr>
            </w:pPr>
          </w:p>
        </w:tc>
        <w:tc>
          <w:tcPr>
            <w:tcW w:w="1417" w:type="dxa"/>
            <w:shd w:val="clear" w:color="auto" w:fill="auto"/>
            <w:vAlign w:val="center"/>
          </w:tcPr>
          <w:p w:rsidR="00C771E1" w:rsidRPr="00DE475B" w:rsidRDefault="00C771E1" w:rsidP="0079015B">
            <w:pPr>
              <w:jc w:val="right"/>
              <w:rPr>
                <w:rFonts w:ascii="Arial" w:hAnsi="Arial" w:cs="Arial"/>
                <w:sz w:val="20"/>
                <w:szCs w:val="20"/>
              </w:rPr>
            </w:pPr>
          </w:p>
        </w:tc>
        <w:tc>
          <w:tcPr>
            <w:tcW w:w="1276" w:type="dxa"/>
            <w:shd w:val="clear" w:color="auto" w:fill="auto"/>
            <w:vAlign w:val="center"/>
          </w:tcPr>
          <w:p w:rsidR="00C771E1" w:rsidRPr="00DE475B" w:rsidRDefault="00C771E1" w:rsidP="0079015B">
            <w:pPr>
              <w:jc w:val="right"/>
              <w:rPr>
                <w:rFonts w:ascii="Arial" w:hAnsi="Arial" w:cs="Arial"/>
                <w:sz w:val="20"/>
                <w:szCs w:val="20"/>
              </w:rPr>
            </w:pPr>
          </w:p>
        </w:tc>
        <w:tc>
          <w:tcPr>
            <w:tcW w:w="1134" w:type="dxa"/>
            <w:shd w:val="clear" w:color="auto" w:fill="auto"/>
            <w:vAlign w:val="center"/>
          </w:tcPr>
          <w:p w:rsidR="00C771E1" w:rsidRPr="00DE475B" w:rsidRDefault="00C771E1" w:rsidP="0079015B">
            <w:pPr>
              <w:jc w:val="right"/>
              <w:rPr>
                <w:rFonts w:ascii="Arial" w:hAnsi="Arial" w:cs="Arial"/>
                <w:sz w:val="20"/>
                <w:szCs w:val="20"/>
              </w:rPr>
            </w:pP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sz w:val="20"/>
                <w:szCs w:val="20"/>
              </w:rPr>
            </w:pPr>
            <w:r w:rsidRPr="00DE475B">
              <w:rPr>
                <w:rFonts w:ascii="Arial" w:hAnsi="Arial" w:cs="Arial"/>
                <w:sz w:val="20"/>
                <w:szCs w:val="20"/>
              </w:rPr>
              <w:t>Employee expenses</w:t>
            </w:r>
          </w:p>
        </w:tc>
        <w:tc>
          <w:tcPr>
            <w:tcW w:w="1560" w:type="dxa"/>
            <w:shd w:val="clear" w:color="auto" w:fill="auto"/>
            <w:vAlign w:val="bottom"/>
          </w:tcPr>
          <w:p w:rsidR="00C771E1" w:rsidRPr="00DE475B" w:rsidRDefault="00C771E1" w:rsidP="000557E9">
            <w:pPr>
              <w:jc w:val="center"/>
              <w:rPr>
                <w:rFonts w:ascii="Arial" w:hAnsi="Arial" w:cs="Arial"/>
                <w:sz w:val="20"/>
                <w:szCs w:val="20"/>
              </w:rPr>
            </w:pPr>
          </w:p>
        </w:tc>
        <w:tc>
          <w:tcPr>
            <w:tcW w:w="1417"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(27,676)</w:t>
            </w:r>
          </w:p>
        </w:tc>
        <w:tc>
          <w:tcPr>
            <w:tcW w:w="1276"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(28,085)</w:t>
            </w:r>
          </w:p>
        </w:tc>
        <w:tc>
          <w:tcPr>
            <w:tcW w:w="1134"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410</w:t>
            </w: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sz w:val="20"/>
                <w:szCs w:val="20"/>
              </w:rPr>
            </w:pPr>
            <w:r w:rsidRPr="00DE475B">
              <w:rPr>
                <w:rFonts w:ascii="Arial" w:hAnsi="Arial" w:cs="Arial"/>
                <w:sz w:val="20"/>
                <w:szCs w:val="20"/>
              </w:rPr>
              <w:t>Supplies and services</w:t>
            </w:r>
          </w:p>
        </w:tc>
        <w:tc>
          <w:tcPr>
            <w:tcW w:w="1560" w:type="dxa"/>
            <w:shd w:val="clear" w:color="auto" w:fill="auto"/>
            <w:vAlign w:val="bottom"/>
          </w:tcPr>
          <w:p w:rsidR="00C771E1" w:rsidRPr="00DE475B" w:rsidRDefault="00C771E1" w:rsidP="000557E9">
            <w:pPr>
              <w:jc w:val="center"/>
              <w:rPr>
                <w:rFonts w:ascii="Arial" w:hAnsi="Arial" w:cs="Arial"/>
                <w:sz w:val="20"/>
                <w:szCs w:val="20"/>
              </w:rPr>
            </w:pPr>
          </w:p>
        </w:tc>
        <w:tc>
          <w:tcPr>
            <w:tcW w:w="1417"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(14,401)</w:t>
            </w:r>
          </w:p>
        </w:tc>
        <w:tc>
          <w:tcPr>
            <w:tcW w:w="1276"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(15,323)</w:t>
            </w:r>
          </w:p>
        </w:tc>
        <w:tc>
          <w:tcPr>
            <w:tcW w:w="1134"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922</w:t>
            </w: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sz w:val="20"/>
                <w:szCs w:val="20"/>
              </w:rPr>
            </w:pPr>
            <w:r w:rsidRPr="00DE475B">
              <w:rPr>
                <w:rFonts w:ascii="Arial" w:hAnsi="Arial" w:cs="Arial"/>
                <w:sz w:val="20"/>
                <w:szCs w:val="20"/>
              </w:rPr>
              <w:t>Grants and subsidies</w:t>
            </w:r>
          </w:p>
        </w:tc>
        <w:tc>
          <w:tcPr>
            <w:tcW w:w="1560" w:type="dxa"/>
            <w:shd w:val="clear" w:color="auto" w:fill="auto"/>
            <w:vAlign w:val="bottom"/>
          </w:tcPr>
          <w:p w:rsidR="00C771E1" w:rsidRPr="00DE475B" w:rsidRDefault="00C771E1" w:rsidP="000557E9">
            <w:pPr>
              <w:jc w:val="center"/>
              <w:rPr>
                <w:rFonts w:ascii="Arial" w:hAnsi="Arial" w:cs="Arial"/>
                <w:sz w:val="20"/>
                <w:szCs w:val="20"/>
              </w:rPr>
            </w:pPr>
          </w:p>
        </w:tc>
        <w:tc>
          <w:tcPr>
            <w:tcW w:w="1417"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(25,017)</w:t>
            </w:r>
          </w:p>
        </w:tc>
        <w:tc>
          <w:tcPr>
            <w:tcW w:w="1276"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(24,736)</w:t>
            </w:r>
          </w:p>
        </w:tc>
        <w:tc>
          <w:tcPr>
            <w:tcW w:w="1134"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(281)</w:t>
            </w: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sz w:val="20"/>
                <w:szCs w:val="20"/>
              </w:rPr>
            </w:pPr>
            <w:r w:rsidRPr="00DE475B">
              <w:rPr>
                <w:rFonts w:ascii="Arial" w:hAnsi="Arial" w:cs="Arial"/>
                <w:sz w:val="20"/>
                <w:szCs w:val="20"/>
              </w:rPr>
              <w:t>GST paid to suppliers</w:t>
            </w:r>
          </w:p>
        </w:tc>
        <w:tc>
          <w:tcPr>
            <w:tcW w:w="1560" w:type="dxa"/>
            <w:shd w:val="clear" w:color="auto" w:fill="auto"/>
            <w:vAlign w:val="bottom"/>
          </w:tcPr>
          <w:p w:rsidR="00C771E1" w:rsidRPr="00DE475B" w:rsidRDefault="00C771E1" w:rsidP="000557E9">
            <w:pPr>
              <w:jc w:val="center"/>
              <w:rPr>
                <w:rFonts w:ascii="Arial" w:hAnsi="Arial" w:cs="Arial"/>
                <w:sz w:val="20"/>
                <w:szCs w:val="20"/>
              </w:rPr>
            </w:pPr>
          </w:p>
        </w:tc>
        <w:tc>
          <w:tcPr>
            <w:tcW w:w="1417"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(2,675)</w:t>
            </w:r>
          </w:p>
        </w:tc>
        <w:tc>
          <w:tcPr>
            <w:tcW w:w="1276"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w:t>
            </w:r>
          </w:p>
        </w:tc>
        <w:tc>
          <w:tcPr>
            <w:tcW w:w="1134"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(2,675)</w:t>
            </w: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sz w:val="20"/>
                <w:szCs w:val="20"/>
              </w:rPr>
            </w:pPr>
            <w:r w:rsidRPr="00DE475B">
              <w:rPr>
                <w:rFonts w:ascii="Arial" w:hAnsi="Arial" w:cs="Arial"/>
                <w:sz w:val="20"/>
                <w:szCs w:val="20"/>
              </w:rPr>
              <w:t xml:space="preserve">GST remitted to </w:t>
            </w:r>
            <w:proofErr w:type="spellStart"/>
            <w:r w:rsidRPr="00DE475B">
              <w:rPr>
                <w:rFonts w:ascii="Arial" w:hAnsi="Arial" w:cs="Arial"/>
                <w:sz w:val="20"/>
                <w:szCs w:val="20"/>
              </w:rPr>
              <w:t>ATO</w:t>
            </w:r>
            <w:proofErr w:type="spellEnd"/>
          </w:p>
        </w:tc>
        <w:tc>
          <w:tcPr>
            <w:tcW w:w="1560" w:type="dxa"/>
            <w:shd w:val="clear" w:color="auto" w:fill="auto"/>
            <w:vAlign w:val="bottom"/>
          </w:tcPr>
          <w:p w:rsidR="00C771E1" w:rsidRPr="00DE475B" w:rsidRDefault="00C771E1" w:rsidP="000557E9">
            <w:pPr>
              <w:jc w:val="center"/>
              <w:rPr>
                <w:rFonts w:ascii="Arial" w:hAnsi="Arial" w:cs="Arial"/>
                <w:sz w:val="20"/>
                <w:szCs w:val="20"/>
              </w:rPr>
            </w:pPr>
          </w:p>
        </w:tc>
        <w:tc>
          <w:tcPr>
            <w:tcW w:w="1417"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(1,820)</w:t>
            </w:r>
          </w:p>
        </w:tc>
        <w:tc>
          <w:tcPr>
            <w:tcW w:w="1276"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w:t>
            </w:r>
          </w:p>
        </w:tc>
        <w:tc>
          <w:tcPr>
            <w:tcW w:w="1134" w:type="dxa"/>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(1,820)</w:t>
            </w: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sz w:val="20"/>
                <w:szCs w:val="20"/>
              </w:rPr>
            </w:pPr>
            <w:r w:rsidRPr="00DE475B">
              <w:rPr>
                <w:rFonts w:ascii="Arial" w:hAnsi="Arial" w:cs="Arial"/>
                <w:sz w:val="20"/>
                <w:szCs w:val="20"/>
              </w:rPr>
              <w:t>Other</w:t>
            </w:r>
            <w:r w:rsidRPr="00DE475B">
              <w:rPr>
                <w:rFonts w:ascii="Arial" w:hAnsi="Arial" w:cs="Arial"/>
                <w:color w:val="FFFFFF"/>
                <w:sz w:val="20"/>
                <w:szCs w:val="20"/>
              </w:rPr>
              <w:t xml:space="preserve"> </w:t>
            </w:r>
          </w:p>
        </w:tc>
        <w:tc>
          <w:tcPr>
            <w:tcW w:w="1560" w:type="dxa"/>
            <w:shd w:val="clear" w:color="auto" w:fill="auto"/>
            <w:vAlign w:val="bottom"/>
          </w:tcPr>
          <w:p w:rsidR="00C771E1" w:rsidRPr="00DE475B" w:rsidRDefault="00C771E1" w:rsidP="000557E9">
            <w:pPr>
              <w:jc w:val="center"/>
              <w:rPr>
                <w:rFonts w:ascii="Arial" w:hAnsi="Arial" w:cs="Arial"/>
                <w:sz w:val="20"/>
                <w:szCs w:val="20"/>
              </w:rPr>
            </w:pPr>
          </w:p>
        </w:tc>
        <w:tc>
          <w:tcPr>
            <w:tcW w:w="1417" w:type="dxa"/>
            <w:tcBorders>
              <w:bottom w:val="single" w:sz="8" w:space="0" w:color="000000"/>
            </w:tcBorders>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(365)</w:t>
            </w:r>
          </w:p>
        </w:tc>
        <w:tc>
          <w:tcPr>
            <w:tcW w:w="1276" w:type="dxa"/>
            <w:tcBorders>
              <w:bottom w:val="single" w:sz="8" w:space="0" w:color="000000"/>
            </w:tcBorders>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(929)</w:t>
            </w:r>
          </w:p>
        </w:tc>
        <w:tc>
          <w:tcPr>
            <w:tcW w:w="1134" w:type="dxa"/>
            <w:tcBorders>
              <w:bottom w:val="single" w:sz="8" w:space="0" w:color="000000"/>
            </w:tcBorders>
            <w:shd w:val="clear" w:color="auto" w:fill="auto"/>
            <w:vAlign w:val="center"/>
          </w:tcPr>
          <w:p w:rsidR="00C771E1" w:rsidRPr="00DE475B" w:rsidRDefault="004D42DD" w:rsidP="0079015B">
            <w:pPr>
              <w:jc w:val="right"/>
              <w:rPr>
                <w:rFonts w:ascii="Arial" w:hAnsi="Arial" w:cs="Arial"/>
                <w:sz w:val="20"/>
                <w:szCs w:val="20"/>
              </w:rPr>
            </w:pPr>
            <w:r>
              <w:rPr>
                <w:rFonts w:ascii="Arial" w:hAnsi="Arial" w:cs="Arial"/>
                <w:sz w:val="20"/>
                <w:szCs w:val="20"/>
              </w:rPr>
              <w:t>564</w:t>
            </w:r>
          </w:p>
        </w:tc>
      </w:tr>
      <w:tr w:rsidR="00C771E1" w:rsidRPr="00DE475B" w:rsidTr="00C771E1">
        <w:trPr>
          <w:trHeight w:val="315"/>
        </w:trPr>
        <w:tc>
          <w:tcPr>
            <w:tcW w:w="4962" w:type="dxa"/>
            <w:gridSpan w:val="2"/>
            <w:shd w:val="clear" w:color="auto" w:fill="auto"/>
            <w:vAlign w:val="bottom"/>
          </w:tcPr>
          <w:p w:rsidR="00C771E1" w:rsidRPr="00DE475B" w:rsidRDefault="00C771E1" w:rsidP="00647AC7">
            <w:pPr>
              <w:rPr>
                <w:rFonts w:ascii="Arial" w:hAnsi="Arial" w:cs="Arial"/>
                <w:sz w:val="20"/>
                <w:szCs w:val="20"/>
              </w:rPr>
            </w:pPr>
            <w:r w:rsidRPr="00DE475B">
              <w:rPr>
                <w:rFonts w:ascii="Arial" w:hAnsi="Arial" w:cs="Arial"/>
                <w:b/>
                <w:sz w:val="20"/>
                <w:szCs w:val="20"/>
              </w:rPr>
              <w:t>Net cash provided used by operating activities</w:t>
            </w:r>
          </w:p>
        </w:tc>
        <w:tc>
          <w:tcPr>
            <w:tcW w:w="1417" w:type="dxa"/>
            <w:tcBorders>
              <w:top w:val="single" w:sz="8" w:space="0" w:color="000000"/>
              <w:bottom w:val="single" w:sz="12" w:space="0" w:color="000000"/>
            </w:tcBorders>
            <w:shd w:val="clear" w:color="auto" w:fill="auto"/>
            <w:vAlign w:val="center"/>
          </w:tcPr>
          <w:p w:rsidR="00C771E1" w:rsidRPr="00DE475B" w:rsidRDefault="004D42DD" w:rsidP="0079015B">
            <w:pPr>
              <w:jc w:val="right"/>
              <w:rPr>
                <w:rFonts w:ascii="Arial" w:hAnsi="Arial" w:cs="Arial"/>
                <w:b/>
                <w:sz w:val="20"/>
                <w:szCs w:val="20"/>
              </w:rPr>
            </w:pPr>
            <w:r>
              <w:rPr>
                <w:rFonts w:ascii="Arial" w:hAnsi="Arial" w:cs="Arial"/>
                <w:b/>
                <w:sz w:val="20"/>
                <w:szCs w:val="20"/>
              </w:rPr>
              <w:t>3,208</w:t>
            </w:r>
          </w:p>
        </w:tc>
        <w:tc>
          <w:tcPr>
            <w:tcW w:w="1276" w:type="dxa"/>
            <w:tcBorders>
              <w:top w:val="single" w:sz="8" w:space="0" w:color="000000"/>
              <w:bottom w:val="single" w:sz="12" w:space="0" w:color="000000"/>
            </w:tcBorders>
            <w:shd w:val="clear" w:color="auto" w:fill="auto"/>
            <w:vAlign w:val="center"/>
          </w:tcPr>
          <w:p w:rsidR="00C771E1" w:rsidRPr="00DE475B" w:rsidRDefault="004D42DD" w:rsidP="00647AC7">
            <w:pPr>
              <w:jc w:val="right"/>
              <w:rPr>
                <w:rFonts w:ascii="Arial" w:hAnsi="Arial" w:cs="Arial"/>
                <w:b/>
                <w:sz w:val="20"/>
                <w:szCs w:val="20"/>
              </w:rPr>
            </w:pPr>
            <w:r>
              <w:rPr>
                <w:rFonts w:ascii="Arial" w:hAnsi="Arial" w:cs="Arial"/>
                <w:b/>
                <w:sz w:val="20"/>
                <w:szCs w:val="20"/>
              </w:rPr>
              <w:t>505</w:t>
            </w:r>
          </w:p>
        </w:tc>
        <w:tc>
          <w:tcPr>
            <w:tcW w:w="1134" w:type="dxa"/>
            <w:tcBorders>
              <w:top w:val="single" w:sz="8" w:space="0" w:color="000000"/>
              <w:bottom w:val="single" w:sz="12" w:space="0" w:color="000000"/>
            </w:tcBorders>
            <w:shd w:val="clear" w:color="auto" w:fill="auto"/>
            <w:vAlign w:val="center"/>
          </w:tcPr>
          <w:p w:rsidR="00C771E1" w:rsidRPr="00DE475B" w:rsidRDefault="004D42DD" w:rsidP="0079015B">
            <w:pPr>
              <w:jc w:val="right"/>
              <w:rPr>
                <w:rFonts w:ascii="Arial" w:hAnsi="Arial" w:cs="Arial"/>
                <w:b/>
                <w:sz w:val="20"/>
                <w:szCs w:val="20"/>
              </w:rPr>
            </w:pPr>
            <w:r>
              <w:rPr>
                <w:rFonts w:ascii="Arial" w:hAnsi="Arial" w:cs="Arial"/>
                <w:b/>
                <w:sz w:val="20"/>
                <w:szCs w:val="20"/>
              </w:rPr>
              <w:t>2,703</w:t>
            </w:r>
          </w:p>
        </w:tc>
      </w:tr>
      <w:tr w:rsidR="00C771E1" w:rsidRPr="00DE475B" w:rsidTr="00C771E1">
        <w:trPr>
          <w:trHeight w:val="147"/>
        </w:trPr>
        <w:tc>
          <w:tcPr>
            <w:tcW w:w="3402" w:type="dxa"/>
            <w:shd w:val="clear" w:color="auto" w:fill="auto"/>
            <w:vAlign w:val="bottom"/>
          </w:tcPr>
          <w:p w:rsidR="00C771E1" w:rsidRPr="005C1B09" w:rsidRDefault="00C771E1" w:rsidP="000557E9">
            <w:pPr>
              <w:rPr>
                <w:rFonts w:ascii="Arial" w:hAnsi="Arial" w:cs="Arial"/>
                <w:sz w:val="16"/>
                <w:szCs w:val="16"/>
              </w:rPr>
            </w:pPr>
          </w:p>
        </w:tc>
        <w:tc>
          <w:tcPr>
            <w:tcW w:w="1560" w:type="dxa"/>
            <w:shd w:val="clear" w:color="auto" w:fill="auto"/>
            <w:vAlign w:val="bottom"/>
          </w:tcPr>
          <w:p w:rsidR="00C771E1" w:rsidRPr="005C1B09" w:rsidRDefault="00C771E1" w:rsidP="000557E9">
            <w:pPr>
              <w:jc w:val="center"/>
              <w:rPr>
                <w:rFonts w:ascii="Arial" w:hAnsi="Arial" w:cs="Arial"/>
                <w:sz w:val="16"/>
                <w:szCs w:val="16"/>
              </w:rPr>
            </w:pPr>
          </w:p>
        </w:tc>
        <w:tc>
          <w:tcPr>
            <w:tcW w:w="1417" w:type="dxa"/>
            <w:shd w:val="clear" w:color="auto" w:fill="auto"/>
            <w:vAlign w:val="bottom"/>
          </w:tcPr>
          <w:p w:rsidR="00C771E1" w:rsidRPr="005C1B09" w:rsidRDefault="00C771E1" w:rsidP="000557E9">
            <w:pPr>
              <w:jc w:val="right"/>
              <w:rPr>
                <w:rFonts w:ascii="Arial" w:hAnsi="Arial" w:cs="Arial"/>
                <w:sz w:val="16"/>
                <w:szCs w:val="16"/>
              </w:rPr>
            </w:pPr>
          </w:p>
        </w:tc>
        <w:tc>
          <w:tcPr>
            <w:tcW w:w="1276" w:type="dxa"/>
            <w:tcBorders>
              <w:top w:val="single" w:sz="12" w:space="0" w:color="000000"/>
            </w:tcBorders>
            <w:shd w:val="clear" w:color="auto" w:fill="auto"/>
            <w:vAlign w:val="bottom"/>
          </w:tcPr>
          <w:p w:rsidR="00C771E1" w:rsidRPr="005C1B09" w:rsidRDefault="00C771E1" w:rsidP="000557E9">
            <w:pPr>
              <w:jc w:val="right"/>
              <w:rPr>
                <w:rFonts w:ascii="Arial" w:hAnsi="Arial" w:cs="Arial"/>
                <w:sz w:val="16"/>
                <w:szCs w:val="16"/>
              </w:rPr>
            </w:pPr>
          </w:p>
        </w:tc>
        <w:tc>
          <w:tcPr>
            <w:tcW w:w="1134" w:type="dxa"/>
            <w:tcBorders>
              <w:top w:val="single" w:sz="12" w:space="0" w:color="000000"/>
            </w:tcBorders>
            <w:shd w:val="clear" w:color="auto" w:fill="auto"/>
            <w:vAlign w:val="bottom"/>
          </w:tcPr>
          <w:p w:rsidR="00C771E1" w:rsidRPr="005C1B09" w:rsidRDefault="00C771E1" w:rsidP="000557E9">
            <w:pPr>
              <w:jc w:val="right"/>
              <w:rPr>
                <w:rFonts w:ascii="Arial" w:hAnsi="Arial" w:cs="Arial"/>
                <w:sz w:val="16"/>
                <w:szCs w:val="16"/>
              </w:rPr>
            </w:pPr>
          </w:p>
        </w:tc>
      </w:tr>
      <w:tr w:rsidR="00C771E1" w:rsidRPr="00DE475B" w:rsidTr="00C771E1">
        <w:trPr>
          <w:trHeight w:val="284"/>
        </w:trPr>
        <w:tc>
          <w:tcPr>
            <w:tcW w:w="4962" w:type="dxa"/>
            <w:gridSpan w:val="2"/>
            <w:shd w:val="clear" w:color="auto" w:fill="auto"/>
            <w:vAlign w:val="center"/>
          </w:tcPr>
          <w:p w:rsidR="00C771E1" w:rsidRPr="00DE475B" w:rsidRDefault="00C771E1" w:rsidP="000557E9">
            <w:pPr>
              <w:snapToGrid w:val="0"/>
              <w:rPr>
                <w:rFonts w:ascii="Arial" w:hAnsi="Arial" w:cs="Arial"/>
                <w:b/>
                <w:bCs/>
                <w:sz w:val="20"/>
                <w:szCs w:val="20"/>
              </w:rPr>
            </w:pPr>
            <w:r w:rsidRPr="00DE475B">
              <w:rPr>
                <w:rFonts w:ascii="Arial" w:hAnsi="Arial" w:cs="Arial"/>
                <w:b/>
                <w:bCs/>
                <w:sz w:val="20"/>
                <w:szCs w:val="20"/>
              </w:rPr>
              <w:t>Cash flows from investing activities</w:t>
            </w:r>
          </w:p>
        </w:tc>
        <w:tc>
          <w:tcPr>
            <w:tcW w:w="1417" w:type="dxa"/>
            <w:shd w:val="clear" w:color="auto" w:fill="auto"/>
            <w:vAlign w:val="bottom"/>
          </w:tcPr>
          <w:p w:rsidR="00C771E1" w:rsidRPr="00DE475B" w:rsidRDefault="00C771E1" w:rsidP="000557E9">
            <w:pPr>
              <w:jc w:val="right"/>
              <w:rPr>
                <w:rFonts w:ascii="Arial" w:hAnsi="Arial" w:cs="Arial"/>
                <w:b/>
                <w:bCs/>
                <w:sz w:val="20"/>
                <w:szCs w:val="20"/>
              </w:rPr>
            </w:pPr>
          </w:p>
        </w:tc>
        <w:tc>
          <w:tcPr>
            <w:tcW w:w="1276" w:type="dxa"/>
            <w:shd w:val="clear" w:color="auto" w:fill="auto"/>
            <w:vAlign w:val="bottom"/>
          </w:tcPr>
          <w:p w:rsidR="00C771E1" w:rsidRPr="00DE475B" w:rsidRDefault="00C771E1" w:rsidP="000557E9">
            <w:pPr>
              <w:jc w:val="right"/>
              <w:rPr>
                <w:rFonts w:ascii="Arial" w:hAnsi="Arial" w:cs="Arial"/>
                <w:b/>
                <w:bCs/>
                <w:sz w:val="20"/>
                <w:szCs w:val="20"/>
              </w:rPr>
            </w:pPr>
          </w:p>
        </w:tc>
        <w:tc>
          <w:tcPr>
            <w:tcW w:w="1134" w:type="dxa"/>
            <w:shd w:val="clear" w:color="auto" w:fill="auto"/>
            <w:vAlign w:val="bottom"/>
          </w:tcPr>
          <w:p w:rsidR="00C771E1" w:rsidRPr="00DE475B" w:rsidRDefault="00C771E1" w:rsidP="000557E9">
            <w:pPr>
              <w:jc w:val="right"/>
              <w:rPr>
                <w:rFonts w:ascii="Arial" w:hAnsi="Arial" w:cs="Arial"/>
                <w:b/>
                <w:bCs/>
                <w:sz w:val="20"/>
                <w:szCs w:val="20"/>
              </w:rPr>
            </w:pP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i/>
                <w:iCs/>
                <w:sz w:val="20"/>
                <w:szCs w:val="20"/>
              </w:rPr>
            </w:pPr>
            <w:r w:rsidRPr="00DE475B">
              <w:rPr>
                <w:rFonts w:ascii="Arial" w:hAnsi="Arial" w:cs="Arial"/>
                <w:i/>
                <w:iCs/>
                <w:sz w:val="20"/>
                <w:szCs w:val="20"/>
              </w:rPr>
              <w:t>Inflows:</w:t>
            </w:r>
          </w:p>
        </w:tc>
        <w:tc>
          <w:tcPr>
            <w:tcW w:w="1560" w:type="dxa"/>
            <w:shd w:val="clear" w:color="auto" w:fill="auto"/>
            <w:vAlign w:val="bottom"/>
          </w:tcPr>
          <w:p w:rsidR="00C771E1" w:rsidRPr="00DE475B" w:rsidRDefault="00C771E1" w:rsidP="000557E9">
            <w:pPr>
              <w:snapToGrid w:val="0"/>
              <w:jc w:val="center"/>
              <w:rPr>
                <w:rFonts w:ascii="Arial" w:hAnsi="Arial" w:cs="Arial"/>
                <w:b/>
                <w:bCs/>
                <w:sz w:val="20"/>
                <w:szCs w:val="20"/>
              </w:rPr>
            </w:pPr>
          </w:p>
        </w:tc>
        <w:tc>
          <w:tcPr>
            <w:tcW w:w="1417" w:type="dxa"/>
            <w:shd w:val="clear" w:color="auto" w:fill="auto"/>
            <w:vAlign w:val="bottom"/>
          </w:tcPr>
          <w:p w:rsidR="00C771E1" w:rsidRPr="00DE475B" w:rsidRDefault="00C771E1" w:rsidP="000557E9">
            <w:pPr>
              <w:jc w:val="right"/>
              <w:rPr>
                <w:rFonts w:ascii="Arial" w:hAnsi="Arial" w:cs="Arial"/>
                <w:b/>
                <w:bCs/>
                <w:sz w:val="20"/>
                <w:szCs w:val="20"/>
              </w:rPr>
            </w:pPr>
          </w:p>
        </w:tc>
        <w:tc>
          <w:tcPr>
            <w:tcW w:w="1276" w:type="dxa"/>
            <w:shd w:val="clear" w:color="auto" w:fill="auto"/>
            <w:vAlign w:val="bottom"/>
          </w:tcPr>
          <w:p w:rsidR="00C771E1" w:rsidRPr="00DE475B" w:rsidRDefault="00C771E1" w:rsidP="000557E9">
            <w:pPr>
              <w:jc w:val="right"/>
              <w:rPr>
                <w:rFonts w:ascii="Arial" w:hAnsi="Arial" w:cs="Arial"/>
                <w:b/>
                <w:bCs/>
                <w:sz w:val="20"/>
                <w:szCs w:val="20"/>
              </w:rPr>
            </w:pPr>
          </w:p>
        </w:tc>
        <w:tc>
          <w:tcPr>
            <w:tcW w:w="1134" w:type="dxa"/>
            <w:shd w:val="clear" w:color="auto" w:fill="auto"/>
            <w:vAlign w:val="bottom"/>
          </w:tcPr>
          <w:p w:rsidR="00C771E1" w:rsidRPr="00DE475B" w:rsidRDefault="00C771E1" w:rsidP="000557E9">
            <w:pPr>
              <w:jc w:val="right"/>
              <w:rPr>
                <w:rFonts w:ascii="Arial" w:hAnsi="Arial" w:cs="Arial"/>
                <w:b/>
                <w:bCs/>
                <w:sz w:val="20"/>
                <w:szCs w:val="20"/>
              </w:rPr>
            </w:pPr>
          </w:p>
        </w:tc>
      </w:tr>
      <w:tr w:rsidR="00C771E1" w:rsidRPr="00DE475B" w:rsidTr="00C771E1">
        <w:trPr>
          <w:trHeight w:val="284"/>
        </w:trPr>
        <w:tc>
          <w:tcPr>
            <w:tcW w:w="4962" w:type="dxa"/>
            <w:gridSpan w:val="2"/>
            <w:shd w:val="clear" w:color="auto" w:fill="auto"/>
            <w:vAlign w:val="bottom"/>
          </w:tcPr>
          <w:p w:rsidR="00C771E1" w:rsidRPr="00DE475B" w:rsidRDefault="00C771E1" w:rsidP="00C771E1">
            <w:pPr>
              <w:rPr>
                <w:rFonts w:ascii="Arial" w:hAnsi="Arial" w:cs="Arial"/>
                <w:b/>
                <w:bCs/>
                <w:sz w:val="20"/>
                <w:szCs w:val="20"/>
              </w:rPr>
            </w:pPr>
            <w:r w:rsidRPr="00DE475B">
              <w:rPr>
                <w:rFonts w:ascii="Arial" w:hAnsi="Arial" w:cs="Arial"/>
                <w:sz w:val="20"/>
                <w:szCs w:val="20"/>
              </w:rPr>
              <w:t xml:space="preserve">Sales </w:t>
            </w:r>
            <w:r>
              <w:rPr>
                <w:rFonts w:ascii="Arial" w:hAnsi="Arial" w:cs="Arial"/>
                <w:sz w:val="20"/>
                <w:szCs w:val="20"/>
              </w:rPr>
              <w:t xml:space="preserve">non-financial </w:t>
            </w:r>
            <w:r w:rsidR="005C1B09">
              <w:rPr>
                <w:rFonts w:ascii="Arial" w:hAnsi="Arial" w:cs="Arial"/>
                <w:sz w:val="20"/>
                <w:szCs w:val="20"/>
              </w:rPr>
              <w:t>assets</w:t>
            </w:r>
          </w:p>
        </w:tc>
        <w:tc>
          <w:tcPr>
            <w:tcW w:w="1417" w:type="dxa"/>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w:t>
            </w:r>
          </w:p>
        </w:tc>
        <w:tc>
          <w:tcPr>
            <w:tcW w:w="1276" w:type="dxa"/>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(37)</w:t>
            </w:r>
          </w:p>
        </w:tc>
        <w:tc>
          <w:tcPr>
            <w:tcW w:w="1134" w:type="dxa"/>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37</w:t>
            </w: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i/>
                <w:iCs/>
                <w:sz w:val="20"/>
                <w:szCs w:val="20"/>
              </w:rPr>
            </w:pPr>
            <w:r w:rsidRPr="00DE475B">
              <w:rPr>
                <w:rFonts w:ascii="Arial" w:hAnsi="Arial" w:cs="Arial"/>
                <w:i/>
                <w:iCs/>
                <w:sz w:val="20"/>
                <w:szCs w:val="20"/>
              </w:rPr>
              <w:t>Outflows:</w:t>
            </w:r>
          </w:p>
        </w:tc>
        <w:tc>
          <w:tcPr>
            <w:tcW w:w="1560" w:type="dxa"/>
            <w:shd w:val="clear" w:color="auto" w:fill="auto"/>
            <w:vAlign w:val="bottom"/>
          </w:tcPr>
          <w:p w:rsidR="00C771E1" w:rsidRPr="00DE475B" w:rsidRDefault="00C771E1" w:rsidP="000557E9">
            <w:pPr>
              <w:jc w:val="center"/>
              <w:rPr>
                <w:rFonts w:ascii="Arial" w:hAnsi="Arial" w:cs="Arial"/>
                <w:b/>
                <w:bCs/>
                <w:sz w:val="20"/>
                <w:szCs w:val="20"/>
              </w:rPr>
            </w:pPr>
          </w:p>
        </w:tc>
        <w:tc>
          <w:tcPr>
            <w:tcW w:w="1417" w:type="dxa"/>
            <w:shd w:val="clear" w:color="auto" w:fill="auto"/>
            <w:vAlign w:val="center"/>
          </w:tcPr>
          <w:p w:rsidR="00C771E1" w:rsidRPr="00DE475B" w:rsidRDefault="00C771E1" w:rsidP="000017CF">
            <w:pPr>
              <w:jc w:val="right"/>
              <w:rPr>
                <w:rFonts w:ascii="Arial" w:hAnsi="Arial" w:cs="Arial"/>
                <w:sz w:val="20"/>
                <w:szCs w:val="20"/>
              </w:rPr>
            </w:pPr>
          </w:p>
        </w:tc>
        <w:tc>
          <w:tcPr>
            <w:tcW w:w="1276" w:type="dxa"/>
            <w:shd w:val="clear" w:color="auto" w:fill="auto"/>
            <w:vAlign w:val="center"/>
          </w:tcPr>
          <w:p w:rsidR="00C771E1" w:rsidRPr="00DE475B" w:rsidRDefault="00C771E1" w:rsidP="000017CF">
            <w:pPr>
              <w:jc w:val="right"/>
              <w:rPr>
                <w:rFonts w:ascii="Arial" w:hAnsi="Arial" w:cs="Arial"/>
                <w:sz w:val="20"/>
                <w:szCs w:val="20"/>
              </w:rPr>
            </w:pPr>
          </w:p>
        </w:tc>
        <w:tc>
          <w:tcPr>
            <w:tcW w:w="1134" w:type="dxa"/>
            <w:shd w:val="clear" w:color="auto" w:fill="auto"/>
            <w:vAlign w:val="center"/>
          </w:tcPr>
          <w:p w:rsidR="00C771E1" w:rsidRPr="00DE475B" w:rsidRDefault="00C771E1" w:rsidP="000017CF">
            <w:pPr>
              <w:jc w:val="right"/>
              <w:rPr>
                <w:rFonts w:ascii="Arial" w:hAnsi="Arial" w:cs="Arial"/>
                <w:sz w:val="20"/>
                <w:szCs w:val="20"/>
              </w:rPr>
            </w:pPr>
          </w:p>
        </w:tc>
      </w:tr>
      <w:tr w:rsidR="00C771E1" w:rsidRPr="00DE475B" w:rsidTr="00C771E1">
        <w:trPr>
          <w:trHeight w:val="284"/>
        </w:trPr>
        <w:tc>
          <w:tcPr>
            <w:tcW w:w="3402" w:type="dxa"/>
            <w:shd w:val="clear" w:color="auto" w:fill="auto"/>
            <w:vAlign w:val="bottom"/>
          </w:tcPr>
          <w:p w:rsidR="00C771E1" w:rsidRPr="00DE475B" w:rsidRDefault="00C771E1" w:rsidP="00C771E1">
            <w:pPr>
              <w:rPr>
                <w:rFonts w:ascii="Arial" w:hAnsi="Arial" w:cs="Arial"/>
                <w:sz w:val="20"/>
                <w:szCs w:val="20"/>
              </w:rPr>
            </w:pPr>
            <w:r w:rsidRPr="00DE475B">
              <w:rPr>
                <w:rFonts w:ascii="Arial" w:hAnsi="Arial" w:cs="Arial"/>
                <w:sz w:val="20"/>
                <w:szCs w:val="20"/>
              </w:rPr>
              <w:t>Payments for non</w:t>
            </w:r>
            <w:r>
              <w:rPr>
                <w:rFonts w:ascii="Arial" w:hAnsi="Arial" w:cs="Arial"/>
                <w:sz w:val="20"/>
                <w:szCs w:val="20"/>
              </w:rPr>
              <w:t>-</w:t>
            </w:r>
            <w:r w:rsidRPr="00DE475B">
              <w:rPr>
                <w:rFonts w:ascii="Arial" w:hAnsi="Arial" w:cs="Arial"/>
                <w:sz w:val="20"/>
                <w:szCs w:val="20"/>
              </w:rPr>
              <w:t>financial assets</w:t>
            </w:r>
          </w:p>
        </w:tc>
        <w:tc>
          <w:tcPr>
            <w:tcW w:w="1560" w:type="dxa"/>
            <w:shd w:val="clear" w:color="auto" w:fill="auto"/>
            <w:vAlign w:val="bottom"/>
          </w:tcPr>
          <w:p w:rsidR="00C771E1" w:rsidRPr="00DE475B" w:rsidRDefault="00C771E1" w:rsidP="000557E9">
            <w:pPr>
              <w:jc w:val="center"/>
              <w:rPr>
                <w:rFonts w:ascii="Arial" w:hAnsi="Arial" w:cs="Arial"/>
                <w:sz w:val="20"/>
                <w:szCs w:val="20"/>
              </w:rPr>
            </w:pPr>
          </w:p>
        </w:tc>
        <w:tc>
          <w:tcPr>
            <w:tcW w:w="1417" w:type="dxa"/>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w:t>
            </w:r>
          </w:p>
        </w:tc>
        <w:tc>
          <w:tcPr>
            <w:tcW w:w="1276" w:type="dxa"/>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(1,759)</w:t>
            </w:r>
          </w:p>
        </w:tc>
        <w:tc>
          <w:tcPr>
            <w:tcW w:w="1134" w:type="dxa"/>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1,759</w:t>
            </w: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sz w:val="20"/>
                <w:szCs w:val="20"/>
              </w:rPr>
            </w:pPr>
            <w:r w:rsidRPr="00DE475B">
              <w:rPr>
                <w:rFonts w:ascii="Arial" w:hAnsi="Arial" w:cs="Arial"/>
                <w:sz w:val="20"/>
                <w:szCs w:val="20"/>
              </w:rPr>
              <w:t>Payments for valuables</w:t>
            </w:r>
          </w:p>
        </w:tc>
        <w:tc>
          <w:tcPr>
            <w:tcW w:w="1560" w:type="dxa"/>
            <w:shd w:val="clear" w:color="auto" w:fill="auto"/>
            <w:vAlign w:val="center"/>
          </w:tcPr>
          <w:p w:rsidR="00C771E1" w:rsidRPr="00DE475B" w:rsidRDefault="00C771E1" w:rsidP="00EB6AF6">
            <w:pPr>
              <w:jc w:val="center"/>
              <w:rPr>
                <w:rFonts w:ascii="Arial" w:hAnsi="Arial" w:cs="Arial"/>
                <w:sz w:val="20"/>
                <w:szCs w:val="20"/>
              </w:rPr>
            </w:pPr>
          </w:p>
        </w:tc>
        <w:tc>
          <w:tcPr>
            <w:tcW w:w="1417" w:type="dxa"/>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(302)</w:t>
            </w:r>
          </w:p>
        </w:tc>
        <w:tc>
          <w:tcPr>
            <w:tcW w:w="1276" w:type="dxa"/>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w:t>
            </w:r>
          </w:p>
        </w:tc>
        <w:tc>
          <w:tcPr>
            <w:tcW w:w="1134" w:type="dxa"/>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(302)</w:t>
            </w:r>
          </w:p>
        </w:tc>
      </w:tr>
      <w:tr w:rsidR="00C771E1" w:rsidRPr="00DE475B" w:rsidTr="00C771E1">
        <w:trPr>
          <w:trHeight w:val="284"/>
        </w:trPr>
        <w:tc>
          <w:tcPr>
            <w:tcW w:w="3402" w:type="dxa"/>
            <w:shd w:val="clear" w:color="auto" w:fill="auto"/>
            <w:vAlign w:val="bottom"/>
          </w:tcPr>
          <w:p w:rsidR="00C771E1" w:rsidRPr="00DE475B" w:rsidRDefault="00C771E1" w:rsidP="000557E9">
            <w:pPr>
              <w:rPr>
                <w:rFonts w:ascii="Arial" w:hAnsi="Arial" w:cs="Arial"/>
                <w:sz w:val="20"/>
                <w:szCs w:val="20"/>
              </w:rPr>
            </w:pPr>
            <w:r w:rsidRPr="00DE475B">
              <w:rPr>
                <w:rFonts w:ascii="Arial" w:hAnsi="Arial" w:cs="Arial"/>
                <w:sz w:val="20"/>
                <w:szCs w:val="20"/>
              </w:rPr>
              <w:t>Payments for library collection</w:t>
            </w:r>
          </w:p>
        </w:tc>
        <w:tc>
          <w:tcPr>
            <w:tcW w:w="1560" w:type="dxa"/>
            <w:shd w:val="clear" w:color="auto" w:fill="auto"/>
            <w:vAlign w:val="center"/>
          </w:tcPr>
          <w:p w:rsidR="00C771E1" w:rsidRPr="00DE475B" w:rsidRDefault="00C771E1" w:rsidP="00EB6AF6">
            <w:pPr>
              <w:jc w:val="center"/>
              <w:rPr>
                <w:rFonts w:ascii="Arial" w:hAnsi="Arial" w:cs="Arial"/>
                <w:sz w:val="20"/>
                <w:szCs w:val="20"/>
              </w:rPr>
            </w:pPr>
          </w:p>
        </w:tc>
        <w:tc>
          <w:tcPr>
            <w:tcW w:w="1417" w:type="dxa"/>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(248)</w:t>
            </w:r>
          </w:p>
        </w:tc>
        <w:tc>
          <w:tcPr>
            <w:tcW w:w="1276" w:type="dxa"/>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w:t>
            </w:r>
          </w:p>
        </w:tc>
        <w:tc>
          <w:tcPr>
            <w:tcW w:w="1134" w:type="dxa"/>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(248)</w:t>
            </w:r>
          </w:p>
        </w:tc>
      </w:tr>
      <w:tr w:rsidR="00C771E1" w:rsidRPr="00DE475B" w:rsidTr="00C771E1">
        <w:trPr>
          <w:trHeight w:val="307"/>
        </w:trPr>
        <w:tc>
          <w:tcPr>
            <w:tcW w:w="4962" w:type="dxa"/>
            <w:gridSpan w:val="2"/>
            <w:shd w:val="clear" w:color="auto" w:fill="auto"/>
            <w:vAlign w:val="center"/>
          </w:tcPr>
          <w:p w:rsidR="00C771E1" w:rsidRPr="00DE475B" w:rsidRDefault="00C771E1" w:rsidP="00C771E1">
            <w:pPr>
              <w:rPr>
                <w:rFonts w:ascii="Arial" w:hAnsi="Arial" w:cs="Arial"/>
                <w:sz w:val="20"/>
                <w:szCs w:val="20"/>
              </w:rPr>
            </w:pPr>
            <w:r w:rsidRPr="00DE475B">
              <w:rPr>
                <w:rFonts w:ascii="Arial" w:hAnsi="Arial" w:cs="Arial"/>
                <w:sz w:val="20"/>
                <w:szCs w:val="20"/>
              </w:rPr>
              <w:t>Payments for property, plant and equipment</w:t>
            </w:r>
          </w:p>
        </w:tc>
        <w:tc>
          <w:tcPr>
            <w:tcW w:w="1417" w:type="dxa"/>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(162)</w:t>
            </w:r>
          </w:p>
        </w:tc>
        <w:tc>
          <w:tcPr>
            <w:tcW w:w="1276" w:type="dxa"/>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w:t>
            </w:r>
          </w:p>
        </w:tc>
        <w:tc>
          <w:tcPr>
            <w:tcW w:w="1134" w:type="dxa"/>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(162)</w:t>
            </w:r>
          </w:p>
        </w:tc>
      </w:tr>
      <w:tr w:rsidR="00C771E1" w:rsidRPr="00DE475B" w:rsidTr="00C771E1">
        <w:trPr>
          <w:trHeight w:val="284"/>
        </w:trPr>
        <w:tc>
          <w:tcPr>
            <w:tcW w:w="3402" w:type="dxa"/>
            <w:shd w:val="clear" w:color="auto" w:fill="auto"/>
            <w:vAlign w:val="center"/>
          </w:tcPr>
          <w:p w:rsidR="00C771E1" w:rsidRPr="00DE475B" w:rsidRDefault="00C771E1" w:rsidP="000557E9">
            <w:pPr>
              <w:rPr>
                <w:rFonts w:ascii="Arial" w:hAnsi="Arial" w:cs="Arial"/>
                <w:sz w:val="20"/>
                <w:szCs w:val="20"/>
              </w:rPr>
            </w:pPr>
            <w:r w:rsidRPr="00DE475B">
              <w:rPr>
                <w:rFonts w:ascii="Arial" w:hAnsi="Arial" w:cs="Arial"/>
                <w:sz w:val="20"/>
                <w:szCs w:val="20"/>
              </w:rPr>
              <w:t>Payments for intangibles</w:t>
            </w:r>
          </w:p>
        </w:tc>
        <w:tc>
          <w:tcPr>
            <w:tcW w:w="1560" w:type="dxa"/>
            <w:shd w:val="clear" w:color="auto" w:fill="auto"/>
            <w:vAlign w:val="center"/>
          </w:tcPr>
          <w:p w:rsidR="00C771E1" w:rsidRPr="00DE475B" w:rsidRDefault="00C771E1" w:rsidP="00EB6AF6">
            <w:pPr>
              <w:jc w:val="center"/>
              <w:rPr>
                <w:rFonts w:ascii="Arial" w:hAnsi="Arial" w:cs="Arial"/>
                <w:sz w:val="20"/>
                <w:szCs w:val="20"/>
              </w:rPr>
            </w:pPr>
          </w:p>
        </w:tc>
        <w:tc>
          <w:tcPr>
            <w:tcW w:w="1417" w:type="dxa"/>
            <w:tcBorders>
              <w:bottom w:val="single" w:sz="8" w:space="0" w:color="000000"/>
            </w:tcBorders>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(556)</w:t>
            </w:r>
          </w:p>
        </w:tc>
        <w:tc>
          <w:tcPr>
            <w:tcW w:w="1276" w:type="dxa"/>
            <w:tcBorders>
              <w:bottom w:val="single" w:sz="8" w:space="0" w:color="000000"/>
            </w:tcBorders>
            <w:shd w:val="clear" w:color="auto" w:fill="auto"/>
            <w:vAlign w:val="center"/>
          </w:tcPr>
          <w:p w:rsidR="00C771E1" w:rsidRPr="00DE475B" w:rsidRDefault="004D42DD" w:rsidP="00647AC7">
            <w:pPr>
              <w:jc w:val="right"/>
              <w:rPr>
                <w:rFonts w:ascii="Arial" w:hAnsi="Arial" w:cs="Arial"/>
                <w:sz w:val="20"/>
                <w:szCs w:val="20"/>
              </w:rPr>
            </w:pPr>
            <w:r>
              <w:rPr>
                <w:rFonts w:ascii="Arial" w:hAnsi="Arial" w:cs="Arial"/>
                <w:sz w:val="20"/>
                <w:szCs w:val="20"/>
              </w:rPr>
              <w:t>-</w:t>
            </w:r>
          </w:p>
        </w:tc>
        <w:tc>
          <w:tcPr>
            <w:tcW w:w="1134" w:type="dxa"/>
            <w:tcBorders>
              <w:bottom w:val="single" w:sz="8" w:space="0" w:color="000000"/>
            </w:tcBorders>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(556)</w:t>
            </w:r>
          </w:p>
        </w:tc>
      </w:tr>
      <w:tr w:rsidR="00C771E1" w:rsidRPr="00DE475B" w:rsidTr="005C1B09">
        <w:trPr>
          <w:trHeight w:val="267"/>
        </w:trPr>
        <w:tc>
          <w:tcPr>
            <w:tcW w:w="4962" w:type="dxa"/>
            <w:gridSpan w:val="2"/>
            <w:shd w:val="clear" w:color="auto" w:fill="auto"/>
            <w:vAlign w:val="bottom"/>
          </w:tcPr>
          <w:p w:rsidR="00C771E1" w:rsidRPr="00DE475B" w:rsidRDefault="00C771E1" w:rsidP="00C771E1">
            <w:pPr>
              <w:rPr>
                <w:rFonts w:ascii="Arial" w:hAnsi="Arial" w:cs="Arial"/>
                <w:b/>
                <w:bCs/>
                <w:sz w:val="20"/>
                <w:szCs w:val="20"/>
              </w:rPr>
            </w:pPr>
            <w:r w:rsidRPr="00DE475B">
              <w:rPr>
                <w:rFonts w:ascii="Arial" w:hAnsi="Arial" w:cs="Arial"/>
                <w:b/>
                <w:sz w:val="20"/>
                <w:szCs w:val="20"/>
              </w:rPr>
              <w:t>Net cash used in investing activities</w:t>
            </w:r>
          </w:p>
        </w:tc>
        <w:tc>
          <w:tcPr>
            <w:tcW w:w="1417" w:type="dxa"/>
            <w:tcBorders>
              <w:top w:val="single" w:sz="8" w:space="0" w:color="000000"/>
              <w:bottom w:val="single" w:sz="12" w:space="0" w:color="000000"/>
            </w:tcBorders>
            <w:shd w:val="clear" w:color="auto" w:fill="auto"/>
            <w:vAlign w:val="center"/>
          </w:tcPr>
          <w:p w:rsidR="00C771E1" w:rsidRPr="00DE475B" w:rsidRDefault="004D42DD" w:rsidP="000017CF">
            <w:pPr>
              <w:jc w:val="right"/>
              <w:rPr>
                <w:rFonts w:ascii="Arial" w:hAnsi="Arial" w:cs="Arial"/>
                <w:b/>
                <w:sz w:val="20"/>
                <w:szCs w:val="20"/>
              </w:rPr>
            </w:pPr>
            <w:r>
              <w:rPr>
                <w:rFonts w:ascii="Arial" w:hAnsi="Arial" w:cs="Arial"/>
                <w:b/>
                <w:sz w:val="20"/>
                <w:szCs w:val="20"/>
              </w:rPr>
              <w:t>(1,268)</w:t>
            </w:r>
          </w:p>
        </w:tc>
        <w:tc>
          <w:tcPr>
            <w:tcW w:w="1276" w:type="dxa"/>
            <w:tcBorders>
              <w:top w:val="single" w:sz="8" w:space="0" w:color="000000"/>
              <w:bottom w:val="single" w:sz="12" w:space="0" w:color="000000"/>
            </w:tcBorders>
            <w:shd w:val="clear" w:color="auto" w:fill="auto"/>
            <w:vAlign w:val="center"/>
          </w:tcPr>
          <w:p w:rsidR="00C771E1" w:rsidRPr="00DE475B" w:rsidRDefault="004D42DD" w:rsidP="000017CF">
            <w:pPr>
              <w:jc w:val="right"/>
              <w:rPr>
                <w:rFonts w:ascii="Arial" w:hAnsi="Arial" w:cs="Arial"/>
                <w:b/>
                <w:sz w:val="20"/>
                <w:szCs w:val="20"/>
              </w:rPr>
            </w:pPr>
            <w:r>
              <w:rPr>
                <w:rFonts w:ascii="Arial" w:hAnsi="Arial" w:cs="Arial"/>
                <w:b/>
                <w:sz w:val="20"/>
                <w:szCs w:val="20"/>
              </w:rPr>
              <w:t>(1,796)</w:t>
            </w:r>
          </w:p>
        </w:tc>
        <w:tc>
          <w:tcPr>
            <w:tcW w:w="1134" w:type="dxa"/>
            <w:tcBorders>
              <w:top w:val="single" w:sz="8" w:space="0" w:color="000000"/>
              <w:bottom w:val="single" w:sz="12" w:space="0" w:color="000000"/>
            </w:tcBorders>
            <w:shd w:val="clear" w:color="auto" w:fill="auto"/>
            <w:vAlign w:val="center"/>
          </w:tcPr>
          <w:p w:rsidR="00C771E1" w:rsidRPr="00DE475B" w:rsidRDefault="004D42DD" w:rsidP="000017CF">
            <w:pPr>
              <w:jc w:val="right"/>
              <w:rPr>
                <w:rFonts w:ascii="Arial" w:hAnsi="Arial" w:cs="Arial"/>
                <w:b/>
                <w:sz w:val="20"/>
                <w:szCs w:val="20"/>
              </w:rPr>
            </w:pPr>
            <w:r>
              <w:rPr>
                <w:rFonts w:ascii="Arial" w:hAnsi="Arial" w:cs="Arial"/>
                <w:b/>
                <w:sz w:val="20"/>
                <w:szCs w:val="20"/>
              </w:rPr>
              <w:t>528</w:t>
            </w:r>
          </w:p>
        </w:tc>
      </w:tr>
      <w:tr w:rsidR="00C771E1" w:rsidRPr="00DE475B" w:rsidTr="00C771E1">
        <w:trPr>
          <w:trHeight w:val="201"/>
        </w:trPr>
        <w:tc>
          <w:tcPr>
            <w:tcW w:w="3402" w:type="dxa"/>
            <w:shd w:val="clear" w:color="auto" w:fill="auto"/>
            <w:vAlign w:val="bottom"/>
          </w:tcPr>
          <w:p w:rsidR="00C771E1" w:rsidRPr="005C1B09" w:rsidRDefault="00C771E1" w:rsidP="000557E9">
            <w:pPr>
              <w:rPr>
                <w:rFonts w:ascii="Arial" w:hAnsi="Arial" w:cs="Arial"/>
                <w:sz w:val="16"/>
                <w:szCs w:val="16"/>
              </w:rPr>
            </w:pPr>
          </w:p>
        </w:tc>
        <w:tc>
          <w:tcPr>
            <w:tcW w:w="1560" w:type="dxa"/>
            <w:shd w:val="clear" w:color="auto" w:fill="auto"/>
            <w:vAlign w:val="bottom"/>
          </w:tcPr>
          <w:p w:rsidR="00C771E1" w:rsidRPr="005C1B09" w:rsidRDefault="00C771E1" w:rsidP="000557E9">
            <w:pPr>
              <w:jc w:val="right"/>
              <w:rPr>
                <w:rFonts w:ascii="Arial" w:hAnsi="Arial" w:cs="Arial"/>
                <w:b/>
                <w:bCs/>
                <w:sz w:val="16"/>
                <w:szCs w:val="16"/>
              </w:rPr>
            </w:pPr>
          </w:p>
        </w:tc>
        <w:tc>
          <w:tcPr>
            <w:tcW w:w="1417" w:type="dxa"/>
            <w:tcBorders>
              <w:top w:val="single" w:sz="12" w:space="0" w:color="000000"/>
            </w:tcBorders>
            <w:shd w:val="clear" w:color="auto" w:fill="auto"/>
            <w:vAlign w:val="bottom"/>
          </w:tcPr>
          <w:p w:rsidR="00C771E1" w:rsidRPr="005C1B09" w:rsidRDefault="00C771E1" w:rsidP="000557E9">
            <w:pPr>
              <w:jc w:val="right"/>
              <w:rPr>
                <w:rFonts w:ascii="Arial" w:hAnsi="Arial" w:cs="Arial"/>
                <w:b/>
                <w:bCs/>
                <w:sz w:val="16"/>
                <w:szCs w:val="16"/>
              </w:rPr>
            </w:pPr>
          </w:p>
        </w:tc>
        <w:tc>
          <w:tcPr>
            <w:tcW w:w="1276" w:type="dxa"/>
            <w:tcBorders>
              <w:top w:val="single" w:sz="12" w:space="0" w:color="000000"/>
            </w:tcBorders>
            <w:shd w:val="clear" w:color="auto" w:fill="auto"/>
            <w:vAlign w:val="bottom"/>
          </w:tcPr>
          <w:p w:rsidR="00C771E1" w:rsidRPr="005C1B09" w:rsidRDefault="00C771E1" w:rsidP="000557E9">
            <w:pPr>
              <w:jc w:val="right"/>
              <w:rPr>
                <w:rFonts w:ascii="Arial" w:hAnsi="Arial" w:cs="Arial"/>
                <w:b/>
                <w:bCs/>
                <w:sz w:val="16"/>
                <w:szCs w:val="16"/>
              </w:rPr>
            </w:pPr>
          </w:p>
        </w:tc>
        <w:tc>
          <w:tcPr>
            <w:tcW w:w="1134" w:type="dxa"/>
            <w:tcBorders>
              <w:top w:val="single" w:sz="12" w:space="0" w:color="000000"/>
            </w:tcBorders>
            <w:shd w:val="clear" w:color="auto" w:fill="auto"/>
            <w:vAlign w:val="bottom"/>
          </w:tcPr>
          <w:p w:rsidR="00C771E1" w:rsidRPr="005C1B09" w:rsidRDefault="00C771E1" w:rsidP="000557E9">
            <w:pPr>
              <w:jc w:val="right"/>
              <w:rPr>
                <w:rFonts w:ascii="Arial" w:hAnsi="Arial" w:cs="Arial"/>
                <w:b/>
                <w:bCs/>
                <w:sz w:val="16"/>
                <w:szCs w:val="16"/>
              </w:rPr>
            </w:pPr>
          </w:p>
        </w:tc>
      </w:tr>
      <w:tr w:rsidR="00C771E1" w:rsidRPr="00DE475B" w:rsidTr="00C771E1">
        <w:trPr>
          <w:trHeight w:val="299"/>
        </w:trPr>
        <w:tc>
          <w:tcPr>
            <w:tcW w:w="4962" w:type="dxa"/>
            <w:gridSpan w:val="2"/>
            <w:shd w:val="clear" w:color="auto" w:fill="auto"/>
            <w:tcMar>
              <w:right w:w="28" w:type="dxa"/>
            </w:tcMar>
            <w:vAlign w:val="bottom"/>
          </w:tcPr>
          <w:p w:rsidR="00C771E1" w:rsidRPr="00DE475B" w:rsidRDefault="00C771E1" w:rsidP="00C771E1">
            <w:pPr>
              <w:rPr>
                <w:rFonts w:ascii="Arial" w:hAnsi="Arial" w:cs="Arial"/>
                <w:b/>
                <w:bCs/>
                <w:sz w:val="20"/>
                <w:szCs w:val="20"/>
              </w:rPr>
            </w:pPr>
            <w:r w:rsidRPr="00DE475B">
              <w:rPr>
                <w:rFonts w:ascii="Arial" w:hAnsi="Arial" w:cs="Arial"/>
                <w:sz w:val="20"/>
                <w:szCs w:val="20"/>
              </w:rPr>
              <w:t xml:space="preserve">Net </w:t>
            </w:r>
            <w:r>
              <w:rPr>
                <w:rFonts w:ascii="Arial" w:hAnsi="Arial" w:cs="Arial"/>
                <w:sz w:val="20"/>
                <w:szCs w:val="20"/>
              </w:rPr>
              <w:t>(decrease)/</w:t>
            </w:r>
            <w:r w:rsidRPr="00DE475B">
              <w:rPr>
                <w:rFonts w:ascii="Arial" w:hAnsi="Arial" w:cs="Arial"/>
                <w:sz w:val="20"/>
                <w:szCs w:val="20"/>
              </w:rPr>
              <w:t>increase</w:t>
            </w:r>
            <w:r>
              <w:rPr>
                <w:rFonts w:ascii="Arial" w:hAnsi="Arial" w:cs="Arial"/>
                <w:sz w:val="20"/>
                <w:szCs w:val="20"/>
              </w:rPr>
              <w:t xml:space="preserve"> </w:t>
            </w:r>
            <w:r w:rsidRPr="00DE475B">
              <w:rPr>
                <w:rFonts w:ascii="Arial" w:hAnsi="Arial" w:cs="Arial"/>
                <w:sz w:val="20"/>
                <w:szCs w:val="20"/>
              </w:rPr>
              <w:t>in cash and cash equivalents</w:t>
            </w:r>
          </w:p>
        </w:tc>
        <w:tc>
          <w:tcPr>
            <w:tcW w:w="1417" w:type="dxa"/>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1,940</w:t>
            </w:r>
          </w:p>
        </w:tc>
        <w:tc>
          <w:tcPr>
            <w:tcW w:w="1276" w:type="dxa"/>
            <w:shd w:val="clear" w:color="auto" w:fill="auto"/>
            <w:vAlign w:val="center"/>
          </w:tcPr>
          <w:p w:rsidR="00C771E1" w:rsidRPr="00DE475B" w:rsidRDefault="004D42DD" w:rsidP="00647AC7">
            <w:pPr>
              <w:jc w:val="right"/>
              <w:rPr>
                <w:rFonts w:ascii="Arial" w:hAnsi="Arial" w:cs="Arial"/>
                <w:sz w:val="20"/>
                <w:szCs w:val="20"/>
              </w:rPr>
            </w:pPr>
            <w:r>
              <w:rPr>
                <w:rFonts w:ascii="Arial" w:hAnsi="Arial" w:cs="Arial"/>
                <w:sz w:val="20"/>
                <w:szCs w:val="20"/>
              </w:rPr>
              <w:t>(1,291)</w:t>
            </w:r>
          </w:p>
        </w:tc>
        <w:tc>
          <w:tcPr>
            <w:tcW w:w="1134" w:type="dxa"/>
            <w:shd w:val="clear" w:color="auto" w:fill="auto"/>
            <w:vAlign w:val="center"/>
          </w:tcPr>
          <w:p w:rsidR="00C771E1" w:rsidRPr="00DE475B" w:rsidRDefault="004D42DD" w:rsidP="00647AC7">
            <w:pPr>
              <w:jc w:val="right"/>
              <w:rPr>
                <w:rFonts w:ascii="Arial" w:hAnsi="Arial" w:cs="Arial"/>
                <w:sz w:val="20"/>
                <w:szCs w:val="20"/>
              </w:rPr>
            </w:pPr>
            <w:r>
              <w:rPr>
                <w:rFonts w:ascii="Arial" w:hAnsi="Arial" w:cs="Arial"/>
                <w:sz w:val="20"/>
                <w:szCs w:val="20"/>
              </w:rPr>
              <w:t>3,231</w:t>
            </w:r>
          </w:p>
        </w:tc>
      </w:tr>
      <w:tr w:rsidR="00C771E1" w:rsidRPr="00DE475B" w:rsidTr="00C771E1">
        <w:trPr>
          <w:trHeight w:val="275"/>
        </w:trPr>
        <w:tc>
          <w:tcPr>
            <w:tcW w:w="4962" w:type="dxa"/>
            <w:gridSpan w:val="2"/>
            <w:shd w:val="clear" w:color="auto" w:fill="auto"/>
            <w:vAlign w:val="bottom"/>
          </w:tcPr>
          <w:p w:rsidR="00C771E1" w:rsidRPr="00DE475B" w:rsidRDefault="00C771E1" w:rsidP="00C771E1">
            <w:pPr>
              <w:rPr>
                <w:rFonts w:ascii="Arial" w:hAnsi="Arial" w:cs="Arial"/>
                <w:b/>
                <w:bCs/>
                <w:sz w:val="20"/>
                <w:szCs w:val="20"/>
              </w:rPr>
            </w:pPr>
            <w:r w:rsidRPr="00DE475B">
              <w:rPr>
                <w:rFonts w:ascii="Arial" w:hAnsi="Arial" w:cs="Arial"/>
                <w:sz w:val="20"/>
                <w:szCs w:val="20"/>
              </w:rPr>
              <w:t xml:space="preserve">Cash and cash equivalents </w:t>
            </w:r>
            <w:r>
              <w:rPr>
                <w:rFonts w:ascii="Arial" w:hAnsi="Arial" w:cs="Arial"/>
                <w:sz w:val="20"/>
                <w:szCs w:val="20"/>
              </w:rPr>
              <w:t>— opening balance</w:t>
            </w:r>
          </w:p>
        </w:tc>
        <w:tc>
          <w:tcPr>
            <w:tcW w:w="1417" w:type="dxa"/>
            <w:tcBorders>
              <w:bottom w:val="single" w:sz="8" w:space="0" w:color="000000"/>
            </w:tcBorders>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16,920</w:t>
            </w:r>
          </w:p>
        </w:tc>
        <w:tc>
          <w:tcPr>
            <w:tcW w:w="1276" w:type="dxa"/>
            <w:tcBorders>
              <w:bottom w:val="single" w:sz="8" w:space="0" w:color="000000"/>
            </w:tcBorders>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16,858</w:t>
            </w:r>
          </w:p>
        </w:tc>
        <w:tc>
          <w:tcPr>
            <w:tcW w:w="1134" w:type="dxa"/>
            <w:tcBorders>
              <w:bottom w:val="single" w:sz="8" w:space="0" w:color="000000"/>
            </w:tcBorders>
            <w:shd w:val="clear" w:color="auto" w:fill="auto"/>
            <w:vAlign w:val="center"/>
          </w:tcPr>
          <w:p w:rsidR="00C771E1" w:rsidRPr="00DE475B" w:rsidRDefault="004D42DD" w:rsidP="000017CF">
            <w:pPr>
              <w:jc w:val="right"/>
              <w:rPr>
                <w:rFonts w:ascii="Arial" w:hAnsi="Arial" w:cs="Arial"/>
                <w:sz w:val="20"/>
                <w:szCs w:val="20"/>
              </w:rPr>
            </w:pPr>
            <w:r>
              <w:rPr>
                <w:rFonts w:ascii="Arial" w:hAnsi="Arial" w:cs="Arial"/>
                <w:sz w:val="20"/>
                <w:szCs w:val="20"/>
              </w:rPr>
              <w:t>(5,641)</w:t>
            </w:r>
          </w:p>
        </w:tc>
      </w:tr>
      <w:tr w:rsidR="00C771E1" w:rsidRPr="00DE475B" w:rsidTr="005C1B09">
        <w:trPr>
          <w:trHeight w:val="269"/>
        </w:trPr>
        <w:tc>
          <w:tcPr>
            <w:tcW w:w="4962" w:type="dxa"/>
            <w:gridSpan w:val="2"/>
            <w:shd w:val="clear" w:color="auto" w:fill="auto"/>
            <w:vAlign w:val="bottom"/>
          </w:tcPr>
          <w:p w:rsidR="00C771E1" w:rsidRPr="00DE475B" w:rsidRDefault="00C771E1" w:rsidP="00C771E1">
            <w:pPr>
              <w:rPr>
                <w:rFonts w:ascii="Arial" w:hAnsi="Arial" w:cs="Arial"/>
                <w:b/>
                <w:bCs/>
                <w:sz w:val="20"/>
                <w:szCs w:val="20"/>
              </w:rPr>
            </w:pPr>
            <w:r w:rsidRPr="00DE475B">
              <w:rPr>
                <w:rFonts w:ascii="Arial" w:hAnsi="Arial" w:cs="Arial"/>
                <w:b/>
                <w:sz w:val="20"/>
                <w:szCs w:val="20"/>
              </w:rPr>
              <w:t xml:space="preserve">Cash and cash equivalents </w:t>
            </w:r>
            <w:r>
              <w:rPr>
                <w:rFonts w:ascii="Arial" w:hAnsi="Arial" w:cs="Arial"/>
                <w:b/>
                <w:sz w:val="20"/>
                <w:szCs w:val="20"/>
              </w:rPr>
              <w:t>— closing balance</w:t>
            </w:r>
          </w:p>
        </w:tc>
        <w:tc>
          <w:tcPr>
            <w:tcW w:w="1417" w:type="dxa"/>
            <w:tcBorders>
              <w:top w:val="single" w:sz="8" w:space="0" w:color="000000"/>
              <w:bottom w:val="single" w:sz="12" w:space="0" w:color="000000"/>
            </w:tcBorders>
            <w:shd w:val="clear" w:color="auto" w:fill="auto"/>
            <w:vAlign w:val="center"/>
          </w:tcPr>
          <w:p w:rsidR="00C771E1" w:rsidRPr="00DE475B" w:rsidRDefault="004D42DD" w:rsidP="000017CF">
            <w:pPr>
              <w:jc w:val="right"/>
              <w:rPr>
                <w:rFonts w:ascii="Arial" w:hAnsi="Arial" w:cs="Arial"/>
                <w:b/>
                <w:sz w:val="20"/>
                <w:szCs w:val="20"/>
              </w:rPr>
            </w:pPr>
            <w:r>
              <w:rPr>
                <w:rFonts w:ascii="Arial" w:hAnsi="Arial" w:cs="Arial"/>
                <w:b/>
                <w:sz w:val="20"/>
                <w:szCs w:val="20"/>
              </w:rPr>
              <w:t>18,860</w:t>
            </w:r>
          </w:p>
        </w:tc>
        <w:tc>
          <w:tcPr>
            <w:tcW w:w="1276" w:type="dxa"/>
            <w:tcBorders>
              <w:top w:val="single" w:sz="8" w:space="0" w:color="000000"/>
              <w:bottom w:val="single" w:sz="12" w:space="0" w:color="000000"/>
            </w:tcBorders>
            <w:shd w:val="clear" w:color="auto" w:fill="auto"/>
            <w:vAlign w:val="center"/>
          </w:tcPr>
          <w:p w:rsidR="00C771E1" w:rsidRPr="00DE475B" w:rsidRDefault="004D42DD" w:rsidP="00647AC7">
            <w:pPr>
              <w:jc w:val="right"/>
              <w:rPr>
                <w:rFonts w:ascii="Arial" w:hAnsi="Arial" w:cs="Arial"/>
                <w:b/>
                <w:sz w:val="20"/>
                <w:szCs w:val="20"/>
              </w:rPr>
            </w:pPr>
            <w:r>
              <w:rPr>
                <w:rFonts w:ascii="Arial" w:hAnsi="Arial" w:cs="Arial"/>
                <w:b/>
                <w:sz w:val="20"/>
                <w:szCs w:val="20"/>
              </w:rPr>
              <w:t>15,567</w:t>
            </w:r>
          </w:p>
        </w:tc>
        <w:tc>
          <w:tcPr>
            <w:tcW w:w="1134" w:type="dxa"/>
            <w:tcBorders>
              <w:top w:val="single" w:sz="8" w:space="0" w:color="000000"/>
              <w:bottom w:val="single" w:sz="12" w:space="0" w:color="000000"/>
            </w:tcBorders>
            <w:shd w:val="clear" w:color="auto" w:fill="auto"/>
            <w:vAlign w:val="center"/>
          </w:tcPr>
          <w:p w:rsidR="00C771E1" w:rsidRPr="00DE475B" w:rsidRDefault="004D42DD" w:rsidP="000017CF">
            <w:pPr>
              <w:jc w:val="right"/>
              <w:rPr>
                <w:rFonts w:ascii="Arial" w:hAnsi="Arial" w:cs="Arial"/>
                <w:b/>
                <w:sz w:val="20"/>
                <w:szCs w:val="20"/>
              </w:rPr>
            </w:pPr>
            <w:r>
              <w:rPr>
                <w:rFonts w:ascii="Arial" w:hAnsi="Arial" w:cs="Arial"/>
                <w:b/>
                <w:sz w:val="20"/>
                <w:szCs w:val="20"/>
              </w:rPr>
              <w:t>(2,409)</w:t>
            </w:r>
          </w:p>
        </w:tc>
      </w:tr>
    </w:tbl>
    <w:p w:rsidR="00EB6AF6" w:rsidRPr="00DE475B" w:rsidRDefault="00EB6AF6" w:rsidP="00652F6C">
      <w:pPr>
        <w:tabs>
          <w:tab w:val="left" w:pos="284"/>
          <w:tab w:val="left" w:pos="5878"/>
          <w:tab w:val="left" w:pos="8548"/>
          <w:tab w:val="left" w:pos="8770"/>
          <w:tab w:val="left" w:pos="10266"/>
          <w:tab w:val="left" w:pos="11702"/>
        </w:tabs>
        <w:spacing w:before="240"/>
        <w:rPr>
          <w:rFonts w:ascii="Arial" w:hAnsi="Arial" w:cs="Arial"/>
          <w:b/>
          <w:bCs/>
          <w:sz w:val="20"/>
          <w:szCs w:val="20"/>
        </w:rPr>
      </w:pPr>
      <w:r w:rsidRPr="00DE475B">
        <w:rPr>
          <w:rFonts w:ascii="Arial" w:hAnsi="Arial" w:cs="Arial"/>
          <w:b/>
          <w:bCs/>
          <w:sz w:val="20"/>
          <w:szCs w:val="20"/>
        </w:rPr>
        <w:t>E</w:t>
      </w:r>
      <w:r w:rsidR="00BB596B">
        <w:rPr>
          <w:rFonts w:ascii="Arial" w:hAnsi="Arial" w:cs="Arial"/>
          <w:b/>
          <w:bCs/>
          <w:sz w:val="20"/>
          <w:szCs w:val="20"/>
        </w:rPr>
        <w:t>1</w:t>
      </w:r>
      <w:r w:rsidR="005C1B09">
        <w:rPr>
          <w:rFonts w:ascii="Arial" w:hAnsi="Arial" w:cs="Arial"/>
          <w:b/>
          <w:bCs/>
          <w:sz w:val="20"/>
          <w:szCs w:val="20"/>
        </w:rPr>
        <w:t>-</w:t>
      </w:r>
      <w:r w:rsidR="00BB596B">
        <w:rPr>
          <w:rFonts w:ascii="Arial" w:hAnsi="Arial" w:cs="Arial"/>
          <w:b/>
          <w:bCs/>
          <w:sz w:val="20"/>
          <w:szCs w:val="20"/>
        </w:rPr>
        <w:t>6</w:t>
      </w:r>
      <w:r w:rsidRPr="00DE475B">
        <w:rPr>
          <w:rFonts w:ascii="Arial" w:hAnsi="Arial" w:cs="Arial"/>
          <w:b/>
          <w:bCs/>
          <w:sz w:val="20"/>
          <w:szCs w:val="20"/>
        </w:rPr>
        <w:t xml:space="preserve">   Explanation of Major Variances — Statement of cash flows</w:t>
      </w:r>
    </w:p>
    <w:p w:rsidR="005C1B09" w:rsidRPr="005C1B09" w:rsidRDefault="005C1B09" w:rsidP="005C1B09">
      <w:pPr>
        <w:rPr>
          <w:rFonts w:ascii="Arial" w:hAnsi="Arial" w:cs="Arial"/>
          <w:i/>
          <w:iCs/>
          <w:sz w:val="20"/>
          <w:szCs w:val="20"/>
        </w:rPr>
      </w:pPr>
      <w:r w:rsidRPr="005C1B09">
        <w:rPr>
          <w:rFonts w:ascii="Arial" w:hAnsi="Arial" w:cs="Arial"/>
          <w:i/>
          <w:iCs/>
          <w:sz w:val="20"/>
          <w:szCs w:val="20"/>
        </w:rPr>
        <w:t>Net Cash provided by operating activities</w:t>
      </w:r>
    </w:p>
    <w:p w:rsidR="005C1B09" w:rsidRDefault="005C1B09" w:rsidP="005C1B09">
      <w:pPr>
        <w:tabs>
          <w:tab w:val="left" w:pos="284"/>
          <w:tab w:val="left" w:pos="5878"/>
          <w:tab w:val="left" w:pos="8548"/>
          <w:tab w:val="left" w:pos="8770"/>
          <w:tab w:val="left" w:pos="10266"/>
          <w:tab w:val="left" w:pos="11702"/>
        </w:tabs>
        <w:spacing w:after="60"/>
        <w:rPr>
          <w:rFonts w:ascii="Arial" w:hAnsi="Arial" w:cs="Arial"/>
          <w:bCs/>
          <w:sz w:val="20"/>
          <w:szCs w:val="20"/>
        </w:rPr>
      </w:pPr>
      <w:r w:rsidRPr="005C1B09">
        <w:rPr>
          <w:rFonts w:ascii="Arial" w:hAnsi="Arial" w:cs="Arial"/>
          <w:bCs/>
          <w:sz w:val="20"/>
          <w:szCs w:val="20"/>
        </w:rPr>
        <w:t>The variance between the net cash budget and the actual is due to the unplanned surplus of $3.2M, partly due to grant payments received in advance. In addition purchases of plant and equipment were delayed, resulting in higher cash.</w:t>
      </w:r>
    </w:p>
    <w:p w:rsidR="005C1B09" w:rsidRPr="005C1B09" w:rsidRDefault="005C1B09" w:rsidP="005C1B09">
      <w:pPr>
        <w:rPr>
          <w:rFonts w:ascii="Arial" w:hAnsi="Arial" w:cs="Arial"/>
          <w:i/>
          <w:iCs/>
          <w:sz w:val="20"/>
          <w:szCs w:val="20"/>
        </w:rPr>
      </w:pPr>
      <w:r w:rsidRPr="005C1B09">
        <w:rPr>
          <w:rFonts w:ascii="Arial" w:hAnsi="Arial" w:cs="Arial"/>
          <w:i/>
          <w:iCs/>
          <w:sz w:val="20"/>
          <w:szCs w:val="20"/>
        </w:rPr>
        <w:t>Payments for non-financial assets</w:t>
      </w:r>
    </w:p>
    <w:p w:rsidR="00EB6AF6" w:rsidRPr="005C1B09" w:rsidRDefault="00EB6AF6" w:rsidP="00EB6AF6">
      <w:pPr>
        <w:tabs>
          <w:tab w:val="left" w:pos="284"/>
          <w:tab w:val="left" w:pos="5878"/>
          <w:tab w:val="left" w:pos="8548"/>
          <w:tab w:val="left" w:pos="8770"/>
          <w:tab w:val="left" w:pos="10266"/>
          <w:tab w:val="left" w:pos="11702"/>
        </w:tabs>
        <w:spacing w:after="120"/>
        <w:rPr>
          <w:rFonts w:ascii="Arial" w:hAnsi="Arial" w:cs="Arial"/>
          <w:bCs/>
          <w:spacing w:val="-4"/>
          <w:sz w:val="20"/>
          <w:szCs w:val="20"/>
        </w:rPr>
      </w:pPr>
      <w:r w:rsidRPr="005C1B09">
        <w:rPr>
          <w:rFonts w:ascii="Arial" w:hAnsi="Arial" w:cs="Arial"/>
          <w:bCs/>
          <w:spacing w:val="-4"/>
          <w:sz w:val="20"/>
          <w:szCs w:val="20"/>
        </w:rPr>
        <w:t>The original budget does not include a breakdown across the asset categories and therefore variances to actual are overstated within each category. Overall, the original budget is higher than the actual for investing activities mainly due to delays to property plant and equipment replacement.</w:t>
      </w:r>
    </w:p>
    <w:p w:rsidR="00755203" w:rsidRPr="00DE475B" w:rsidRDefault="00755203" w:rsidP="00A5262C">
      <w:pPr>
        <w:tabs>
          <w:tab w:val="left" w:pos="284"/>
          <w:tab w:val="left" w:pos="5878"/>
          <w:tab w:val="left" w:pos="8548"/>
          <w:tab w:val="left" w:pos="8770"/>
          <w:tab w:val="left" w:pos="10266"/>
          <w:tab w:val="left" w:pos="11702"/>
        </w:tabs>
        <w:spacing w:after="120"/>
        <w:rPr>
          <w:rFonts w:ascii="Arial" w:hAnsi="Arial" w:cs="Arial"/>
          <w:bCs/>
          <w:sz w:val="20"/>
          <w:szCs w:val="20"/>
        </w:rPr>
      </w:pPr>
    </w:p>
    <w:p w:rsidR="00755203" w:rsidRPr="00DE475B" w:rsidRDefault="00755203" w:rsidP="00755203">
      <w:pPr>
        <w:pStyle w:val="ARbodytext"/>
        <w:rPr>
          <w:b/>
          <w:bCs/>
        </w:rPr>
      </w:pPr>
      <w:r w:rsidRPr="00DE475B">
        <w:rPr>
          <w:b/>
          <w:bCs/>
          <w:i/>
          <w:iCs/>
        </w:rPr>
        <w:t>Library Board of Queensland and controlled entities</w:t>
      </w:r>
    </w:p>
    <w:p w:rsidR="00755203" w:rsidRPr="00DE475B" w:rsidRDefault="00373FFE" w:rsidP="00755203">
      <w:pPr>
        <w:rPr>
          <w:rFonts w:ascii="Arial" w:hAnsi="Arial" w:cs="Arial"/>
          <w:b/>
          <w:bCs/>
          <w:sz w:val="20"/>
          <w:szCs w:val="20"/>
        </w:rPr>
      </w:pPr>
      <w:r w:rsidRPr="00DE475B">
        <w:rPr>
          <w:noProof/>
          <w:lang w:eastAsia="en-AU"/>
        </w:rPr>
        <mc:AlternateContent>
          <mc:Choice Requires="wps">
            <w:drawing>
              <wp:anchor distT="0" distB="0" distL="114300" distR="114300" simplePos="0" relativeHeight="251674624" behindDoc="0" locked="0" layoutInCell="1" allowOverlap="1" wp14:anchorId="19F8AD62" wp14:editId="7420485D">
                <wp:simplePos x="0" y="0"/>
                <wp:positionH relativeFrom="column">
                  <wp:posOffset>-66040</wp:posOffset>
                </wp:positionH>
                <wp:positionV relativeFrom="paragraph">
                  <wp:posOffset>-222250</wp:posOffset>
                </wp:positionV>
                <wp:extent cx="5573395" cy="0"/>
                <wp:effectExtent l="13970" t="12700" r="13335" b="6350"/>
                <wp:wrapNone/>
                <wp:docPr id="20"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2ZsmwIAAHoFAAAOAAAAZHJzL2Uyb0RvYy54bWysVE1v2zAMvQ/YfxB0d23Hdj6MOkXrOLt0&#10;W4F22FmR5FiYLXmSGicY+t9HKYnXdJdhaAIYokRSj3yPur7Zdy3acW2EkgWOryKMuKSKCbkt8Len&#10;dTDHyFgiGWmV5AU+cINvlh8/XA99zieqUS3jGkESafKhL3BjbZ+HoaEN74i5Uj2XcFgr3RELpt6G&#10;TJMBsndtOImiaTgozXqtKDcGdlfHQ7z0+euaU/u1rg23qC0wYLP+q/13477h8prkW036RtATDPIf&#10;KDoiJFw6ploRS9CzFn+l6gTVyqjaXlHVhaquBeW+Bqgmjt5U89iQnvtaoDmmH9tk3i8t/bJ70Eiw&#10;Ak+gPZJ0wNG9kBxNpplrztCbHHxK+aBdeXQvH/t7RX8YJFXZELnlHuTToYfA2EWEFyHOMD1csRk+&#10;KwY+5Nkq36l9rTuXEnqA9p6Qw0gI31tEYTPLZkmyyDCi57OQ5OfAXhv7iasOuUWBW0DtE5PdvbEO&#10;CMnPLu4eqdaibT3frURDgRfJFEqmBFRnfvpIo1rBnJfzN3q7KVuNdsRJx/98eXDy2q0TFgTciq7A&#10;89GJ5A0nrJLMX2eJaI9rgNRKl5x7aR5xgrW3sPT7ULiXza9FtKjm1TwN0sm0CtJotQpu12UaTNfx&#10;LFslq7JcxS8OdZzmjWCMSwf8LOE4/TeJnIbpKL5RxGOrwsvsvqcA9hLp7TqLZmkyD2azLAnSpIqC&#10;u/m6DG7LeDqdVXflXfUGaeWrN+8DdmylQ6WegY3Hhg2ICSeKJFtMYgwGjPxkduQHkXYLbxW1GiOt&#10;7HdhG69hpz6X44L4eeT+J+LH7MdGnDl01sjCqbY/rQLOz/z60XDTcJyrjWKHB30eGRhwH3R6jNwL&#10;8tqG9esnc/kbAAD//wMAUEsDBBQABgAIAAAAIQDe2Ktn4AAAAAsBAAAPAAAAZHJzL2Rvd25yZXYu&#10;eG1sTI9BS8NAEIXvgv9hGcGLtJuaWEvMpoggHgRpqyjettkxG8zOht1tE/+9Iwh6m5n3ePO9aj25&#10;XhwxxM6TgsU8A4HUeNNRq+Dl+X62AhGTJqN7T6jgCyOs69OTSpfGj7TF4y61gkMollqBTWkopYyN&#10;Rafj3A9IrH344HTiNbTSBD1yuOvlZZYtpdMd8QerB7yz2HzuDk7BUxi7mPKi2GB6f314fLObC7dV&#10;6vxsur0BkXBKf2b4wWd0qJlp7w9kougVzBZZwVYe8isuxY7V8joHsf+9yLqS/zvU3wAAAP//AwBQ&#10;SwECLQAUAAYACAAAACEAtoM4kv4AAADhAQAAEwAAAAAAAAAAAAAAAAAAAAAAW0NvbnRlbnRfVHlw&#10;ZXNdLnhtbFBLAQItABQABgAIAAAAIQA4/SH/1gAAAJQBAAALAAAAAAAAAAAAAAAAAC8BAABfcmVs&#10;cy8ucmVsc1BLAQItABQABgAIAAAAIQA9d2ZsmwIAAHoFAAAOAAAAAAAAAAAAAAAAAC4CAABkcnMv&#10;ZTJvRG9jLnhtbFBLAQItABQABgAIAAAAIQDe2Ktn4AAAAAsBAAAPAAAAAAAAAAAAAAAAAPUEAABk&#10;cnMvZG93bnJldi54bWxQSwUGAAAAAAQABADzAAAAAgYAAAAA&#10;" strokeweight=".26mm">
                <v:stroke joinstyle="miter" endcap="square"/>
              </v:line>
            </w:pict>
          </mc:Fallback>
        </mc:AlternateContent>
      </w:r>
      <w:r w:rsidR="00755203" w:rsidRPr="00DE475B">
        <w:rPr>
          <w:rFonts w:ascii="Arial" w:hAnsi="Arial" w:cs="Arial"/>
          <w:b/>
          <w:bCs/>
          <w:sz w:val="20"/>
          <w:szCs w:val="20"/>
        </w:rPr>
        <w:t>NOTES TO THE FINANCIAL STATEMENTS</w:t>
      </w:r>
    </w:p>
    <w:p w:rsidR="00755203" w:rsidRPr="00DE475B" w:rsidRDefault="00A314E2" w:rsidP="00755203">
      <w:r>
        <w:rPr>
          <w:rFonts w:ascii="Arial" w:hAnsi="Arial" w:cs="Arial"/>
          <w:b/>
          <w:bCs/>
          <w:sz w:val="20"/>
          <w:szCs w:val="20"/>
        </w:rPr>
        <w:t>For the year ended 30 June 2017</w:t>
      </w:r>
    </w:p>
    <w:p w:rsidR="00755203" w:rsidRPr="00DE475B" w:rsidRDefault="00373FFE" w:rsidP="00755203">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673600" behindDoc="0" locked="0" layoutInCell="1" allowOverlap="1" wp14:anchorId="158507BB" wp14:editId="2B8652CC">
                <wp:simplePos x="0" y="0"/>
                <wp:positionH relativeFrom="column">
                  <wp:posOffset>-66040</wp:posOffset>
                </wp:positionH>
                <wp:positionV relativeFrom="paragraph">
                  <wp:posOffset>70485</wp:posOffset>
                </wp:positionV>
                <wp:extent cx="5573395" cy="0"/>
                <wp:effectExtent l="13970" t="6985" r="13335" b="12065"/>
                <wp:wrapNone/>
                <wp:docPr id="19"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5CmwIAAHoFAAAOAAAAZHJzL2Uyb0RvYy54bWysVN9v2yAQfp+0/wHx7tqOnV9Wnal1nL10&#10;W6V22jMBHKNh8IDGqab97ztI4jXdyzQ1kSwO7o7v7vuO6w+HTqI9N1ZoVeL0KsGIK6qZULsSf33c&#10;RAuMrCOKEakVL/Ezt/jD6v2766Ev+ES3WjJuECRRthj6ErfO9UUcW9ryjtgr3XMFh402HXFgml3M&#10;DBkgeyfjSZLM4kEb1htNubWwuz4e4lXI3zScui9NY7lDssSAzYWvCd+t/8ara1LsDOlbQU8wyH+g&#10;6IhQcOmYak0cQU9G/JWqE9Roqxt3RXUX66YRlIcaoJo0eVXNQ0t6HmqB5th+bJN9u7T08/7eIMGA&#10;uyVGinTA0Z1QHE1muW/O0NsCfCp1b3x59KAe+jtNv1ukdNUSteMB5ONzD4Gpj4gvQrxhe7hiO3zS&#10;DHzIk9OhU4fGdD4l9AAdAiHPIyH84BCFzel0nmXLKUb0fBaT4hzYG+s+ct0hvyixBNQhMdnfWeeB&#10;kOLs4u9ReiOkDHxLhYYSL7MZKIISUJ39ESKtloJ5L+9vzW5bSYP2xEsn/EJ5cPLSrRMOBCxFV+LF&#10;6ESKlhNWKxauc0TI4xogSeWT8yDNI06wDg6WYR8KD7L5uUyW9aJe5FE+mdVRnqzX0c2myqPZJp1P&#10;19m6qtbpL486zYtWMMaVB36WcJr/m0ROw3QU3yjisVXxZfbQUwB7ifRmM03mebaI5vNpFuVZnUS3&#10;i00V3VTpbDavb6vb+hXSOlRv3wbs2EqPSj8BGw8tGxATXhTZdDlJMRgw8pP5kR9E5A7eKuoMRka7&#10;b8K1QcNefT7HBfGLxP9PxI/Zj404c+itkYVTbX9aBZyf+Q2j4afhOFdbzZ7vzXlkYMBD0Okx8i/I&#10;SxvWL5/M1W8AAAD//wMAUEsDBBQABgAIAAAAIQDwQGlx3gAAAAkBAAAPAAAAZHJzL2Rvd25yZXYu&#10;eG1sTI/BSsNAEIbvgu+wjOBF2k1sqCVmU0QQD4K0VRRv2+yYDWZnw+62iW/vSA96nPk//vmmWk+u&#10;F0cMsfOkIJ9nIJAabzpqFby+PMxWIGLSZHTvCRV8Y4R1fX5W6dL4kbZ43KVWcAnFUiuwKQ2llLGx&#10;6HSc+wGJs08fnE48hlaaoEcud728zrKldLojvmD1gPcWm6/dwSl4DmMX06IoNpg+3h6f3u3mym2V&#10;uryY7m5BJJzSHwy/+qwONTvt/YFMFL2CWZ4VjHKQ5yAYWC1vFiD2p4WsK/n/g/oHAAD//wMAUEsB&#10;Ai0AFAAGAAgAAAAhALaDOJL+AAAA4QEAABMAAAAAAAAAAAAAAAAAAAAAAFtDb250ZW50X1R5cGVz&#10;XS54bWxQSwECLQAUAAYACAAAACEAOP0h/9YAAACUAQAACwAAAAAAAAAAAAAAAAAvAQAAX3JlbHMv&#10;LnJlbHNQSwECLQAUAAYACAAAACEAfGW+QpsCAAB6BQAADgAAAAAAAAAAAAAAAAAuAgAAZHJzL2Uy&#10;b0RvYy54bWxQSwECLQAUAAYACAAAACEA8EBpcd4AAAAJAQAADwAAAAAAAAAAAAAAAAD1BAAAZHJz&#10;L2Rvd25yZXYueG1sUEsFBgAAAAAEAAQA8wAAAAAGAAAAAA==&#10;" strokeweight=".26mm">
                <v:stroke joinstyle="miter" endcap="square"/>
              </v:line>
            </w:pict>
          </mc:Fallback>
        </mc:AlternateContent>
      </w:r>
    </w:p>
    <w:p w:rsidR="008C0257" w:rsidRPr="00DE475B" w:rsidRDefault="008C0257" w:rsidP="008C0257">
      <w:pPr>
        <w:pStyle w:val="ARheading3"/>
        <w:widowControl w:val="0"/>
        <w:tabs>
          <w:tab w:val="left" w:pos="851"/>
        </w:tabs>
        <w:spacing w:after="120"/>
        <w:rPr>
          <w:color w:val="808080"/>
        </w:rPr>
      </w:pPr>
      <w:proofErr w:type="gramStart"/>
      <w:r w:rsidRPr="00DE475B">
        <w:rPr>
          <w:color w:val="808080"/>
        </w:rPr>
        <w:t>F1  Key</w:t>
      </w:r>
      <w:proofErr w:type="gramEnd"/>
      <w:r w:rsidRPr="00DE475B">
        <w:rPr>
          <w:color w:val="808080"/>
        </w:rPr>
        <w:t xml:space="preserve"> management personnel </w:t>
      </w:r>
      <w:r w:rsidR="00D21651">
        <w:rPr>
          <w:color w:val="808080"/>
        </w:rPr>
        <w:t>(</w:t>
      </w:r>
      <w:proofErr w:type="spellStart"/>
      <w:r w:rsidR="00D21651">
        <w:rPr>
          <w:color w:val="808080"/>
        </w:rPr>
        <w:t>KMP</w:t>
      </w:r>
      <w:proofErr w:type="spellEnd"/>
      <w:r w:rsidR="00D21651">
        <w:rPr>
          <w:color w:val="808080"/>
        </w:rPr>
        <w:t xml:space="preserve">) </w:t>
      </w:r>
      <w:r w:rsidRPr="00DE475B">
        <w:rPr>
          <w:color w:val="808080"/>
        </w:rPr>
        <w:t>disclosures</w:t>
      </w:r>
    </w:p>
    <w:p w:rsidR="0037569A" w:rsidRPr="00DE475B" w:rsidRDefault="00237725" w:rsidP="00652F6C">
      <w:pPr>
        <w:tabs>
          <w:tab w:val="left" w:pos="284"/>
          <w:tab w:val="left" w:pos="5878"/>
          <w:tab w:val="left" w:pos="8548"/>
          <w:tab w:val="left" w:pos="8770"/>
          <w:tab w:val="left" w:pos="10266"/>
          <w:tab w:val="left" w:pos="11702"/>
        </w:tabs>
        <w:spacing w:before="120"/>
        <w:rPr>
          <w:rFonts w:ascii="Arial" w:hAnsi="Arial" w:cs="Arial"/>
          <w:b/>
          <w:bCs/>
          <w:sz w:val="20"/>
          <w:szCs w:val="20"/>
        </w:rPr>
      </w:pPr>
      <w:r w:rsidRPr="00DE475B">
        <w:rPr>
          <w:rFonts w:ascii="Arial" w:hAnsi="Arial" w:cs="Arial"/>
          <w:b/>
          <w:bCs/>
          <w:sz w:val="20"/>
          <w:szCs w:val="20"/>
        </w:rPr>
        <w:t>F</w:t>
      </w:r>
      <w:r w:rsidR="0037569A" w:rsidRPr="00DE475B">
        <w:rPr>
          <w:rFonts w:ascii="Arial" w:hAnsi="Arial" w:cs="Arial"/>
          <w:b/>
          <w:bCs/>
          <w:sz w:val="20"/>
          <w:szCs w:val="20"/>
        </w:rPr>
        <w:t>1-</w:t>
      </w:r>
      <w:proofErr w:type="gramStart"/>
      <w:r w:rsidR="0037569A" w:rsidRPr="00DE475B">
        <w:rPr>
          <w:rFonts w:ascii="Arial" w:hAnsi="Arial" w:cs="Arial"/>
          <w:b/>
          <w:bCs/>
          <w:sz w:val="20"/>
          <w:szCs w:val="20"/>
        </w:rPr>
        <w:t>1  Details</w:t>
      </w:r>
      <w:proofErr w:type="gramEnd"/>
      <w:r w:rsidR="0037569A" w:rsidRPr="00DE475B">
        <w:rPr>
          <w:rFonts w:ascii="Arial" w:hAnsi="Arial" w:cs="Arial"/>
          <w:b/>
          <w:bCs/>
          <w:sz w:val="20"/>
          <w:szCs w:val="20"/>
        </w:rPr>
        <w:t xml:space="preserve"> of key management personnel</w:t>
      </w:r>
    </w:p>
    <w:p w:rsidR="00D21651" w:rsidRDefault="00D21651" w:rsidP="00A005B6">
      <w:pPr>
        <w:spacing w:after="80"/>
        <w:rPr>
          <w:rFonts w:ascii="Arial" w:hAnsi="Arial" w:cs="Arial"/>
          <w:spacing w:val="-2"/>
          <w:sz w:val="20"/>
          <w:szCs w:val="20"/>
        </w:rPr>
      </w:pPr>
      <w:r>
        <w:rPr>
          <w:rFonts w:ascii="Arial" w:hAnsi="Arial" w:cs="Arial"/>
          <w:spacing w:val="-2"/>
          <w:sz w:val="20"/>
          <w:szCs w:val="20"/>
        </w:rPr>
        <w:t xml:space="preserve">As from 2016–17, </w:t>
      </w:r>
      <w:r w:rsidRPr="00D21651">
        <w:rPr>
          <w:rFonts w:ascii="Arial" w:hAnsi="Arial" w:cs="Arial"/>
          <w:spacing w:val="-2"/>
          <w:sz w:val="20"/>
          <w:szCs w:val="20"/>
        </w:rPr>
        <w:t>State Library's responsible Minist</w:t>
      </w:r>
      <w:r>
        <w:rPr>
          <w:rFonts w:ascii="Arial" w:hAnsi="Arial" w:cs="Arial"/>
          <w:spacing w:val="-2"/>
          <w:sz w:val="20"/>
          <w:szCs w:val="20"/>
        </w:rPr>
        <w:t xml:space="preserve">er is identified as part of </w:t>
      </w:r>
      <w:r w:rsidRPr="00D21651">
        <w:rPr>
          <w:rFonts w:ascii="Arial" w:hAnsi="Arial" w:cs="Arial"/>
          <w:spacing w:val="-2"/>
          <w:sz w:val="20"/>
          <w:szCs w:val="20"/>
        </w:rPr>
        <w:t xml:space="preserve">State Library's </w:t>
      </w:r>
      <w:proofErr w:type="spellStart"/>
      <w:r w:rsidRPr="00D21651">
        <w:rPr>
          <w:rFonts w:ascii="Arial" w:hAnsi="Arial" w:cs="Arial"/>
          <w:spacing w:val="-2"/>
          <w:sz w:val="20"/>
          <w:szCs w:val="20"/>
        </w:rPr>
        <w:t>KMP</w:t>
      </w:r>
      <w:proofErr w:type="spellEnd"/>
      <w:r w:rsidRPr="00D21651">
        <w:rPr>
          <w:rFonts w:ascii="Arial" w:hAnsi="Arial" w:cs="Arial"/>
          <w:spacing w:val="-2"/>
          <w:sz w:val="20"/>
          <w:szCs w:val="20"/>
        </w:rPr>
        <w:t xml:space="preserve">, consistent with additional guidance included in the revised version of </w:t>
      </w:r>
      <w:proofErr w:type="spellStart"/>
      <w:r w:rsidRPr="00D21651">
        <w:rPr>
          <w:rFonts w:ascii="Arial" w:hAnsi="Arial" w:cs="Arial"/>
          <w:spacing w:val="-2"/>
          <w:sz w:val="20"/>
          <w:szCs w:val="20"/>
        </w:rPr>
        <w:t>AASB</w:t>
      </w:r>
      <w:proofErr w:type="spellEnd"/>
      <w:r w:rsidRPr="00D21651">
        <w:rPr>
          <w:rFonts w:ascii="Arial" w:hAnsi="Arial" w:cs="Arial"/>
          <w:spacing w:val="-2"/>
          <w:sz w:val="20"/>
          <w:szCs w:val="20"/>
        </w:rPr>
        <w:t xml:space="preserve"> 124 Related Party Disclosures. That Minister is the Minister for Innovation, Science and the Digital Economy and Minister for Small Business.</w:t>
      </w:r>
    </w:p>
    <w:p w:rsidR="00A005B6" w:rsidRPr="00DE475B" w:rsidRDefault="00A005B6" w:rsidP="00A005B6">
      <w:pPr>
        <w:spacing w:after="80"/>
        <w:rPr>
          <w:rFonts w:ascii="Arial" w:hAnsi="Arial" w:cs="Arial"/>
          <w:b/>
          <w:bCs/>
          <w:sz w:val="20"/>
          <w:szCs w:val="20"/>
        </w:rPr>
      </w:pPr>
      <w:r w:rsidRPr="00DE475B">
        <w:rPr>
          <w:rFonts w:ascii="Arial" w:hAnsi="Arial" w:cs="Arial"/>
          <w:sz w:val="20"/>
          <w:szCs w:val="20"/>
        </w:rPr>
        <w:t xml:space="preserve">The following details for </w:t>
      </w:r>
      <w:r w:rsidR="00D21651">
        <w:rPr>
          <w:rFonts w:ascii="Arial" w:hAnsi="Arial" w:cs="Arial"/>
          <w:sz w:val="20"/>
          <w:szCs w:val="20"/>
        </w:rPr>
        <w:t xml:space="preserve">non-Ministerial </w:t>
      </w:r>
      <w:r w:rsidRPr="00DE475B">
        <w:rPr>
          <w:rFonts w:ascii="Arial" w:hAnsi="Arial" w:cs="Arial"/>
          <w:sz w:val="20"/>
          <w:szCs w:val="20"/>
        </w:rPr>
        <w:t>Key Management personnel include those positions that had authority and responsibility for planning, directing and controlling the activities of the agency during 2015–16</w:t>
      </w:r>
      <w:r w:rsidR="00D21651">
        <w:rPr>
          <w:rFonts w:ascii="Arial" w:hAnsi="Arial" w:cs="Arial"/>
          <w:sz w:val="20"/>
          <w:szCs w:val="20"/>
        </w:rPr>
        <w:t xml:space="preserve"> and 2016–17</w:t>
      </w:r>
      <w:r w:rsidRPr="00DE475B">
        <w:rPr>
          <w:rFonts w:ascii="Arial" w:hAnsi="Arial" w:cs="Arial"/>
          <w:sz w:val="20"/>
          <w:szCs w:val="20"/>
        </w:rPr>
        <w:t>. Further information on these positions can be found in the body of the Annual Report under the section relating to Executive Management.</w:t>
      </w:r>
    </w:p>
    <w:tbl>
      <w:tblPr>
        <w:tblW w:w="8755" w:type="dxa"/>
        <w:tblLayout w:type="fixed"/>
        <w:tblCellMar>
          <w:top w:w="57" w:type="dxa"/>
          <w:bottom w:w="57" w:type="dxa"/>
        </w:tblCellMar>
        <w:tblLook w:val="0000" w:firstRow="0" w:lastRow="0" w:firstColumn="0" w:lastColumn="0" w:noHBand="0" w:noVBand="0"/>
      </w:tblPr>
      <w:tblGrid>
        <w:gridCol w:w="2376"/>
        <w:gridCol w:w="6379"/>
      </w:tblGrid>
      <w:tr w:rsidR="00D21651" w:rsidRPr="00DE475B" w:rsidTr="00D21651">
        <w:tc>
          <w:tcPr>
            <w:tcW w:w="2376" w:type="dxa"/>
            <w:shd w:val="clear" w:color="auto" w:fill="CCCCCC"/>
            <w:vAlign w:val="center"/>
          </w:tcPr>
          <w:p w:rsidR="00D21651" w:rsidRPr="00DE475B" w:rsidRDefault="00D21651" w:rsidP="000557E9">
            <w:pPr>
              <w:rPr>
                <w:rFonts w:ascii="Arial" w:hAnsi="Arial" w:cs="Arial"/>
                <w:b/>
                <w:sz w:val="18"/>
                <w:szCs w:val="18"/>
              </w:rPr>
            </w:pPr>
            <w:r>
              <w:rPr>
                <w:rFonts w:ascii="Arial" w:hAnsi="Arial" w:cs="Arial"/>
                <w:b/>
                <w:sz w:val="18"/>
                <w:szCs w:val="18"/>
              </w:rPr>
              <w:t>Position</w:t>
            </w:r>
          </w:p>
        </w:tc>
        <w:tc>
          <w:tcPr>
            <w:tcW w:w="6379" w:type="dxa"/>
            <w:shd w:val="clear" w:color="auto" w:fill="CCCCCC"/>
            <w:vAlign w:val="center"/>
          </w:tcPr>
          <w:p w:rsidR="00D21651" w:rsidRPr="00DE475B" w:rsidRDefault="00D21651" w:rsidP="000557E9">
            <w:pPr>
              <w:rPr>
                <w:rFonts w:ascii="Arial" w:hAnsi="Arial" w:cs="Arial"/>
                <w:b/>
                <w:sz w:val="18"/>
                <w:szCs w:val="18"/>
              </w:rPr>
            </w:pPr>
            <w:r>
              <w:rPr>
                <w:rFonts w:ascii="Arial" w:hAnsi="Arial" w:cs="Arial"/>
                <w:b/>
                <w:sz w:val="18"/>
                <w:szCs w:val="18"/>
              </w:rPr>
              <w:t>Position responsibility</w:t>
            </w:r>
          </w:p>
        </w:tc>
      </w:tr>
      <w:tr w:rsidR="00D21651" w:rsidRPr="00DE475B" w:rsidTr="00D21651">
        <w:tc>
          <w:tcPr>
            <w:tcW w:w="2376" w:type="dxa"/>
            <w:tcBorders>
              <w:bottom w:val="single" w:sz="6" w:space="0" w:color="000000"/>
            </w:tcBorders>
            <w:vAlign w:val="center"/>
          </w:tcPr>
          <w:p w:rsidR="00D21651" w:rsidRPr="00DE475B" w:rsidRDefault="00D21651" w:rsidP="000557E9">
            <w:pPr>
              <w:rPr>
                <w:rFonts w:ascii="Arial" w:hAnsi="Arial" w:cs="Arial"/>
                <w:sz w:val="18"/>
                <w:szCs w:val="18"/>
              </w:rPr>
            </w:pPr>
            <w:r>
              <w:rPr>
                <w:rFonts w:ascii="Arial" w:hAnsi="Arial" w:cs="Arial"/>
                <w:sz w:val="18"/>
                <w:szCs w:val="18"/>
              </w:rPr>
              <w:t>State Librarian and</w:t>
            </w:r>
            <w:r w:rsidRPr="00D21651">
              <w:rPr>
                <w:rFonts w:ascii="Arial" w:hAnsi="Arial" w:cs="Arial"/>
                <w:sz w:val="18"/>
                <w:szCs w:val="18"/>
              </w:rPr>
              <w:t xml:space="preserve"> CEO</w:t>
            </w:r>
          </w:p>
        </w:tc>
        <w:tc>
          <w:tcPr>
            <w:tcW w:w="6379" w:type="dxa"/>
            <w:tcBorders>
              <w:bottom w:val="single" w:sz="6" w:space="0" w:color="000000"/>
            </w:tcBorders>
            <w:tcMar>
              <w:left w:w="85" w:type="dxa"/>
              <w:right w:w="28" w:type="dxa"/>
            </w:tcMar>
            <w:vAlign w:val="center"/>
          </w:tcPr>
          <w:p w:rsidR="00D21651" w:rsidRPr="00DE475B" w:rsidRDefault="00D21651" w:rsidP="00D21651">
            <w:pPr>
              <w:rPr>
                <w:rFonts w:ascii="Arial" w:hAnsi="Arial" w:cs="Arial"/>
                <w:spacing w:val="-2"/>
                <w:sz w:val="18"/>
                <w:szCs w:val="18"/>
              </w:rPr>
            </w:pPr>
            <w:r w:rsidRPr="00D21651">
              <w:rPr>
                <w:rFonts w:ascii="Arial" w:hAnsi="Arial" w:cs="Arial"/>
                <w:spacing w:val="-2"/>
                <w:sz w:val="18"/>
                <w:szCs w:val="18"/>
              </w:rPr>
              <w:t>The State Librarian is responsible for the proper and sound management of State Library, under the authority of the Library Board of Queensland.</w:t>
            </w:r>
          </w:p>
        </w:tc>
      </w:tr>
      <w:tr w:rsidR="00D21651" w:rsidRPr="00DE475B" w:rsidTr="00D21651">
        <w:tc>
          <w:tcPr>
            <w:tcW w:w="2376" w:type="dxa"/>
            <w:tcBorders>
              <w:top w:val="single" w:sz="6" w:space="0" w:color="000000"/>
              <w:bottom w:val="single" w:sz="6" w:space="0" w:color="000000"/>
            </w:tcBorders>
            <w:vAlign w:val="center"/>
          </w:tcPr>
          <w:p w:rsidR="00D21651" w:rsidRPr="00DE475B" w:rsidRDefault="00D21651" w:rsidP="000557E9">
            <w:pPr>
              <w:rPr>
                <w:rFonts w:ascii="Arial" w:hAnsi="Arial" w:cs="Arial"/>
                <w:sz w:val="18"/>
                <w:szCs w:val="18"/>
              </w:rPr>
            </w:pPr>
            <w:r w:rsidRPr="00D21651">
              <w:rPr>
                <w:rFonts w:ascii="Arial" w:hAnsi="Arial" w:cs="Arial"/>
                <w:sz w:val="18"/>
                <w:szCs w:val="18"/>
              </w:rPr>
              <w:t>Executive Director, Corporate Governance and Operations</w:t>
            </w:r>
          </w:p>
        </w:tc>
        <w:tc>
          <w:tcPr>
            <w:tcW w:w="6379" w:type="dxa"/>
            <w:tcBorders>
              <w:top w:val="single" w:sz="6" w:space="0" w:color="000000"/>
              <w:bottom w:val="single" w:sz="6" w:space="0" w:color="000000"/>
            </w:tcBorders>
            <w:vAlign w:val="center"/>
          </w:tcPr>
          <w:p w:rsidR="00D21651" w:rsidRPr="00DE475B" w:rsidRDefault="00D21651" w:rsidP="00D21651">
            <w:pPr>
              <w:rPr>
                <w:rFonts w:ascii="Arial" w:hAnsi="Arial" w:cs="Arial"/>
                <w:sz w:val="18"/>
                <w:szCs w:val="18"/>
              </w:rPr>
            </w:pPr>
            <w:r w:rsidRPr="00D21651">
              <w:rPr>
                <w:rFonts w:ascii="Arial" w:hAnsi="Arial" w:cs="Arial"/>
                <w:sz w:val="18"/>
                <w:szCs w:val="18"/>
              </w:rPr>
              <w:t xml:space="preserve">The Executive Director, Corporate Governance and Operations </w:t>
            </w:r>
            <w:proofErr w:type="gramStart"/>
            <w:r w:rsidRPr="00D21651">
              <w:rPr>
                <w:rFonts w:ascii="Arial" w:hAnsi="Arial" w:cs="Arial"/>
                <w:sz w:val="18"/>
                <w:szCs w:val="18"/>
              </w:rPr>
              <w:t>is</w:t>
            </w:r>
            <w:proofErr w:type="gramEnd"/>
            <w:r>
              <w:rPr>
                <w:rFonts w:ascii="Arial" w:hAnsi="Arial" w:cs="Arial"/>
                <w:sz w:val="18"/>
                <w:szCs w:val="18"/>
              </w:rPr>
              <w:t xml:space="preserve"> </w:t>
            </w:r>
            <w:r w:rsidRPr="00D21651">
              <w:rPr>
                <w:rFonts w:ascii="Arial" w:hAnsi="Arial" w:cs="Arial"/>
                <w:sz w:val="18"/>
                <w:szCs w:val="18"/>
              </w:rPr>
              <w:t>responsible</w:t>
            </w:r>
            <w:r>
              <w:rPr>
                <w:rFonts w:ascii="Arial" w:hAnsi="Arial" w:cs="Arial"/>
                <w:sz w:val="18"/>
                <w:szCs w:val="18"/>
              </w:rPr>
              <w:t xml:space="preserve"> </w:t>
            </w:r>
            <w:r w:rsidRPr="00D21651">
              <w:rPr>
                <w:rFonts w:ascii="Arial" w:hAnsi="Arial" w:cs="Arial"/>
                <w:sz w:val="18"/>
                <w:szCs w:val="18"/>
              </w:rPr>
              <w:t>for providing a range of organisational servic</w:t>
            </w:r>
            <w:r>
              <w:rPr>
                <w:rFonts w:ascii="Arial" w:hAnsi="Arial" w:cs="Arial"/>
                <w:sz w:val="18"/>
                <w:szCs w:val="18"/>
              </w:rPr>
              <w:t>es that underpin and support</w:t>
            </w:r>
            <w:r w:rsidRPr="00D21651">
              <w:rPr>
                <w:rFonts w:ascii="Arial" w:hAnsi="Arial" w:cs="Arial"/>
                <w:sz w:val="18"/>
                <w:szCs w:val="18"/>
              </w:rPr>
              <w:t xml:space="preserve"> State Library's activities.</w:t>
            </w:r>
          </w:p>
        </w:tc>
      </w:tr>
      <w:tr w:rsidR="00D21651" w:rsidRPr="00DE475B" w:rsidTr="00D21651">
        <w:tc>
          <w:tcPr>
            <w:tcW w:w="2376" w:type="dxa"/>
            <w:tcBorders>
              <w:top w:val="single" w:sz="6" w:space="0" w:color="000000"/>
              <w:bottom w:val="single" w:sz="6" w:space="0" w:color="000000"/>
            </w:tcBorders>
            <w:vAlign w:val="center"/>
          </w:tcPr>
          <w:p w:rsidR="00D21651" w:rsidRPr="00DE475B" w:rsidRDefault="00D21651" w:rsidP="000557E9">
            <w:pPr>
              <w:rPr>
                <w:rFonts w:ascii="Arial" w:hAnsi="Arial" w:cs="Arial"/>
                <w:sz w:val="18"/>
                <w:szCs w:val="18"/>
              </w:rPr>
            </w:pPr>
            <w:r w:rsidRPr="00D21651">
              <w:rPr>
                <w:rFonts w:ascii="Arial" w:hAnsi="Arial" w:cs="Arial"/>
                <w:sz w:val="18"/>
                <w:szCs w:val="18"/>
              </w:rPr>
              <w:t>Executive Director, Content Developmen</w:t>
            </w:r>
            <w:r>
              <w:rPr>
                <w:rFonts w:ascii="Arial" w:hAnsi="Arial" w:cs="Arial"/>
                <w:sz w:val="18"/>
                <w:szCs w:val="18"/>
              </w:rPr>
              <w:t>t</w:t>
            </w:r>
          </w:p>
        </w:tc>
        <w:tc>
          <w:tcPr>
            <w:tcW w:w="6379" w:type="dxa"/>
            <w:tcBorders>
              <w:top w:val="single" w:sz="6" w:space="0" w:color="000000"/>
              <w:bottom w:val="single" w:sz="6" w:space="0" w:color="000000"/>
            </w:tcBorders>
            <w:vAlign w:val="center"/>
          </w:tcPr>
          <w:p w:rsidR="00D21651" w:rsidRPr="00DE475B" w:rsidRDefault="00D21651" w:rsidP="00340E6E">
            <w:pPr>
              <w:rPr>
                <w:rFonts w:ascii="Arial" w:hAnsi="Arial" w:cs="Arial"/>
                <w:sz w:val="18"/>
                <w:szCs w:val="18"/>
              </w:rPr>
            </w:pPr>
            <w:r w:rsidRPr="00D21651">
              <w:rPr>
                <w:rFonts w:ascii="Arial" w:hAnsi="Arial" w:cs="Arial"/>
                <w:sz w:val="18"/>
                <w:szCs w:val="18"/>
              </w:rPr>
              <w:t>The Executive Director, Content Development is responsib</w:t>
            </w:r>
            <w:r>
              <w:rPr>
                <w:rFonts w:ascii="Arial" w:hAnsi="Arial" w:cs="Arial"/>
                <w:sz w:val="18"/>
                <w:szCs w:val="18"/>
              </w:rPr>
              <w:t xml:space="preserve">le for providing clients of </w:t>
            </w:r>
            <w:r w:rsidRPr="00D21651">
              <w:rPr>
                <w:rFonts w:ascii="Arial" w:hAnsi="Arial" w:cs="Arial"/>
                <w:sz w:val="18"/>
                <w:szCs w:val="18"/>
              </w:rPr>
              <w:t>State Library with physical and virtual access</w:t>
            </w:r>
            <w:r w:rsidR="000076D6">
              <w:rPr>
                <w:rFonts w:ascii="Arial" w:hAnsi="Arial" w:cs="Arial"/>
                <w:sz w:val="18"/>
                <w:szCs w:val="18"/>
              </w:rPr>
              <w:t xml:space="preserve"> to the S</w:t>
            </w:r>
            <w:r w:rsidRPr="00D21651">
              <w:rPr>
                <w:rFonts w:ascii="Arial" w:hAnsi="Arial" w:cs="Arial"/>
                <w:sz w:val="18"/>
                <w:szCs w:val="18"/>
              </w:rPr>
              <w:t>tate’s diverse collections and services.</w:t>
            </w:r>
          </w:p>
        </w:tc>
      </w:tr>
      <w:tr w:rsidR="00D21651" w:rsidRPr="00DE475B" w:rsidTr="00D21651">
        <w:tc>
          <w:tcPr>
            <w:tcW w:w="2376" w:type="dxa"/>
            <w:tcBorders>
              <w:top w:val="single" w:sz="6" w:space="0" w:color="000000"/>
              <w:bottom w:val="single" w:sz="6" w:space="0" w:color="000000"/>
            </w:tcBorders>
            <w:vAlign w:val="center"/>
          </w:tcPr>
          <w:p w:rsidR="00D21651" w:rsidRPr="00DE475B" w:rsidRDefault="00D21651" w:rsidP="000557E9">
            <w:pPr>
              <w:rPr>
                <w:rFonts w:ascii="Arial" w:hAnsi="Arial" w:cs="Arial"/>
                <w:sz w:val="18"/>
                <w:szCs w:val="18"/>
              </w:rPr>
            </w:pPr>
            <w:r w:rsidRPr="00D21651">
              <w:rPr>
                <w:rFonts w:ascii="Arial" w:hAnsi="Arial" w:cs="Arial"/>
                <w:sz w:val="18"/>
                <w:szCs w:val="18"/>
              </w:rPr>
              <w:t>Executive Director, Regional Access and Public Libraries</w:t>
            </w:r>
          </w:p>
        </w:tc>
        <w:tc>
          <w:tcPr>
            <w:tcW w:w="6379" w:type="dxa"/>
            <w:tcBorders>
              <w:top w:val="single" w:sz="6" w:space="0" w:color="000000"/>
              <w:bottom w:val="single" w:sz="6" w:space="0" w:color="000000"/>
            </w:tcBorders>
            <w:vAlign w:val="center"/>
          </w:tcPr>
          <w:p w:rsidR="00D21651" w:rsidRPr="00DE475B" w:rsidRDefault="00D21651" w:rsidP="00340E6E">
            <w:pPr>
              <w:rPr>
                <w:rFonts w:ascii="Arial" w:hAnsi="Arial" w:cs="Arial"/>
                <w:sz w:val="18"/>
                <w:szCs w:val="18"/>
              </w:rPr>
            </w:pPr>
            <w:r w:rsidRPr="00D21651">
              <w:rPr>
                <w:rFonts w:ascii="Arial" w:hAnsi="Arial" w:cs="Arial"/>
                <w:sz w:val="18"/>
                <w:szCs w:val="18"/>
              </w:rPr>
              <w:t>The Executive Director, Regional Access &amp; Public Libraries is responsible for providing support for Local Government and communities to deliver library services in over 340 library and Indigenous Knowledge Centre (</w:t>
            </w:r>
            <w:proofErr w:type="spellStart"/>
            <w:r w:rsidRPr="00D21651">
              <w:rPr>
                <w:rFonts w:ascii="Arial" w:hAnsi="Arial" w:cs="Arial"/>
                <w:sz w:val="18"/>
                <w:szCs w:val="18"/>
              </w:rPr>
              <w:t>IKC</w:t>
            </w:r>
            <w:proofErr w:type="spellEnd"/>
            <w:r w:rsidRPr="00D21651">
              <w:rPr>
                <w:rFonts w:ascii="Arial" w:hAnsi="Arial" w:cs="Arial"/>
                <w:sz w:val="18"/>
                <w:szCs w:val="18"/>
              </w:rPr>
              <w:t>) service points in Queensland.</w:t>
            </w:r>
          </w:p>
        </w:tc>
      </w:tr>
      <w:tr w:rsidR="00D21651" w:rsidRPr="00DE475B" w:rsidTr="00D21651">
        <w:tc>
          <w:tcPr>
            <w:tcW w:w="2376" w:type="dxa"/>
            <w:tcBorders>
              <w:top w:val="single" w:sz="6" w:space="0" w:color="000000"/>
              <w:bottom w:val="single" w:sz="6" w:space="0" w:color="000000"/>
            </w:tcBorders>
            <w:vAlign w:val="center"/>
          </w:tcPr>
          <w:p w:rsidR="00D21651" w:rsidRPr="00DE475B" w:rsidRDefault="00D21651" w:rsidP="000557E9">
            <w:pPr>
              <w:rPr>
                <w:rFonts w:ascii="Arial" w:hAnsi="Arial" w:cs="Arial"/>
                <w:sz w:val="18"/>
                <w:szCs w:val="18"/>
              </w:rPr>
            </w:pPr>
            <w:r w:rsidRPr="00D21651">
              <w:rPr>
                <w:rFonts w:ascii="Arial" w:hAnsi="Arial" w:cs="Arial"/>
                <w:sz w:val="18"/>
                <w:szCs w:val="18"/>
              </w:rPr>
              <w:t>Executive Director, Engagement &amp; Partnerships</w:t>
            </w:r>
          </w:p>
        </w:tc>
        <w:tc>
          <w:tcPr>
            <w:tcW w:w="6379" w:type="dxa"/>
            <w:tcBorders>
              <w:top w:val="single" w:sz="6" w:space="0" w:color="000000"/>
              <w:bottom w:val="single" w:sz="6" w:space="0" w:color="000000"/>
            </w:tcBorders>
            <w:vAlign w:val="center"/>
          </w:tcPr>
          <w:p w:rsidR="00D21651" w:rsidRPr="00DE475B" w:rsidRDefault="00D21651" w:rsidP="00340E6E">
            <w:pPr>
              <w:rPr>
                <w:rFonts w:ascii="Arial" w:hAnsi="Arial" w:cs="Arial"/>
                <w:sz w:val="18"/>
                <w:szCs w:val="18"/>
              </w:rPr>
            </w:pPr>
            <w:r w:rsidRPr="00D21651">
              <w:rPr>
                <w:rFonts w:ascii="Arial" w:hAnsi="Arial" w:cs="Arial"/>
                <w:sz w:val="18"/>
                <w:szCs w:val="18"/>
              </w:rPr>
              <w:t xml:space="preserve">The Executive Director, Engagement &amp; Partnerships is responsible for driving </w:t>
            </w:r>
            <w:proofErr w:type="spellStart"/>
            <w:r w:rsidRPr="00D21651">
              <w:rPr>
                <w:rFonts w:ascii="Arial" w:hAnsi="Arial" w:cs="Arial"/>
                <w:sz w:val="18"/>
                <w:szCs w:val="18"/>
              </w:rPr>
              <w:t>SLQ’s</w:t>
            </w:r>
            <w:proofErr w:type="spellEnd"/>
            <w:r w:rsidRPr="00D21651">
              <w:rPr>
                <w:rFonts w:ascii="Arial" w:hAnsi="Arial" w:cs="Arial"/>
                <w:sz w:val="18"/>
                <w:szCs w:val="18"/>
              </w:rPr>
              <w:t xml:space="preserve"> emphasis on innovative, cohesive and collaborative programs and service delivery, bringing together visitor and information services, and engagement with specific audiences.</w:t>
            </w:r>
          </w:p>
        </w:tc>
      </w:tr>
      <w:tr w:rsidR="00D21651" w:rsidRPr="00DE475B" w:rsidTr="00D21651">
        <w:tc>
          <w:tcPr>
            <w:tcW w:w="2376" w:type="dxa"/>
            <w:tcBorders>
              <w:top w:val="single" w:sz="6" w:space="0" w:color="000000"/>
              <w:bottom w:val="single" w:sz="6" w:space="0" w:color="000000"/>
            </w:tcBorders>
            <w:vAlign w:val="center"/>
          </w:tcPr>
          <w:p w:rsidR="00D21651" w:rsidRPr="00DE475B" w:rsidRDefault="00D21651" w:rsidP="000557E9">
            <w:pPr>
              <w:rPr>
                <w:rFonts w:ascii="Arial" w:hAnsi="Arial" w:cs="Arial"/>
                <w:sz w:val="18"/>
                <w:szCs w:val="18"/>
              </w:rPr>
            </w:pPr>
            <w:r w:rsidRPr="00D21651">
              <w:rPr>
                <w:rFonts w:ascii="Arial" w:hAnsi="Arial" w:cs="Arial"/>
                <w:sz w:val="18"/>
                <w:szCs w:val="18"/>
              </w:rPr>
              <w:t>Executive Manager, Communications</w:t>
            </w:r>
          </w:p>
        </w:tc>
        <w:tc>
          <w:tcPr>
            <w:tcW w:w="6379" w:type="dxa"/>
            <w:tcBorders>
              <w:top w:val="single" w:sz="6" w:space="0" w:color="000000"/>
              <w:bottom w:val="single" w:sz="6" w:space="0" w:color="000000"/>
            </w:tcBorders>
            <w:vAlign w:val="center"/>
          </w:tcPr>
          <w:p w:rsidR="00D21651" w:rsidRPr="00DE475B" w:rsidRDefault="00D21651" w:rsidP="00340E6E">
            <w:pPr>
              <w:rPr>
                <w:rFonts w:ascii="Arial" w:hAnsi="Arial" w:cs="Arial"/>
                <w:sz w:val="18"/>
                <w:szCs w:val="18"/>
              </w:rPr>
            </w:pPr>
            <w:r w:rsidRPr="00D21651">
              <w:rPr>
                <w:rFonts w:ascii="Arial" w:hAnsi="Arial" w:cs="Arial"/>
                <w:sz w:val="18"/>
                <w:szCs w:val="18"/>
              </w:rPr>
              <w:t>The Executive Manager Communicatio</w:t>
            </w:r>
            <w:r w:rsidR="00585810">
              <w:rPr>
                <w:rFonts w:ascii="Arial" w:hAnsi="Arial" w:cs="Arial"/>
                <w:sz w:val="18"/>
                <w:szCs w:val="18"/>
              </w:rPr>
              <w:t>ns develops and delivers a long-</w:t>
            </w:r>
            <w:r w:rsidRPr="00D21651">
              <w:rPr>
                <w:rFonts w:ascii="Arial" w:hAnsi="Arial" w:cs="Arial"/>
                <w:sz w:val="18"/>
                <w:szCs w:val="18"/>
              </w:rPr>
              <w:t>term marketing vision for the organisa</w:t>
            </w:r>
            <w:r>
              <w:rPr>
                <w:rFonts w:ascii="Arial" w:hAnsi="Arial" w:cs="Arial"/>
                <w:sz w:val="18"/>
                <w:szCs w:val="18"/>
              </w:rPr>
              <w:t xml:space="preserve">tion, leading and directing </w:t>
            </w:r>
            <w:r w:rsidRPr="00D21651">
              <w:rPr>
                <w:rFonts w:ascii="Arial" w:hAnsi="Arial" w:cs="Arial"/>
                <w:sz w:val="18"/>
                <w:szCs w:val="18"/>
              </w:rPr>
              <w:t>State Library’s marketing, communications and web services staff in support of the Strategic Plan and Operational Plan.</w:t>
            </w:r>
          </w:p>
        </w:tc>
      </w:tr>
      <w:tr w:rsidR="00D21651" w:rsidRPr="00DE475B" w:rsidTr="00D21651">
        <w:tc>
          <w:tcPr>
            <w:tcW w:w="2376" w:type="dxa"/>
            <w:tcBorders>
              <w:top w:val="single" w:sz="6" w:space="0" w:color="000000"/>
              <w:bottom w:val="single" w:sz="6" w:space="0" w:color="000000"/>
            </w:tcBorders>
            <w:vAlign w:val="center"/>
          </w:tcPr>
          <w:p w:rsidR="00D21651" w:rsidRPr="00D21651" w:rsidRDefault="00D21651" w:rsidP="000557E9">
            <w:pPr>
              <w:rPr>
                <w:rFonts w:ascii="Arial" w:hAnsi="Arial" w:cs="Arial"/>
                <w:sz w:val="18"/>
                <w:szCs w:val="18"/>
              </w:rPr>
            </w:pPr>
            <w:r w:rsidRPr="00D21651">
              <w:rPr>
                <w:rFonts w:ascii="Arial" w:hAnsi="Arial" w:cs="Arial"/>
                <w:sz w:val="18"/>
                <w:szCs w:val="18"/>
              </w:rPr>
              <w:t>Executive Manager, People and Planning</w:t>
            </w:r>
          </w:p>
        </w:tc>
        <w:tc>
          <w:tcPr>
            <w:tcW w:w="6379" w:type="dxa"/>
            <w:tcBorders>
              <w:top w:val="single" w:sz="6" w:space="0" w:color="000000"/>
              <w:bottom w:val="single" w:sz="6" w:space="0" w:color="000000"/>
            </w:tcBorders>
            <w:vAlign w:val="center"/>
          </w:tcPr>
          <w:p w:rsidR="00D21651" w:rsidRPr="00D21651" w:rsidRDefault="00D21651" w:rsidP="00D21651">
            <w:pPr>
              <w:rPr>
                <w:rFonts w:ascii="Arial" w:hAnsi="Arial" w:cs="Arial"/>
                <w:sz w:val="18"/>
                <w:szCs w:val="18"/>
              </w:rPr>
            </w:pPr>
            <w:r w:rsidRPr="00D21651">
              <w:rPr>
                <w:rFonts w:ascii="Arial" w:hAnsi="Arial" w:cs="Arial"/>
                <w:sz w:val="18"/>
                <w:szCs w:val="18"/>
              </w:rPr>
              <w:t>The Executive Manager, P</w:t>
            </w:r>
            <w:r>
              <w:rPr>
                <w:rFonts w:ascii="Arial" w:hAnsi="Arial" w:cs="Arial"/>
                <w:sz w:val="18"/>
                <w:szCs w:val="18"/>
              </w:rPr>
              <w:t xml:space="preserve">eople and Planning supports the </w:t>
            </w:r>
            <w:r w:rsidRPr="00D21651">
              <w:rPr>
                <w:rFonts w:ascii="Arial" w:hAnsi="Arial" w:cs="Arial"/>
                <w:sz w:val="18"/>
                <w:szCs w:val="18"/>
              </w:rPr>
              <w:t>State Librarian and Executive G</w:t>
            </w:r>
            <w:r>
              <w:rPr>
                <w:rFonts w:ascii="Arial" w:hAnsi="Arial" w:cs="Arial"/>
                <w:sz w:val="18"/>
                <w:szCs w:val="18"/>
              </w:rPr>
              <w:t xml:space="preserve">roup in shaping and setting </w:t>
            </w:r>
            <w:r w:rsidRPr="00D21651">
              <w:rPr>
                <w:rFonts w:ascii="Arial" w:hAnsi="Arial" w:cs="Arial"/>
                <w:sz w:val="18"/>
                <w:szCs w:val="18"/>
              </w:rPr>
              <w:t xml:space="preserve">State Library’s strategic agendas by driving an integrated approach to strategic, operational and business planning across </w:t>
            </w:r>
            <w:r>
              <w:rPr>
                <w:rFonts w:ascii="Arial" w:hAnsi="Arial" w:cs="Arial"/>
                <w:sz w:val="18"/>
                <w:szCs w:val="18"/>
              </w:rPr>
              <w:t>State</w:t>
            </w:r>
            <w:r w:rsidRPr="00D21651">
              <w:rPr>
                <w:rFonts w:ascii="Arial" w:hAnsi="Arial" w:cs="Arial"/>
                <w:sz w:val="18"/>
                <w:szCs w:val="18"/>
              </w:rPr>
              <w:t xml:space="preserve"> Library.</w:t>
            </w:r>
          </w:p>
        </w:tc>
      </w:tr>
      <w:tr w:rsidR="00D21651" w:rsidRPr="00DE475B" w:rsidTr="00D21651">
        <w:tc>
          <w:tcPr>
            <w:tcW w:w="2376" w:type="dxa"/>
            <w:tcBorders>
              <w:top w:val="single" w:sz="6" w:space="0" w:color="000000"/>
              <w:bottom w:val="single" w:sz="6" w:space="0" w:color="000000"/>
            </w:tcBorders>
            <w:vAlign w:val="center"/>
          </w:tcPr>
          <w:p w:rsidR="00D21651" w:rsidRPr="00D21651" w:rsidRDefault="00D21651" w:rsidP="000557E9">
            <w:pPr>
              <w:rPr>
                <w:rFonts w:ascii="Arial" w:hAnsi="Arial" w:cs="Arial"/>
                <w:sz w:val="18"/>
                <w:szCs w:val="18"/>
              </w:rPr>
            </w:pPr>
            <w:r w:rsidRPr="00D21651">
              <w:rPr>
                <w:rFonts w:ascii="Arial" w:hAnsi="Arial" w:cs="Arial"/>
                <w:sz w:val="18"/>
                <w:szCs w:val="18"/>
              </w:rPr>
              <w:t>Director, Queensland Library Foundation</w:t>
            </w:r>
          </w:p>
        </w:tc>
        <w:tc>
          <w:tcPr>
            <w:tcW w:w="6379" w:type="dxa"/>
            <w:tcBorders>
              <w:top w:val="single" w:sz="6" w:space="0" w:color="000000"/>
              <w:bottom w:val="single" w:sz="6" w:space="0" w:color="000000"/>
            </w:tcBorders>
            <w:vAlign w:val="center"/>
          </w:tcPr>
          <w:p w:rsidR="00D21651" w:rsidRPr="00D21651" w:rsidRDefault="00D21651" w:rsidP="00340E6E">
            <w:pPr>
              <w:rPr>
                <w:rFonts w:ascii="Arial" w:hAnsi="Arial" w:cs="Arial"/>
                <w:sz w:val="18"/>
                <w:szCs w:val="18"/>
              </w:rPr>
            </w:pPr>
            <w:r w:rsidRPr="00D21651">
              <w:rPr>
                <w:rFonts w:ascii="Arial" w:hAnsi="Arial" w:cs="Arial"/>
                <w:sz w:val="18"/>
                <w:szCs w:val="18"/>
              </w:rPr>
              <w:t>The Director, Queensland Library Foundation is responsible for developing and delivering the fundraising and sponsorship arrangements to support the many</w:t>
            </w:r>
            <w:r>
              <w:rPr>
                <w:rFonts w:ascii="Arial" w:hAnsi="Arial" w:cs="Arial"/>
                <w:sz w:val="18"/>
                <w:szCs w:val="18"/>
              </w:rPr>
              <w:t xml:space="preserve"> activities and programs of </w:t>
            </w:r>
            <w:r w:rsidRPr="00D21651">
              <w:rPr>
                <w:rFonts w:ascii="Arial" w:hAnsi="Arial" w:cs="Arial"/>
                <w:sz w:val="18"/>
                <w:szCs w:val="18"/>
              </w:rPr>
              <w:t>State Library.</w:t>
            </w:r>
          </w:p>
        </w:tc>
      </w:tr>
    </w:tbl>
    <w:p w:rsidR="00B17CBD" w:rsidRPr="00D21651" w:rsidRDefault="00D21651" w:rsidP="00D21651">
      <w:pPr>
        <w:spacing w:before="120" w:after="80"/>
        <w:rPr>
          <w:rFonts w:ascii="Arial" w:hAnsi="Arial" w:cs="Arial"/>
          <w:spacing w:val="-2"/>
          <w:sz w:val="20"/>
          <w:szCs w:val="20"/>
        </w:rPr>
      </w:pPr>
      <w:r w:rsidRPr="00D21651">
        <w:rPr>
          <w:rFonts w:ascii="Arial" w:hAnsi="Arial" w:cs="Arial"/>
          <w:spacing w:val="-2"/>
          <w:sz w:val="20"/>
          <w:szCs w:val="20"/>
        </w:rPr>
        <w:t>The following changes to position titles occurred during 2016</w:t>
      </w:r>
      <w:r>
        <w:rPr>
          <w:rFonts w:ascii="Arial" w:hAnsi="Arial" w:cs="Arial"/>
          <w:spacing w:val="-2"/>
          <w:sz w:val="20"/>
          <w:szCs w:val="20"/>
        </w:rPr>
        <w:t>–</w:t>
      </w:r>
      <w:r w:rsidRPr="00D21651">
        <w:rPr>
          <w:rFonts w:ascii="Arial" w:hAnsi="Arial" w:cs="Arial"/>
          <w:spacing w:val="-2"/>
          <w:sz w:val="20"/>
          <w:szCs w:val="20"/>
        </w:rPr>
        <w:t>17:</w:t>
      </w:r>
    </w:p>
    <w:tbl>
      <w:tblPr>
        <w:tblW w:w="9180" w:type="dxa"/>
        <w:tblLayout w:type="fixed"/>
        <w:tblCellMar>
          <w:top w:w="57" w:type="dxa"/>
          <w:bottom w:w="57" w:type="dxa"/>
        </w:tblCellMar>
        <w:tblLook w:val="0000" w:firstRow="0" w:lastRow="0" w:firstColumn="0" w:lastColumn="0" w:noHBand="0" w:noVBand="0"/>
      </w:tblPr>
      <w:tblGrid>
        <w:gridCol w:w="4644"/>
        <w:gridCol w:w="4536"/>
      </w:tblGrid>
      <w:tr w:rsidR="00D21651" w:rsidRPr="00DE475B" w:rsidTr="00D21651">
        <w:tc>
          <w:tcPr>
            <w:tcW w:w="4644" w:type="dxa"/>
            <w:shd w:val="clear" w:color="auto" w:fill="CCCCCC"/>
            <w:vAlign w:val="center"/>
          </w:tcPr>
          <w:p w:rsidR="00D21651" w:rsidRPr="00DE475B" w:rsidRDefault="00D21651" w:rsidP="00A1189F">
            <w:pPr>
              <w:rPr>
                <w:rFonts w:ascii="Arial" w:hAnsi="Arial" w:cs="Arial"/>
                <w:b/>
                <w:sz w:val="18"/>
                <w:szCs w:val="18"/>
              </w:rPr>
            </w:pPr>
            <w:r>
              <w:rPr>
                <w:rFonts w:ascii="Arial" w:hAnsi="Arial" w:cs="Arial"/>
                <w:b/>
                <w:sz w:val="18"/>
                <w:szCs w:val="18"/>
              </w:rPr>
              <w:t>Current (2016–</w:t>
            </w:r>
            <w:r w:rsidRPr="00D21651">
              <w:rPr>
                <w:rFonts w:ascii="Arial" w:hAnsi="Arial" w:cs="Arial"/>
                <w:b/>
                <w:sz w:val="18"/>
                <w:szCs w:val="18"/>
              </w:rPr>
              <w:t>17)</w:t>
            </w:r>
          </w:p>
        </w:tc>
        <w:tc>
          <w:tcPr>
            <w:tcW w:w="4536" w:type="dxa"/>
            <w:shd w:val="clear" w:color="auto" w:fill="CCCCCC"/>
            <w:vAlign w:val="center"/>
          </w:tcPr>
          <w:p w:rsidR="00D21651" w:rsidRPr="00DE475B" w:rsidRDefault="00D21651" w:rsidP="00D21651">
            <w:pPr>
              <w:rPr>
                <w:rFonts w:ascii="Arial" w:hAnsi="Arial" w:cs="Arial"/>
                <w:b/>
                <w:sz w:val="18"/>
                <w:szCs w:val="18"/>
              </w:rPr>
            </w:pPr>
            <w:r>
              <w:rPr>
                <w:rFonts w:ascii="Arial" w:hAnsi="Arial" w:cs="Arial"/>
                <w:b/>
                <w:sz w:val="18"/>
                <w:szCs w:val="18"/>
              </w:rPr>
              <w:t>Previously (2015–</w:t>
            </w:r>
            <w:r w:rsidRPr="00D21651">
              <w:rPr>
                <w:rFonts w:ascii="Arial" w:hAnsi="Arial" w:cs="Arial"/>
                <w:b/>
                <w:sz w:val="18"/>
                <w:szCs w:val="18"/>
              </w:rPr>
              <w:t>16)</w:t>
            </w:r>
          </w:p>
        </w:tc>
      </w:tr>
      <w:tr w:rsidR="00D21651" w:rsidRPr="00DE475B" w:rsidTr="00D21651">
        <w:tc>
          <w:tcPr>
            <w:tcW w:w="4644" w:type="dxa"/>
            <w:tcBorders>
              <w:bottom w:val="single" w:sz="6" w:space="0" w:color="000000"/>
            </w:tcBorders>
            <w:vAlign w:val="center"/>
          </w:tcPr>
          <w:p w:rsidR="00D21651" w:rsidRPr="00DE475B" w:rsidRDefault="00D21651" w:rsidP="00A1189F">
            <w:pPr>
              <w:rPr>
                <w:rFonts w:ascii="Arial" w:hAnsi="Arial" w:cs="Arial"/>
                <w:sz w:val="18"/>
                <w:szCs w:val="18"/>
              </w:rPr>
            </w:pPr>
            <w:r w:rsidRPr="00D21651">
              <w:rPr>
                <w:rFonts w:ascii="Arial" w:hAnsi="Arial" w:cs="Arial"/>
                <w:sz w:val="18"/>
                <w:szCs w:val="18"/>
              </w:rPr>
              <w:t>Executive Director, Corporate Governance and Operations</w:t>
            </w:r>
          </w:p>
        </w:tc>
        <w:tc>
          <w:tcPr>
            <w:tcW w:w="4536" w:type="dxa"/>
            <w:tcBorders>
              <w:bottom w:val="single" w:sz="6" w:space="0" w:color="000000"/>
            </w:tcBorders>
            <w:shd w:val="clear" w:color="auto" w:fill="auto"/>
            <w:vAlign w:val="center"/>
          </w:tcPr>
          <w:p w:rsidR="00D21651" w:rsidRPr="00DE475B" w:rsidRDefault="00D21651" w:rsidP="00D21651">
            <w:pPr>
              <w:rPr>
                <w:rFonts w:ascii="Arial" w:hAnsi="Arial" w:cs="Arial"/>
                <w:sz w:val="18"/>
                <w:szCs w:val="18"/>
              </w:rPr>
            </w:pPr>
            <w:r w:rsidRPr="00D21651">
              <w:rPr>
                <w:rFonts w:ascii="Arial" w:hAnsi="Arial" w:cs="Arial"/>
                <w:sz w:val="18"/>
                <w:szCs w:val="18"/>
              </w:rPr>
              <w:t>Director, Corporate Services</w:t>
            </w:r>
          </w:p>
        </w:tc>
      </w:tr>
      <w:tr w:rsidR="00D21651" w:rsidRPr="00DE475B" w:rsidTr="00D21651">
        <w:tc>
          <w:tcPr>
            <w:tcW w:w="4644" w:type="dxa"/>
            <w:tcBorders>
              <w:top w:val="single" w:sz="6" w:space="0" w:color="000000"/>
              <w:bottom w:val="single" w:sz="6" w:space="0" w:color="000000"/>
            </w:tcBorders>
            <w:vAlign w:val="center"/>
          </w:tcPr>
          <w:p w:rsidR="00D21651" w:rsidRPr="00DE475B" w:rsidRDefault="00D21651" w:rsidP="00A1189F">
            <w:pPr>
              <w:rPr>
                <w:rFonts w:ascii="Arial" w:hAnsi="Arial" w:cs="Arial"/>
                <w:sz w:val="18"/>
                <w:szCs w:val="18"/>
              </w:rPr>
            </w:pPr>
            <w:r w:rsidRPr="00D21651">
              <w:rPr>
                <w:rFonts w:ascii="Arial" w:hAnsi="Arial" w:cs="Arial"/>
                <w:sz w:val="18"/>
                <w:szCs w:val="18"/>
              </w:rPr>
              <w:t>Executive Director, Content Development</w:t>
            </w:r>
          </w:p>
        </w:tc>
        <w:tc>
          <w:tcPr>
            <w:tcW w:w="4536" w:type="dxa"/>
            <w:tcBorders>
              <w:top w:val="single" w:sz="6" w:space="0" w:color="000000"/>
              <w:bottom w:val="single" w:sz="6" w:space="0" w:color="000000"/>
            </w:tcBorders>
            <w:shd w:val="clear" w:color="auto" w:fill="auto"/>
            <w:vAlign w:val="center"/>
          </w:tcPr>
          <w:p w:rsidR="00D21651" w:rsidRPr="00DE475B" w:rsidRDefault="00D21651" w:rsidP="00D21651">
            <w:pPr>
              <w:rPr>
                <w:rFonts w:ascii="Arial" w:hAnsi="Arial" w:cs="Arial"/>
                <w:sz w:val="18"/>
                <w:szCs w:val="18"/>
              </w:rPr>
            </w:pPr>
            <w:r w:rsidRPr="00D21651">
              <w:rPr>
                <w:rFonts w:ascii="Arial" w:hAnsi="Arial" w:cs="Arial"/>
                <w:sz w:val="18"/>
                <w:szCs w:val="18"/>
              </w:rPr>
              <w:t>Director, Content Development</w:t>
            </w:r>
          </w:p>
        </w:tc>
      </w:tr>
      <w:tr w:rsidR="00D21651" w:rsidRPr="00DE475B" w:rsidTr="00D21651">
        <w:tc>
          <w:tcPr>
            <w:tcW w:w="4644" w:type="dxa"/>
            <w:tcBorders>
              <w:top w:val="single" w:sz="6" w:space="0" w:color="000000"/>
              <w:bottom w:val="single" w:sz="6" w:space="0" w:color="000000"/>
            </w:tcBorders>
            <w:vAlign w:val="center"/>
          </w:tcPr>
          <w:p w:rsidR="00D21651" w:rsidRPr="00DE475B" w:rsidRDefault="00D21651" w:rsidP="00A1189F">
            <w:pPr>
              <w:rPr>
                <w:rFonts w:ascii="Arial" w:hAnsi="Arial" w:cs="Arial"/>
                <w:sz w:val="18"/>
                <w:szCs w:val="18"/>
              </w:rPr>
            </w:pPr>
            <w:r w:rsidRPr="00D21651">
              <w:rPr>
                <w:rFonts w:ascii="Arial" w:hAnsi="Arial" w:cs="Arial"/>
                <w:sz w:val="18"/>
                <w:szCs w:val="18"/>
              </w:rPr>
              <w:t>Executive Director, Regional Access and Public Libraries</w:t>
            </w:r>
          </w:p>
        </w:tc>
        <w:tc>
          <w:tcPr>
            <w:tcW w:w="4536" w:type="dxa"/>
            <w:tcBorders>
              <w:top w:val="single" w:sz="6" w:space="0" w:color="000000"/>
              <w:bottom w:val="single" w:sz="6" w:space="0" w:color="000000"/>
            </w:tcBorders>
            <w:shd w:val="clear" w:color="auto" w:fill="auto"/>
            <w:vAlign w:val="center"/>
          </w:tcPr>
          <w:p w:rsidR="00D21651" w:rsidRPr="00DE475B" w:rsidRDefault="00D21651" w:rsidP="00D21651">
            <w:pPr>
              <w:rPr>
                <w:rFonts w:ascii="Arial" w:hAnsi="Arial" w:cs="Arial"/>
                <w:sz w:val="18"/>
                <w:szCs w:val="18"/>
              </w:rPr>
            </w:pPr>
            <w:r w:rsidRPr="00D21651">
              <w:rPr>
                <w:rFonts w:ascii="Arial" w:hAnsi="Arial" w:cs="Arial"/>
                <w:sz w:val="18"/>
                <w:szCs w:val="18"/>
              </w:rPr>
              <w:t>Director, Regional Access and Public Libraries</w:t>
            </w:r>
          </w:p>
        </w:tc>
      </w:tr>
      <w:tr w:rsidR="00D21651" w:rsidRPr="00DE475B" w:rsidTr="00D21651">
        <w:tc>
          <w:tcPr>
            <w:tcW w:w="4644" w:type="dxa"/>
            <w:tcBorders>
              <w:top w:val="single" w:sz="6" w:space="0" w:color="000000"/>
              <w:bottom w:val="single" w:sz="6" w:space="0" w:color="000000"/>
            </w:tcBorders>
            <w:vAlign w:val="center"/>
          </w:tcPr>
          <w:p w:rsidR="00D21651" w:rsidRPr="00D21651" w:rsidRDefault="00D21651" w:rsidP="00A1189F">
            <w:pPr>
              <w:rPr>
                <w:rFonts w:ascii="Arial" w:hAnsi="Arial" w:cs="Arial"/>
                <w:sz w:val="18"/>
                <w:szCs w:val="18"/>
              </w:rPr>
            </w:pPr>
            <w:r w:rsidRPr="00D21651">
              <w:rPr>
                <w:rFonts w:ascii="Arial" w:hAnsi="Arial" w:cs="Arial"/>
                <w:sz w:val="18"/>
                <w:szCs w:val="18"/>
              </w:rPr>
              <w:t>Executive Director, Engagement &amp; Partnerships</w:t>
            </w:r>
          </w:p>
        </w:tc>
        <w:tc>
          <w:tcPr>
            <w:tcW w:w="4536" w:type="dxa"/>
            <w:tcBorders>
              <w:top w:val="single" w:sz="6" w:space="0" w:color="000000"/>
              <w:bottom w:val="single" w:sz="6" w:space="0" w:color="000000"/>
            </w:tcBorders>
            <w:shd w:val="clear" w:color="auto" w:fill="auto"/>
            <w:vAlign w:val="center"/>
          </w:tcPr>
          <w:p w:rsidR="00D21651" w:rsidRPr="00D21651" w:rsidRDefault="00D21651" w:rsidP="00D21651">
            <w:pPr>
              <w:rPr>
                <w:rFonts w:ascii="Arial" w:hAnsi="Arial" w:cs="Arial"/>
                <w:sz w:val="18"/>
                <w:szCs w:val="18"/>
              </w:rPr>
            </w:pPr>
            <w:r w:rsidRPr="00D21651">
              <w:rPr>
                <w:rFonts w:ascii="Arial" w:hAnsi="Arial" w:cs="Arial"/>
                <w:sz w:val="18"/>
                <w:szCs w:val="18"/>
              </w:rPr>
              <w:t>Director, Engagement &amp; Partnerships</w:t>
            </w:r>
          </w:p>
        </w:tc>
      </w:tr>
      <w:tr w:rsidR="00D21651" w:rsidRPr="00DE475B" w:rsidTr="00D21651">
        <w:tc>
          <w:tcPr>
            <w:tcW w:w="4644" w:type="dxa"/>
            <w:tcBorders>
              <w:top w:val="single" w:sz="6" w:space="0" w:color="000000"/>
              <w:bottom w:val="single" w:sz="6" w:space="0" w:color="000000"/>
            </w:tcBorders>
            <w:vAlign w:val="center"/>
          </w:tcPr>
          <w:p w:rsidR="00D21651" w:rsidRPr="00D21651" w:rsidRDefault="00D21651" w:rsidP="00A1189F">
            <w:pPr>
              <w:rPr>
                <w:rFonts w:ascii="Arial" w:hAnsi="Arial" w:cs="Arial"/>
                <w:sz w:val="18"/>
                <w:szCs w:val="18"/>
              </w:rPr>
            </w:pPr>
            <w:r w:rsidRPr="00D21651">
              <w:rPr>
                <w:rFonts w:ascii="Arial" w:hAnsi="Arial" w:cs="Arial"/>
                <w:sz w:val="18"/>
                <w:szCs w:val="18"/>
              </w:rPr>
              <w:t>Director, Queensland Library Foundation</w:t>
            </w:r>
          </w:p>
        </w:tc>
        <w:tc>
          <w:tcPr>
            <w:tcW w:w="4536" w:type="dxa"/>
            <w:tcBorders>
              <w:top w:val="single" w:sz="6" w:space="0" w:color="000000"/>
              <w:bottom w:val="single" w:sz="6" w:space="0" w:color="000000"/>
            </w:tcBorders>
            <w:shd w:val="clear" w:color="auto" w:fill="auto"/>
            <w:vAlign w:val="center"/>
          </w:tcPr>
          <w:p w:rsidR="00D21651" w:rsidRPr="00D21651" w:rsidRDefault="00D21651" w:rsidP="00D21651">
            <w:pPr>
              <w:rPr>
                <w:rFonts w:ascii="Arial" w:hAnsi="Arial" w:cs="Arial"/>
                <w:sz w:val="18"/>
                <w:szCs w:val="18"/>
              </w:rPr>
            </w:pPr>
            <w:r w:rsidRPr="00D21651">
              <w:rPr>
                <w:rFonts w:ascii="Arial" w:hAnsi="Arial" w:cs="Arial"/>
                <w:sz w:val="18"/>
                <w:szCs w:val="18"/>
              </w:rPr>
              <w:t>Executive Director, Queensland Library Foundation</w:t>
            </w:r>
          </w:p>
        </w:tc>
      </w:tr>
    </w:tbl>
    <w:p w:rsidR="007753EB" w:rsidRPr="00DE475B" w:rsidRDefault="007753EB" w:rsidP="007753EB">
      <w:pPr>
        <w:pStyle w:val="ARbodytext"/>
        <w:rPr>
          <w:b/>
          <w:bCs/>
        </w:rPr>
      </w:pPr>
      <w:r w:rsidRPr="00DE475B">
        <w:rPr>
          <w:color w:val="808080"/>
        </w:rPr>
        <w:br w:type="page"/>
      </w:r>
      <w:r w:rsidRPr="00DE475B">
        <w:rPr>
          <w:b/>
          <w:bCs/>
          <w:i/>
          <w:iCs/>
        </w:rPr>
        <w:lastRenderedPageBreak/>
        <w:t>Library Board of Queensland and controlled entities</w:t>
      </w:r>
    </w:p>
    <w:p w:rsidR="007753EB" w:rsidRPr="00DE475B" w:rsidRDefault="00373FFE" w:rsidP="007753EB">
      <w:pPr>
        <w:rPr>
          <w:rFonts w:ascii="Arial" w:hAnsi="Arial" w:cs="Arial"/>
          <w:b/>
          <w:bCs/>
          <w:sz w:val="20"/>
          <w:szCs w:val="20"/>
        </w:rPr>
      </w:pPr>
      <w:r w:rsidRPr="00DE475B">
        <w:rPr>
          <w:noProof/>
          <w:lang w:eastAsia="en-AU"/>
        </w:rPr>
        <mc:AlternateContent>
          <mc:Choice Requires="wps">
            <w:drawing>
              <wp:anchor distT="0" distB="0" distL="114300" distR="114300" simplePos="0" relativeHeight="251685888" behindDoc="0" locked="0" layoutInCell="1" allowOverlap="1" wp14:anchorId="5B2328FC" wp14:editId="6EE83352">
                <wp:simplePos x="0" y="0"/>
                <wp:positionH relativeFrom="column">
                  <wp:posOffset>-66040</wp:posOffset>
                </wp:positionH>
                <wp:positionV relativeFrom="paragraph">
                  <wp:posOffset>-222250</wp:posOffset>
                </wp:positionV>
                <wp:extent cx="5573395" cy="0"/>
                <wp:effectExtent l="13970" t="9525" r="13335" b="9525"/>
                <wp:wrapNone/>
                <wp:docPr id="18"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wVmwIAAHoFAAAOAAAAZHJzL2Uyb0RvYy54bWysVFFvmzAQfp+0/2D5nQKBJASVVC0he+m2&#10;Su20Z8eYYM3YzHZDoqn/fWcnYU33Mk1NJOSz787f3fedr2/2nUA7pg1XssDxVYQRk1TVXG4L/O1p&#10;HWQYGUtkTYSSrMAHZvDN8uOH66HP2US1StRMI0giTT70BW6t7fMwNLRlHTFXqmcSDhulO2LB1Nuw&#10;1mSA7J0IJ1E0Cwel614ryoyB3dXxEC99/qZh1H5tGsMsEgUGbNZ/tf9u3DdcXpN8q0nfcnqCQf4D&#10;RUe4hEvHVCtiCXrW/K9UHadaGdXYK6q6UDUNp8zXANXE0ZtqHlvSM18LNMf0Y5vM+6WlX3YPGvEa&#10;uAOmJOmAo3suGZpkE9ecoTc5+JTyQbvy6F4+9veK/jBIqrIlcss8yKdDD4GxiwgvQpxherhiM3xW&#10;NfiQZ6t8p/aN7lxK6AHae0IOIyFsbxGFzel0niSLKUb0fBaS/BzYa2M/MdUhtyiwANQ+MdndG+uA&#10;kPzs4u6Ras2F8HwLiYYCL5IZKIISUJ356SONErx2Xs7f6O2mFBrtiJOO//ny4OS1W8ctCFjwrsDZ&#10;6ETylpG6krW/zhIujmuAJKRLzrw0jzjB2ltY+n0o3Mvm1yJaVFmVpUE6mVVBGq1Wwe26TIPZOp5P&#10;V8mqLFfxi0Mdp3nL65pJB/ws4Tj9N4mchukovlHEY6vCy+y+pwD2EuntehrN0yQL5vNpEqRJFQV3&#10;2boMbst4NptXd+Vd9QZp5as37wN2bKVDpZ6Bjce2HlDNnSiS6WISYzBg5CfzIz+IiC28VdRqjLSy&#10;37ltvYad+lyOC+KzyP1PxI/Zj404c+iskYVTbX9aBZyf+fWj4abhOFcbVR8e9HlkYMB90Okxci/I&#10;axvWr5/M5W8AAAD//wMAUEsDBBQABgAIAAAAIQDe2Ktn4AAAAAsBAAAPAAAAZHJzL2Rvd25yZXYu&#10;eG1sTI9BS8NAEIXvgv9hGcGLtJuaWEvMpoggHgRpqyjettkxG8zOht1tE/+9Iwh6m5n3ePO9aj25&#10;XhwxxM6TgsU8A4HUeNNRq+Dl+X62AhGTJqN7T6jgCyOs69OTSpfGj7TF4y61gkMollqBTWkopYyN&#10;Rafj3A9IrH344HTiNbTSBD1yuOvlZZYtpdMd8QerB7yz2HzuDk7BUxi7mPKi2GB6f314fLObC7dV&#10;6vxsur0BkXBKf2b4wWd0qJlp7w9kougVzBZZwVYe8isuxY7V8joHsf+9yLqS/zvU3wAAAP//AwBQ&#10;SwECLQAUAAYACAAAACEAtoM4kv4AAADhAQAAEwAAAAAAAAAAAAAAAAAAAAAAW0NvbnRlbnRfVHlw&#10;ZXNdLnhtbFBLAQItABQABgAIAAAAIQA4/SH/1gAAAJQBAAALAAAAAAAAAAAAAAAAAC8BAABfcmVs&#10;cy8ucmVsc1BLAQItABQABgAIAAAAIQCRjZwVmwIAAHoFAAAOAAAAAAAAAAAAAAAAAC4CAABkcnMv&#10;ZTJvRG9jLnhtbFBLAQItABQABgAIAAAAIQDe2Ktn4AAAAAsBAAAPAAAAAAAAAAAAAAAAAPUEAABk&#10;cnMvZG93bnJldi54bWxQSwUGAAAAAAQABADzAAAAAgYAAAAA&#10;" strokeweight=".26mm">
                <v:stroke joinstyle="miter" endcap="square"/>
              </v:line>
            </w:pict>
          </mc:Fallback>
        </mc:AlternateContent>
      </w:r>
      <w:r w:rsidR="007753EB" w:rsidRPr="00DE475B">
        <w:rPr>
          <w:rFonts w:ascii="Arial" w:hAnsi="Arial" w:cs="Arial"/>
          <w:b/>
          <w:bCs/>
          <w:sz w:val="20"/>
          <w:szCs w:val="20"/>
        </w:rPr>
        <w:t>NOTES TO THE FINANCIAL STATEMENTS</w:t>
      </w:r>
    </w:p>
    <w:p w:rsidR="007753EB" w:rsidRPr="00DE475B" w:rsidRDefault="009619D8" w:rsidP="007753EB">
      <w:r>
        <w:rPr>
          <w:rFonts w:ascii="Arial" w:hAnsi="Arial" w:cs="Arial"/>
          <w:b/>
          <w:bCs/>
          <w:sz w:val="20"/>
          <w:szCs w:val="20"/>
        </w:rPr>
        <w:t>For the year ended 30 June 2017</w:t>
      </w:r>
    </w:p>
    <w:p w:rsidR="007753EB" w:rsidRPr="00DE475B" w:rsidRDefault="00373FFE" w:rsidP="007753EB">
      <w:pPr>
        <w:pStyle w:val="ARbodytext"/>
        <w:rPr>
          <w:rFonts w:eastAsia="Times New Roman"/>
          <w:b/>
          <w:bCs/>
          <w:sz w:val="24"/>
          <w:szCs w:val="24"/>
          <w:lang w:eastAsia="en-US"/>
        </w:rPr>
      </w:pPr>
      <w:r w:rsidRPr="00DE475B">
        <w:rPr>
          <w:rFonts w:eastAsia="Times New Roman"/>
          <w:b/>
          <w:bCs/>
          <w:noProof/>
          <w:sz w:val="24"/>
          <w:szCs w:val="24"/>
          <w:lang w:eastAsia="en-AU"/>
        </w:rPr>
        <mc:AlternateContent>
          <mc:Choice Requires="wps">
            <w:drawing>
              <wp:anchor distT="0" distB="0" distL="114300" distR="114300" simplePos="0" relativeHeight="251684864" behindDoc="0" locked="0" layoutInCell="1" allowOverlap="1" wp14:anchorId="5D05C095" wp14:editId="40B9EE45">
                <wp:simplePos x="0" y="0"/>
                <wp:positionH relativeFrom="column">
                  <wp:posOffset>-66040</wp:posOffset>
                </wp:positionH>
                <wp:positionV relativeFrom="paragraph">
                  <wp:posOffset>70485</wp:posOffset>
                </wp:positionV>
                <wp:extent cx="5573395" cy="0"/>
                <wp:effectExtent l="13970" t="13335" r="13335" b="5715"/>
                <wp:wrapNone/>
                <wp:docPr id="17"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U6mwIAAHoFAAAOAAAAZHJzL2Uyb0RvYy54bWysVNFumzAUfZ+0f7D8ToFAAkElU0vIXrqt&#10;Ujvt2bFNsAY2s92Qatq/79pJ6NK9TFMTCdlw7/G595zr6w+HvkN7ro1QssTxVYQRl1QxIXcl/vq4&#10;CXKMjCWSkU5JXuJnbvCH1ft31+NQ8JlqVce4RgAiTTEOJW6tHYowNLTlPTFXauASPjZK98TCVu9C&#10;pskI6H0XzqJoEY5Ks0Eryo2Bt+vjR7zy+E3Dqf3SNIZb1JUYuFn/1P65dc9wdU2KnSZDK+iJBvkP&#10;Fj0REg6doNbEEvSkxV9QvaBaGdXYK6r6UDWNoNzXANXE0atqHloycF8LNMcMU5vM28HSz/t7jQQD&#10;7TKMJOlBozshOZrlsWvOOJgCYip5r1159CAfhjtFvxskVdUSueOe5OPzAIk+I7xIcRszwBHb8ZNi&#10;EEOerPKdOjS6d5DQA3TwgjxPgvCDRRRezudZkiznGNHzt5AU58RBG/uRqx65RYk7YO2Byf7OWKAO&#10;oecQd45UG9F1Xu9OorHEy2QBjqAEXGd++EyjOsFclIs3eretOo32xFnH/1xDAPUirBcWDNyJvsT5&#10;FESKlhNWS+aPs0R0xzUkd9KBc2/NI0/YHSws/Xso3Nvm5zJa1nmdp0E6W9RBGq3Xwc2mSoPFJs7m&#10;62RdVev4l2Mdp0UrGOPSET9bOE7/zSKnYTqabzLx1KrwEt1XD2Qvmd5s5lGWJnmQZfMkSJM6Cm7z&#10;TRXcVPFikdW31W39imntqzdvQ3ZqpWOlnkCNh5aNiAlnimS+nMUYNjDys+yoDyLdDu4qajVGWtlv&#10;wrbew859DuNC+Dxy/5PwE/qxEWcN3W5S4VTbS6tA87O+fjTcNBznaqvY8712nnJTAgPuk06XkbtB&#10;/tz7qJcrc/UbAAD//wMAUEsDBBQABgAIAAAAIQDwQGlx3gAAAAkBAAAPAAAAZHJzL2Rvd25yZXYu&#10;eG1sTI/BSsNAEIbvgu+wjOBF2k1sqCVmU0QQD4K0VRRv2+yYDWZnw+62iW/vSA96nPk//vmmWk+u&#10;F0cMsfOkIJ9nIJAabzpqFby+PMxWIGLSZHTvCRV8Y4R1fX5W6dL4kbZ43KVWcAnFUiuwKQ2llLGx&#10;6HSc+wGJs08fnE48hlaaoEcud728zrKldLojvmD1gPcWm6/dwSl4DmMX06IoNpg+3h6f3u3mym2V&#10;uryY7m5BJJzSHwy/+qwONTvt/YFMFL2CWZ4VjHKQ5yAYWC1vFiD2p4WsK/n/g/oHAAD//wMAUEsB&#10;Ai0AFAAGAAgAAAAhALaDOJL+AAAA4QEAABMAAAAAAAAAAAAAAAAAAAAAAFtDb250ZW50X1R5cGVz&#10;XS54bWxQSwECLQAUAAYACAAAACEAOP0h/9YAAACUAQAACwAAAAAAAAAAAAAAAAAvAQAAX3JlbHMv&#10;LnJlbHNQSwECLQAUAAYACAAAACEA1EHlOpsCAAB6BQAADgAAAAAAAAAAAAAAAAAuAgAAZHJzL2Uy&#10;b0RvYy54bWxQSwECLQAUAAYACAAAACEA8EBpcd4AAAAJAQAADwAAAAAAAAAAAAAAAAD1BAAAZHJz&#10;L2Rvd25yZXYueG1sUEsFBgAAAAAEAAQA8wAAAAAGAAAAAA==&#10;" strokeweight=".26mm">
                <v:stroke joinstyle="miter" endcap="square"/>
              </v:line>
            </w:pict>
          </mc:Fallback>
        </mc:AlternateContent>
      </w:r>
    </w:p>
    <w:p w:rsidR="007753EB" w:rsidRPr="00DE475B" w:rsidRDefault="007753EB" w:rsidP="007753EB">
      <w:pPr>
        <w:pStyle w:val="ARheading3"/>
        <w:widowControl w:val="0"/>
        <w:tabs>
          <w:tab w:val="left" w:pos="851"/>
        </w:tabs>
        <w:spacing w:after="120"/>
        <w:rPr>
          <w:color w:val="808080"/>
        </w:rPr>
      </w:pPr>
      <w:proofErr w:type="gramStart"/>
      <w:r w:rsidRPr="00DE475B">
        <w:rPr>
          <w:color w:val="808080"/>
        </w:rPr>
        <w:t>F1  Key</w:t>
      </w:r>
      <w:proofErr w:type="gramEnd"/>
      <w:r w:rsidRPr="00DE475B">
        <w:rPr>
          <w:color w:val="808080"/>
        </w:rPr>
        <w:t xml:space="preserve"> management personnel </w:t>
      </w:r>
      <w:r w:rsidR="002E3A5B">
        <w:rPr>
          <w:color w:val="808080"/>
        </w:rPr>
        <w:t>(</w:t>
      </w:r>
      <w:proofErr w:type="spellStart"/>
      <w:r w:rsidR="002E3A5B">
        <w:rPr>
          <w:color w:val="808080"/>
        </w:rPr>
        <w:t>KMP</w:t>
      </w:r>
      <w:proofErr w:type="spellEnd"/>
      <w:r w:rsidR="002E3A5B">
        <w:rPr>
          <w:color w:val="808080"/>
        </w:rPr>
        <w:t xml:space="preserve">) </w:t>
      </w:r>
      <w:r w:rsidRPr="00DE475B">
        <w:rPr>
          <w:color w:val="808080"/>
        </w:rPr>
        <w:t>disclosures (continued)</w:t>
      </w:r>
    </w:p>
    <w:p w:rsidR="009B405B" w:rsidRDefault="009619D8" w:rsidP="00652F6C">
      <w:pPr>
        <w:tabs>
          <w:tab w:val="left" w:pos="284"/>
          <w:tab w:val="left" w:pos="5878"/>
          <w:tab w:val="left" w:pos="8548"/>
          <w:tab w:val="left" w:pos="8770"/>
          <w:tab w:val="left" w:pos="10266"/>
          <w:tab w:val="left" w:pos="11702"/>
        </w:tabs>
        <w:spacing w:before="120"/>
        <w:rPr>
          <w:rFonts w:ascii="Arial" w:hAnsi="Arial" w:cs="Arial"/>
          <w:b/>
          <w:bCs/>
          <w:sz w:val="20"/>
          <w:szCs w:val="20"/>
        </w:rPr>
      </w:pPr>
      <w:r>
        <w:rPr>
          <w:rFonts w:ascii="Arial" w:hAnsi="Arial" w:cs="Arial"/>
          <w:b/>
          <w:bCs/>
          <w:sz w:val="20"/>
          <w:szCs w:val="20"/>
        </w:rPr>
        <w:t>F1-</w:t>
      </w:r>
      <w:proofErr w:type="gramStart"/>
      <w:r>
        <w:rPr>
          <w:rFonts w:ascii="Arial" w:hAnsi="Arial" w:cs="Arial"/>
          <w:b/>
          <w:bCs/>
          <w:sz w:val="20"/>
          <w:szCs w:val="20"/>
        </w:rPr>
        <w:t>2  R</w:t>
      </w:r>
      <w:r w:rsidR="009B405B" w:rsidRPr="00DE475B">
        <w:rPr>
          <w:rFonts w:ascii="Arial" w:hAnsi="Arial" w:cs="Arial"/>
          <w:b/>
          <w:bCs/>
          <w:sz w:val="20"/>
          <w:szCs w:val="20"/>
        </w:rPr>
        <w:t>emuneration</w:t>
      </w:r>
      <w:proofErr w:type="gramEnd"/>
      <w:r>
        <w:rPr>
          <w:rFonts w:ascii="Arial" w:hAnsi="Arial" w:cs="Arial"/>
          <w:b/>
          <w:bCs/>
          <w:sz w:val="20"/>
          <w:szCs w:val="20"/>
        </w:rPr>
        <w:t xml:space="preserve"> policies</w:t>
      </w:r>
    </w:p>
    <w:p w:rsidR="002E3A5B" w:rsidRPr="008025F3" w:rsidRDefault="002E3A5B" w:rsidP="002E3A5B">
      <w:pPr>
        <w:spacing w:after="80"/>
        <w:rPr>
          <w:rFonts w:ascii="Arial" w:hAnsi="Arial" w:cs="Arial"/>
          <w:sz w:val="20"/>
          <w:szCs w:val="20"/>
        </w:rPr>
      </w:pPr>
      <w:r w:rsidRPr="008025F3">
        <w:rPr>
          <w:rFonts w:ascii="Arial" w:hAnsi="Arial" w:cs="Arial"/>
          <w:sz w:val="20"/>
          <w:szCs w:val="20"/>
        </w:rPr>
        <w:t xml:space="preserve">Ministerial remuneration entitlements are outlined in the Legislative Assembly of Queensland's Members' Remuneration Handbook. State Library does not bear any cost of remuneration for its Minister. The majority of Ministerial entitlements are paid by the Legislative Assembly, with the remaining entitlements being provided by Ministerial Services Branch within the Department of the Premier and Cabinet. As all Ministers are reported as </w:t>
      </w:r>
      <w:proofErr w:type="spellStart"/>
      <w:r w:rsidRPr="008025F3">
        <w:rPr>
          <w:rFonts w:ascii="Arial" w:hAnsi="Arial" w:cs="Arial"/>
          <w:sz w:val="20"/>
          <w:szCs w:val="20"/>
        </w:rPr>
        <w:t>KMP</w:t>
      </w:r>
      <w:proofErr w:type="spellEnd"/>
      <w:r w:rsidRPr="008025F3">
        <w:rPr>
          <w:rFonts w:ascii="Arial" w:hAnsi="Arial" w:cs="Arial"/>
          <w:sz w:val="20"/>
          <w:szCs w:val="20"/>
        </w:rPr>
        <w:t xml:space="preserve"> of the Queensland Government, aggregate remuneration expenses for all Ministers is disclosed in the Queensland General Government and Whole of Government Consolidated Financial Statements as from 2016–17, which are published as part of Queensland Treasury's Report on State Finances.</w:t>
      </w:r>
    </w:p>
    <w:p w:rsidR="002E3A5B" w:rsidRPr="008025F3" w:rsidRDefault="002E3A5B" w:rsidP="002E3A5B">
      <w:pPr>
        <w:spacing w:after="80"/>
        <w:rPr>
          <w:rFonts w:ascii="Arial" w:hAnsi="Arial" w:cs="Arial"/>
          <w:sz w:val="20"/>
          <w:szCs w:val="20"/>
        </w:rPr>
      </w:pPr>
      <w:r w:rsidRPr="008025F3">
        <w:rPr>
          <w:rFonts w:ascii="Arial" w:hAnsi="Arial" w:cs="Arial"/>
          <w:sz w:val="20"/>
          <w:szCs w:val="20"/>
        </w:rPr>
        <w:t xml:space="preserve">State Library executives and senior managers employed by the Library Board are paid at rates set by Government for Senior Executives and Senior Officers. These executives are engaged as employees under the </w:t>
      </w:r>
      <w:r w:rsidRPr="008025F3">
        <w:rPr>
          <w:rFonts w:ascii="Arial" w:hAnsi="Arial" w:cs="Arial"/>
          <w:i/>
          <w:sz w:val="20"/>
          <w:szCs w:val="20"/>
        </w:rPr>
        <w:t>Libraries Act 1988 (Qld)</w:t>
      </w:r>
      <w:r w:rsidRPr="008025F3">
        <w:rPr>
          <w:rFonts w:ascii="Arial" w:hAnsi="Arial" w:cs="Arial"/>
          <w:sz w:val="20"/>
          <w:szCs w:val="20"/>
        </w:rPr>
        <w:t xml:space="preserve"> or as executives under the </w:t>
      </w:r>
      <w:r w:rsidRPr="008025F3">
        <w:rPr>
          <w:rFonts w:ascii="Arial" w:hAnsi="Arial" w:cs="Arial"/>
          <w:i/>
          <w:sz w:val="20"/>
          <w:szCs w:val="20"/>
        </w:rPr>
        <w:t>Public Service Act 2008</w:t>
      </w:r>
      <w:r w:rsidRPr="008025F3">
        <w:rPr>
          <w:rFonts w:ascii="Arial" w:hAnsi="Arial" w:cs="Arial"/>
          <w:sz w:val="20"/>
          <w:szCs w:val="20"/>
        </w:rPr>
        <w:t xml:space="preserve"> on renewable contracts or as tenured senior officers.</w:t>
      </w:r>
    </w:p>
    <w:p w:rsidR="00F778BA" w:rsidRPr="008025F3" w:rsidRDefault="00F778BA" w:rsidP="00FD09BF">
      <w:pPr>
        <w:spacing w:after="80"/>
        <w:rPr>
          <w:rFonts w:ascii="Arial" w:hAnsi="Arial" w:cs="Arial"/>
          <w:sz w:val="20"/>
          <w:szCs w:val="20"/>
        </w:rPr>
      </w:pPr>
      <w:r w:rsidRPr="008025F3">
        <w:rPr>
          <w:rFonts w:ascii="Arial" w:hAnsi="Arial" w:cs="Arial"/>
          <w:sz w:val="20"/>
          <w:szCs w:val="20"/>
        </w:rPr>
        <w:t xml:space="preserve">Remuneration policy for </w:t>
      </w:r>
      <w:r w:rsidR="00F14692" w:rsidRPr="008025F3">
        <w:rPr>
          <w:rFonts w:ascii="Arial" w:hAnsi="Arial" w:cs="Arial"/>
          <w:sz w:val="20"/>
          <w:szCs w:val="20"/>
        </w:rPr>
        <w:t>State Library’s</w:t>
      </w:r>
      <w:r w:rsidRPr="008025F3">
        <w:rPr>
          <w:rFonts w:ascii="Arial" w:hAnsi="Arial" w:cs="Arial"/>
          <w:sz w:val="20"/>
          <w:szCs w:val="20"/>
        </w:rPr>
        <w:t xml:space="preserve"> Key Management personnel is set by the Queensland Public Service Commission as provided for under the </w:t>
      </w:r>
      <w:r w:rsidRPr="008025F3">
        <w:rPr>
          <w:rFonts w:ascii="Arial" w:hAnsi="Arial" w:cs="Arial"/>
          <w:i/>
          <w:iCs/>
          <w:sz w:val="20"/>
          <w:szCs w:val="20"/>
        </w:rPr>
        <w:t xml:space="preserve">Public Service Act 2008. </w:t>
      </w:r>
      <w:r w:rsidR="00F14692" w:rsidRPr="008025F3">
        <w:rPr>
          <w:rFonts w:ascii="Arial" w:hAnsi="Arial" w:cs="Arial"/>
          <w:sz w:val="20"/>
          <w:szCs w:val="20"/>
        </w:rPr>
        <w:t>Individual</w:t>
      </w:r>
      <w:r w:rsidR="00FD09BF" w:rsidRPr="008025F3">
        <w:rPr>
          <w:rFonts w:ascii="Arial" w:hAnsi="Arial" w:cs="Arial"/>
          <w:sz w:val="20"/>
          <w:szCs w:val="20"/>
        </w:rPr>
        <w:t xml:space="preserve"> </w:t>
      </w:r>
      <w:r w:rsidRPr="008025F3">
        <w:rPr>
          <w:rFonts w:ascii="Arial" w:hAnsi="Arial" w:cs="Arial"/>
          <w:sz w:val="20"/>
          <w:szCs w:val="20"/>
        </w:rPr>
        <w:t>remuneration</w:t>
      </w:r>
      <w:r w:rsidR="00FD09BF" w:rsidRPr="008025F3">
        <w:rPr>
          <w:rFonts w:ascii="Arial" w:hAnsi="Arial" w:cs="Arial"/>
          <w:sz w:val="20"/>
          <w:szCs w:val="20"/>
        </w:rPr>
        <w:t xml:space="preserve"> </w:t>
      </w:r>
      <w:r w:rsidRPr="008025F3">
        <w:rPr>
          <w:rFonts w:ascii="Arial" w:hAnsi="Arial" w:cs="Arial"/>
          <w:sz w:val="20"/>
          <w:szCs w:val="20"/>
        </w:rPr>
        <w:t>and</w:t>
      </w:r>
      <w:r w:rsidR="00FD09BF" w:rsidRPr="008025F3">
        <w:rPr>
          <w:rFonts w:ascii="Arial" w:hAnsi="Arial" w:cs="Arial"/>
          <w:sz w:val="20"/>
          <w:szCs w:val="20"/>
        </w:rPr>
        <w:t xml:space="preserve"> </w:t>
      </w:r>
      <w:r w:rsidRPr="008025F3">
        <w:rPr>
          <w:rFonts w:ascii="Arial" w:hAnsi="Arial" w:cs="Arial"/>
          <w:sz w:val="20"/>
          <w:szCs w:val="20"/>
        </w:rPr>
        <w:t>other</w:t>
      </w:r>
      <w:r w:rsidR="00FD09BF" w:rsidRPr="008025F3">
        <w:rPr>
          <w:rFonts w:ascii="Arial" w:hAnsi="Arial" w:cs="Arial"/>
          <w:sz w:val="20"/>
          <w:szCs w:val="20"/>
        </w:rPr>
        <w:t xml:space="preserve"> </w:t>
      </w:r>
      <w:r w:rsidRPr="008025F3">
        <w:rPr>
          <w:rFonts w:ascii="Arial" w:hAnsi="Arial" w:cs="Arial"/>
          <w:sz w:val="20"/>
          <w:szCs w:val="20"/>
        </w:rPr>
        <w:t>terms</w:t>
      </w:r>
      <w:r w:rsidR="00FD09BF" w:rsidRPr="008025F3">
        <w:rPr>
          <w:rFonts w:ascii="Arial" w:hAnsi="Arial" w:cs="Arial"/>
          <w:sz w:val="20"/>
          <w:szCs w:val="20"/>
        </w:rPr>
        <w:t xml:space="preserve"> </w:t>
      </w:r>
      <w:r w:rsidRPr="008025F3">
        <w:rPr>
          <w:rFonts w:ascii="Arial" w:hAnsi="Arial" w:cs="Arial"/>
          <w:sz w:val="20"/>
          <w:szCs w:val="20"/>
        </w:rPr>
        <w:t xml:space="preserve">of employment </w:t>
      </w:r>
      <w:r w:rsidR="00F14692" w:rsidRPr="008025F3">
        <w:rPr>
          <w:rFonts w:ascii="Arial" w:hAnsi="Arial" w:cs="Arial"/>
          <w:sz w:val="20"/>
          <w:szCs w:val="20"/>
        </w:rPr>
        <w:t>(including motor vehicle entitlements and performance payments if applicable)</w:t>
      </w:r>
      <w:r w:rsidRPr="008025F3">
        <w:rPr>
          <w:rFonts w:ascii="Arial" w:hAnsi="Arial" w:cs="Arial"/>
          <w:sz w:val="20"/>
          <w:szCs w:val="20"/>
        </w:rPr>
        <w:t xml:space="preserve"> are specified in employment contracts. </w:t>
      </w:r>
    </w:p>
    <w:p w:rsidR="00F778BA" w:rsidRPr="008025F3" w:rsidRDefault="00F778BA" w:rsidP="00F778BA">
      <w:pPr>
        <w:spacing w:after="40"/>
        <w:rPr>
          <w:rFonts w:ascii="Arial" w:hAnsi="Arial" w:cs="Arial"/>
          <w:sz w:val="20"/>
          <w:szCs w:val="20"/>
        </w:rPr>
      </w:pPr>
      <w:r w:rsidRPr="008025F3">
        <w:rPr>
          <w:rFonts w:ascii="Arial" w:hAnsi="Arial" w:cs="Arial"/>
          <w:sz w:val="20"/>
          <w:szCs w:val="20"/>
        </w:rPr>
        <w:t xml:space="preserve">Remuneration </w:t>
      </w:r>
      <w:r w:rsidR="00AF1F84" w:rsidRPr="008025F3">
        <w:rPr>
          <w:rFonts w:ascii="Arial" w:hAnsi="Arial" w:cs="Arial"/>
          <w:sz w:val="20"/>
          <w:szCs w:val="20"/>
        </w:rPr>
        <w:t>expenses</w:t>
      </w:r>
      <w:r w:rsidRPr="008025F3">
        <w:rPr>
          <w:rFonts w:ascii="Arial" w:hAnsi="Arial" w:cs="Arial"/>
          <w:sz w:val="20"/>
          <w:szCs w:val="20"/>
        </w:rPr>
        <w:t xml:space="preserve"> for </w:t>
      </w:r>
      <w:r w:rsidR="00AF1F84" w:rsidRPr="008025F3">
        <w:rPr>
          <w:rFonts w:ascii="Arial" w:hAnsi="Arial" w:cs="Arial"/>
          <w:sz w:val="20"/>
          <w:szCs w:val="20"/>
        </w:rPr>
        <w:t>key m</w:t>
      </w:r>
      <w:r w:rsidRPr="008025F3">
        <w:rPr>
          <w:rFonts w:ascii="Arial" w:hAnsi="Arial" w:cs="Arial"/>
          <w:sz w:val="20"/>
          <w:szCs w:val="20"/>
        </w:rPr>
        <w:t xml:space="preserve">anagement personnel comprise the following components: </w:t>
      </w:r>
    </w:p>
    <w:p w:rsidR="00AF1F84" w:rsidRPr="008025F3" w:rsidRDefault="00F778BA" w:rsidP="00AF1F84">
      <w:pPr>
        <w:numPr>
          <w:ilvl w:val="0"/>
          <w:numId w:val="5"/>
        </w:numPr>
        <w:tabs>
          <w:tab w:val="left" w:pos="284"/>
          <w:tab w:val="left" w:pos="360"/>
        </w:tabs>
        <w:spacing w:after="40"/>
        <w:ind w:left="284" w:hanging="284"/>
        <w:rPr>
          <w:rFonts w:ascii="Arial" w:hAnsi="Arial" w:cs="Arial"/>
          <w:sz w:val="20"/>
          <w:szCs w:val="20"/>
        </w:rPr>
      </w:pPr>
      <w:r w:rsidRPr="008025F3">
        <w:rPr>
          <w:rFonts w:ascii="Arial" w:hAnsi="Arial" w:cs="Arial"/>
          <w:i/>
          <w:sz w:val="20"/>
          <w:szCs w:val="20"/>
        </w:rPr>
        <w:t>Short term employee benefits</w:t>
      </w:r>
      <w:r w:rsidRPr="008025F3">
        <w:rPr>
          <w:rFonts w:ascii="Arial" w:hAnsi="Arial" w:cs="Arial"/>
          <w:sz w:val="20"/>
          <w:szCs w:val="20"/>
        </w:rPr>
        <w:t xml:space="preserve"> which include: </w:t>
      </w:r>
    </w:p>
    <w:p w:rsidR="00AF1F84" w:rsidRPr="008025F3" w:rsidRDefault="00AF1F84" w:rsidP="00AF1F84">
      <w:pPr>
        <w:numPr>
          <w:ilvl w:val="1"/>
          <w:numId w:val="5"/>
        </w:numPr>
        <w:tabs>
          <w:tab w:val="left" w:pos="284"/>
          <w:tab w:val="left" w:pos="567"/>
        </w:tabs>
        <w:spacing w:after="40"/>
        <w:ind w:left="567" w:hanging="283"/>
        <w:rPr>
          <w:rFonts w:ascii="Arial" w:hAnsi="Arial" w:cs="Arial"/>
          <w:sz w:val="20"/>
          <w:szCs w:val="20"/>
        </w:rPr>
      </w:pPr>
      <w:r w:rsidRPr="00AF1F84">
        <w:rPr>
          <w:rFonts w:ascii="Arial" w:hAnsi="Arial" w:cs="Arial"/>
          <w:sz w:val="20"/>
          <w:szCs w:val="20"/>
        </w:rPr>
        <w:t>salaries, allowances and leave entitlements earned and expensed for the entire year, or for that part of the year during which the employee was a key management person</w:t>
      </w:r>
    </w:p>
    <w:p w:rsidR="00AF1F84" w:rsidRPr="008025F3" w:rsidRDefault="00AF1F84" w:rsidP="00AF1F84">
      <w:pPr>
        <w:numPr>
          <w:ilvl w:val="1"/>
          <w:numId w:val="5"/>
        </w:numPr>
        <w:tabs>
          <w:tab w:val="left" w:pos="284"/>
          <w:tab w:val="left" w:pos="567"/>
        </w:tabs>
        <w:spacing w:after="40"/>
        <w:ind w:left="567" w:hanging="283"/>
        <w:rPr>
          <w:rFonts w:ascii="Arial" w:hAnsi="Arial" w:cs="Arial"/>
          <w:sz w:val="20"/>
          <w:szCs w:val="20"/>
        </w:rPr>
      </w:pPr>
      <w:r w:rsidRPr="00AF1F84">
        <w:rPr>
          <w:rFonts w:ascii="Arial" w:hAnsi="Arial" w:cs="Arial"/>
          <w:sz w:val="20"/>
          <w:szCs w:val="20"/>
        </w:rPr>
        <w:t>performance payments recognised as an expense during the year</w:t>
      </w:r>
    </w:p>
    <w:p w:rsidR="00AF1F84" w:rsidRPr="008025F3" w:rsidRDefault="00AF1F84" w:rsidP="00AF1F84">
      <w:pPr>
        <w:numPr>
          <w:ilvl w:val="1"/>
          <w:numId w:val="5"/>
        </w:numPr>
        <w:tabs>
          <w:tab w:val="left" w:pos="284"/>
          <w:tab w:val="left" w:pos="567"/>
        </w:tabs>
        <w:spacing w:after="40"/>
        <w:ind w:left="567" w:hanging="283"/>
        <w:rPr>
          <w:rFonts w:ascii="Arial" w:hAnsi="Arial" w:cs="Arial"/>
          <w:sz w:val="20"/>
          <w:szCs w:val="20"/>
        </w:rPr>
      </w:pPr>
      <w:proofErr w:type="gramStart"/>
      <w:r w:rsidRPr="008025F3">
        <w:rPr>
          <w:rFonts w:ascii="Arial" w:hAnsi="Arial" w:cs="Arial"/>
          <w:sz w:val="20"/>
          <w:szCs w:val="20"/>
        </w:rPr>
        <w:t>non-monetary</w:t>
      </w:r>
      <w:proofErr w:type="gramEnd"/>
      <w:r w:rsidRPr="008025F3">
        <w:rPr>
          <w:rFonts w:ascii="Arial" w:hAnsi="Arial" w:cs="Arial"/>
          <w:sz w:val="20"/>
          <w:szCs w:val="20"/>
        </w:rPr>
        <w:t xml:space="preserve"> benefits —</w:t>
      </w:r>
      <w:r w:rsidRPr="00AF1F84">
        <w:rPr>
          <w:rFonts w:ascii="Arial" w:hAnsi="Arial" w:cs="Arial"/>
          <w:sz w:val="20"/>
          <w:szCs w:val="20"/>
        </w:rPr>
        <w:t xml:space="preserve"> consisting of provision of vehicle together with fringe benefits tax applicable to the benefit.</w:t>
      </w:r>
    </w:p>
    <w:p w:rsidR="00F778BA" w:rsidRPr="008025F3" w:rsidRDefault="00585810" w:rsidP="00AF1F84">
      <w:pPr>
        <w:numPr>
          <w:ilvl w:val="0"/>
          <w:numId w:val="5"/>
        </w:numPr>
        <w:tabs>
          <w:tab w:val="left" w:pos="284"/>
          <w:tab w:val="left" w:pos="360"/>
        </w:tabs>
        <w:spacing w:after="40"/>
        <w:ind w:left="284" w:hanging="284"/>
        <w:rPr>
          <w:rFonts w:ascii="Arial" w:hAnsi="Arial" w:cs="Arial"/>
          <w:sz w:val="20"/>
          <w:szCs w:val="20"/>
        </w:rPr>
      </w:pPr>
      <w:r>
        <w:rPr>
          <w:rFonts w:ascii="Arial" w:hAnsi="Arial" w:cs="Arial"/>
          <w:i/>
          <w:sz w:val="20"/>
          <w:szCs w:val="20"/>
        </w:rPr>
        <w:t>Long-</w:t>
      </w:r>
      <w:r w:rsidR="00AF1F84" w:rsidRPr="008025F3">
        <w:rPr>
          <w:rFonts w:ascii="Arial" w:hAnsi="Arial" w:cs="Arial"/>
          <w:i/>
          <w:sz w:val="20"/>
          <w:szCs w:val="20"/>
        </w:rPr>
        <w:t>term employee expenses</w:t>
      </w:r>
      <w:r w:rsidR="00AF1F84" w:rsidRPr="008025F3">
        <w:rPr>
          <w:rFonts w:ascii="Arial" w:hAnsi="Arial" w:cs="Arial"/>
          <w:sz w:val="20"/>
          <w:szCs w:val="20"/>
        </w:rPr>
        <w:t xml:space="preserve"> include amounts expensed in respect of long service leave entitlements earned.</w:t>
      </w:r>
    </w:p>
    <w:p w:rsidR="00AF1F84" w:rsidRPr="008025F3" w:rsidRDefault="00AF1F84" w:rsidP="00176E98">
      <w:pPr>
        <w:numPr>
          <w:ilvl w:val="0"/>
          <w:numId w:val="5"/>
        </w:numPr>
        <w:tabs>
          <w:tab w:val="left" w:pos="284"/>
          <w:tab w:val="left" w:pos="360"/>
        </w:tabs>
        <w:spacing w:after="40"/>
        <w:ind w:left="284" w:hanging="284"/>
        <w:rPr>
          <w:b/>
          <w:bCs/>
        </w:rPr>
      </w:pPr>
      <w:r w:rsidRPr="008025F3">
        <w:rPr>
          <w:rFonts w:ascii="Arial" w:hAnsi="Arial" w:cs="Arial"/>
          <w:i/>
          <w:sz w:val="20"/>
          <w:szCs w:val="20"/>
        </w:rPr>
        <w:t>Post-employment expenses</w:t>
      </w:r>
      <w:r w:rsidRPr="008025F3">
        <w:rPr>
          <w:rFonts w:ascii="Arial" w:hAnsi="Arial" w:cs="Arial"/>
          <w:sz w:val="20"/>
          <w:szCs w:val="20"/>
        </w:rPr>
        <w:t xml:space="preserve"> include amounts expensed in respect of employer superannuation obligations. </w:t>
      </w:r>
    </w:p>
    <w:p w:rsidR="00176E98" w:rsidRPr="00AF1F84" w:rsidRDefault="00AF1F84" w:rsidP="00176E98">
      <w:pPr>
        <w:numPr>
          <w:ilvl w:val="0"/>
          <w:numId w:val="5"/>
        </w:numPr>
        <w:tabs>
          <w:tab w:val="left" w:pos="284"/>
          <w:tab w:val="left" w:pos="360"/>
        </w:tabs>
        <w:spacing w:after="40"/>
        <w:ind w:left="284" w:hanging="284"/>
        <w:rPr>
          <w:b/>
          <w:bCs/>
        </w:rPr>
      </w:pPr>
      <w:r w:rsidRPr="008025F3">
        <w:rPr>
          <w:rFonts w:ascii="Arial" w:hAnsi="Arial" w:cs="Arial"/>
          <w:i/>
          <w:sz w:val="20"/>
          <w:szCs w:val="20"/>
        </w:rPr>
        <w:t>Termination benefits</w:t>
      </w:r>
      <w:r w:rsidRPr="008025F3">
        <w:rPr>
          <w:rFonts w:ascii="Arial" w:hAnsi="Arial" w:cs="Arial"/>
          <w:sz w:val="20"/>
          <w:szCs w:val="20"/>
        </w:rPr>
        <w:t xml:space="preserve"> are not provided for within individual contracts of employment.  Contracts of employment provide only for notice periods or payment in lieu of notice on termination, regardless of the reason for termination.</w:t>
      </w:r>
      <w:r w:rsidR="00176E98" w:rsidRPr="00DE475B">
        <w:br w:type="page"/>
      </w:r>
      <w:r w:rsidR="00176E98" w:rsidRPr="00AF1F84">
        <w:rPr>
          <w:b/>
          <w:bCs/>
          <w:i/>
          <w:iCs/>
        </w:rPr>
        <w:lastRenderedPageBreak/>
        <w:t>Library Board of Queensland and controlled entities</w:t>
      </w:r>
    </w:p>
    <w:p w:rsidR="00176E98" w:rsidRPr="00DE475B" w:rsidRDefault="00373FFE" w:rsidP="00176E98">
      <w:pPr>
        <w:rPr>
          <w:rFonts w:ascii="Arial" w:hAnsi="Arial" w:cs="Arial"/>
          <w:b/>
          <w:bCs/>
          <w:sz w:val="20"/>
          <w:szCs w:val="20"/>
        </w:rPr>
      </w:pPr>
      <w:r w:rsidRPr="00DE475B">
        <w:rPr>
          <w:noProof/>
          <w:lang w:eastAsia="en-AU"/>
        </w:rPr>
        <mc:AlternateContent>
          <mc:Choice Requires="wps">
            <w:drawing>
              <wp:anchor distT="0" distB="0" distL="114300" distR="114300" simplePos="0" relativeHeight="251689984" behindDoc="0" locked="0" layoutInCell="1" allowOverlap="1" wp14:anchorId="37F69440" wp14:editId="09A22429">
                <wp:simplePos x="0" y="0"/>
                <wp:positionH relativeFrom="column">
                  <wp:posOffset>-66040</wp:posOffset>
                </wp:positionH>
                <wp:positionV relativeFrom="paragraph">
                  <wp:posOffset>-222250</wp:posOffset>
                </wp:positionV>
                <wp:extent cx="5573395" cy="0"/>
                <wp:effectExtent l="13970" t="9525" r="13335" b="9525"/>
                <wp:wrapNone/>
                <wp:docPr id="11"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ivmwIAAHoFAAAOAAAAZHJzL2Uyb0RvYy54bWysVF1vmzAUfZ+0/2D5nQKBJASVVC0he+m2&#10;Su20Z8c2wRrYzHZDoqn/fddOwpruZZqaSMgf18fn3nOur2/2XYt2XBuhZIHjqwgjLqliQm4L/O1p&#10;HWQYGUskI62SvMAHbvDN8uOH66HP+UQ1qmVcIwCRJh/6AjfW9nkYGtrwjpgr1XMJm7XSHbEw1duQ&#10;aTIAeteGkyiahYPSrNeKcmNgdXXcxEuPX9ec2q91bbhFbYGBm/Vf7b8b9w2X1yTfatI3gp5okP9g&#10;0REh4dIRakUsQc9a/AXVCaqVUbW9oqoLVV0Lyn0OkE0cvcnmsSE997lAcUw/lsm8Hyz9snvQSDDQ&#10;LsZIkg40uheSo0k2c8UZepNDTCkftEuP7uVjf6/oD4OkKhsit9yTfDr0cDB2J8KLI25ierhiM3xW&#10;DGLIs1W+Uvtadw4SaoD2XpDDKAjfW0RhcTqdJ8liihE974UkPx/stbGfuOqQGxS4BdYemOzujXVE&#10;SH4OcfdItRZt6/VuJRoKvEhm4AhKwHXmpz9pVCuYi3LxRm83ZavRjjjr+J9PD3Zeh3XCgoFb0RU4&#10;G4NI3nDCKsn8dZaI9jgGSq104Nxb88gTZnsLQ78OiXvb/FpEiyqrsjRIJ7MqSKPVKrhdl2kwW8fz&#10;6SpZleUqfnGs4zRvBGNcOuJnC8fpv1nk1ExH840mHksVXqL7mgLZS6a362k0T5MsmM+nSZAmVRTc&#10;ZesyuC3j2Wxe3ZV31Rumlc/evA/ZsZSOlXoGNR4bNiAmnCmS6WICvmYCWn4yP+qDSLuFt4pajZFW&#10;9ruwjfewc5/DuBA+i9z/JPyIfizEWUM3G1U45fanVKD5WV/fGq4bjn21UezwoM8tAw3uD50eI/eC&#10;vJ7D+PWTufwNAAD//wMAUEsDBBQABgAIAAAAIQDe2Ktn4AAAAAsBAAAPAAAAZHJzL2Rvd25yZXYu&#10;eG1sTI9BS8NAEIXvgv9hGcGLtJuaWEvMpoggHgRpqyjettkxG8zOht1tE/+9Iwh6m5n3ePO9aj25&#10;XhwxxM6TgsU8A4HUeNNRq+Dl+X62AhGTJqN7T6jgCyOs69OTSpfGj7TF4y61gkMollqBTWkopYyN&#10;Rafj3A9IrH344HTiNbTSBD1yuOvlZZYtpdMd8QerB7yz2HzuDk7BUxi7mPKi2GB6f314fLObC7dV&#10;6vxsur0BkXBKf2b4wWd0qJlp7w9kougVzBZZwVYe8isuxY7V8joHsf+9yLqS/zvU3wAAAP//AwBQ&#10;SwECLQAUAAYACAAAACEAtoM4kv4AAADhAQAAEwAAAAAAAAAAAAAAAAAAAAAAW0NvbnRlbnRfVHlw&#10;ZXNdLnhtbFBLAQItABQABgAIAAAAIQA4/SH/1gAAAJQBAAALAAAAAAAAAAAAAAAAAC8BAABfcmVs&#10;cy8ucmVsc1BLAQItABQABgAIAAAAIQDBp4ivmwIAAHoFAAAOAAAAAAAAAAAAAAAAAC4CAABkcnMv&#10;ZTJvRG9jLnhtbFBLAQItABQABgAIAAAAIQDe2Ktn4AAAAAsBAAAPAAAAAAAAAAAAAAAAAPUEAABk&#10;cnMvZG93bnJldi54bWxQSwUGAAAAAAQABADzAAAAAgYAAAAA&#10;" strokeweight=".26mm">
                <v:stroke joinstyle="miter" endcap="square"/>
              </v:line>
            </w:pict>
          </mc:Fallback>
        </mc:AlternateContent>
      </w:r>
      <w:r w:rsidR="00176E98" w:rsidRPr="00DE475B">
        <w:rPr>
          <w:rFonts w:ascii="Arial" w:hAnsi="Arial" w:cs="Arial"/>
          <w:b/>
          <w:bCs/>
          <w:sz w:val="20"/>
          <w:szCs w:val="20"/>
        </w:rPr>
        <w:t>NOTES TO THE FINANCIAL STATEMENTS</w:t>
      </w:r>
    </w:p>
    <w:p w:rsidR="00176E98" w:rsidRPr="00DE475B" w:rsidRDefault="008025F3" w:rsidP="00176E98">
      <w:r>
        <w:rPr>
          <w:rFonts w:ascii="Arial" w:hAnsi="Arial" w:cs="Arial"/>
          <w:b/>
          <w:bCs/>
          <w:sz w:val="20"/>
          <w:szCs w:val="20"/>
        </w:rPr>
        <w:t>For the year ended 30 June 2017</w:t>
      </w:r>
    </w:p>
    <w:p w:rsidR="0072602E" w:rsidRPr="00DE475B" w:rsidRDefault="00373FFE" w:rsidP="0072602E">
      <w:pPr>
        <w:pStyle w:val="ARheading3"/>
        <w:widowControl w:val="0"/>
        <w:tabs>
          <w:tab w:val="left" w:pos="851"/>
        </w:tabs>
        <w:spacing w:before="120" w:after="120"/>
        <w:rPr>
          <w:color w:val="808080"/>
        </w:rPr>
      </w:pPr>
      <w:r w:rsidRPr="00DE475B">
        <w:rPr>
          <w:noProof/>
          <w:color w:val="808080"/>
          <w:lang w:eastAsia="en-AU"/>
        </w:rPr>
        <mc:AlternateContent>
          <mc:Choice Requires="wps">
            <w:drawing>
              <wp:anchor distT="0" distB="0" distL="114300" distR="114300" simplePos="0" relativeHeight="251688960" behindDoc="0" locked="0" layoutInCell="1" allowOverlap="1" wp14:anchorId="2C51E242" wp14:editId="5C61BBA4">
                <wp:simplePos x="0" y="0"/>
                <wp:positionH relativeFrom="column">
                  <wp:posOffset>-66040</wp:posOffset>
                </wp:positionH>
                <wp:positionV relativeFrom="paragraph">
                  <wp:posOffset>29210</wp:posOffset>
                </wp:positionV>
                <wp:extent cx="5573395" cy="0"/>
                <wp:effectExtent l="13970" t="10160" r="13335" b="8890"/>
                <wp:wrapNone/>
                <wp:docPr id="10"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3pt" to="433.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jimgIAAHoFAAAOAAAAZHJzL2Uyb0RvYy54bWysVFFvmzAQfp+0/2D5nQIBEoJKppaQvXRb&#10;pXbas2NMsGZsZrsh1bT/vrOTsKZ7maYmEvLZd+fv7vvO1x8OvUB7pg1XssTxVYQRk1Q1XO5K/PVx&#10;E+QYGUtkQ4SSrMTPzOAPq/fvrsehYDPVKdEwjSCJNMU4lLizdijC0NCO9cRcqYFJOGyV7okFU+/C&#10;RpMRsvcinEXRPByVbgatKDMGdtfHQ7zy+duWUfulbQ2zSJQYsFn/1f67dd9wdU2KnSZDx+kJBvkP&#10;FD3hEi6dUq2JJehJ879S9ZxqZVRrr6jqQ9W2nDJfA1QTR6+qeejIwHwt0BwzTG0yb5eWft7fa8Qb&#10;4A7aI0kPHN1xydAsz1xzxsEU4FPJe+3Kowf5MNwp+t0gqaqOyB3zIB+fBwiMXUR4EeIMM8AV2/GT&#10;asCHPFnlO3Vode9SQg/QwRPyPBHCDhZR2MyyRZIsM4zo+SwkxTlw0MZ+ZKpHblFiAah9YrK/M9YB&#10;IcXZxd0j1YYL4fkWEo0lXiZzKJkSUJ354SONErxxXs7f6N22EhrtiZOO//ny4OSlW88tCFjwvsT5&#10;5ESKjpGmlo2/zhIujmuAJKRLzrw0jzjBOlhY+n0o3Mvm5zJa1nmdp0E6m9dBGq3Xwc2mSoP5Jl5k&#10;62RdVev4l0Mdp0XHm4ZJB/ws4Tj9N4mchukovknEU6vCy+y+pwD2EunNJosWaZIHi0WWBGlSR8Ft&#10;vqmCmyqezxf1bXVbv0Ja++rN24CdWulQqSdg46FrRtRwJ4okW85iDAaM/Gxx5AcRsYO3ilqNkVb2&#10;G7ed17BTn8txQXweuf+J+Cn7sRFnDp01sXCq7U+rgPMzv3403DQc52qrmud7fR4ZGHAfdHqM3Avy&#10;0ob1yydz9RsAAP//AwBQSwMEFAAGAAgAAAAhAP0evcvdAAAABwEAAA8AAABkcnMvZG93bnJldi54&#10;bWxMjlFLwzAUhd8F/0O4gi+ypXOljtp0iCA+CLJNUXzLmmtTbG5Kkq3133vdiz4ezuE7X7WeXC+O&#10;GGLnScFinoFAarzpqFXw+vIwW4GISZPRvSdU8I0R1vX5WaVL40fa4nGXWsEQiqVWYFMaSiljY9Hp&#10;OPcDEnefPjidOIZWmqBHhrteXmdZIZ3uiB+sHvDeYvO1OzgFz2HsYlrm+QbTx9vj07vdXLmtUpcX&#10;090tiIRT+hvDrz6rQ81Oe38gE0WvYLbIcp4qyAsQ3K+KmyWI/SnLupL//esfAAAA//8DAFBLAQIt&#10;ABQABgAIAAAAIQC2gziS/gAAAOEBAAATAAAAAAAAAAAAAAAAAAAAAABbQ29udGVudF9UeXBlc10u&#10;eG1sUEsBAi0AFAAGAAgAAAAhADj9If/WAAAAlAEAAAsAAAAAAAAAAAAAAAAALwEAAF9yZWxzLy5y&#10;ZWxzUEsBAi0AFAAGAAgAAAAhAPeB6OKaAgAAegUAAA4AAAAAAAAAAAAAAAAALgIAAGRycy9lMm9E&#10;b2MueG1sUEsBAi0AFAAGAAgAAAAhAP0evcvdAAAABwEAAA8AAAAAAAAAAAAAAAAA9AQAAGRycy9k&#10;b3ducmV2LnhtbFBLBQYAAAAABAAEAPMAAAD+BQAAAAA=&#10;" strokeweight=".26mm">
                <v:stroke joinstyle="miter" endcap="square"/>
              </v:line>
            </w:pict>
          </mc:Fallback>
        </mc:AlternateContent>
      </w:r>
      <w:proofErr w:type="gramStart"/>
      <w:r w:rsidR="000557E9" w:rsidRPr="00DE475B">
        <w:rPr>
          <w:color w:val="808080"/>
        </w:rPr>
        <w:t>F</w:t>
      </w:r>
      <w:r w:rsidR="0072602E" w:rsidRPr="00DE475B">
        <w:rPr>
          <w:color w:val="808080"/>
        </w:rPr>
        <w:t>1  Key</w:t>
      </w:r>
      <w:proofErr w:type="gramEnd"/>
      <w:r w:rsidR="0072602E" w:rsidRPr="00DE475B">
        <w:rPr>
          <w:color w:val="808080"/>
        </w:rPr>
        <w:t xml:space="preserve"> management personnel</w:t>
      </w:r>
      <w:r w:rsidR="008025F3">
        <w:rPr>
          <w:color w:val="808080"/>
        </w:rPr>
        <w:t xml:space="preserve"> (</w:t>
      </w:r>
      <w:proofErr w:type="spellStart"/>
      <w:r w:rsidR="008025F3">
        <w:rPr>
          <w:color w:val="808080"/>
        </w:rPr>
        <w:t>KMP</w:t>
      </w:r>
      <w:proofErr w:type="spellEnd"/>
      <w:r w:rsidR="008025F3">
        <w:rPr>
          <w:color w:val="808080"/>
        </w:rPr>
        <w:t>)</w:t>
      </w:r>
      <w:r w:rsidR="0072602E" w:rsidRPr="00DE475B">
        <w:rPr>
          <w:color w:val="808080"/>
        </w:rPr>
        <w:t xml:space="preserve"> disclosures (continued)</w:t>
      </w:r>
    </w:p>
    <w:p w:rsidR="000557E9" w:rsidRDefault="0072602E" w:rsidP="00652F6C">
      <w:pPr>
        <w:pStyle w:val="ARbodytext"/>
        <w:spacing w:before="120"/>
        <w:rPr>
          <w:b/>
          <w:bCs/>
        </w:rPr>
      </w:pPr>
      <w:r w:rsidRPr="00DE475B">
        <w:rPr>
          <w:b/>
          <w:bCs/>
        </w:rPr>
        <w:t>F</w:t>
      </w:r>
      <w:r w:rsidR="008025F3">
        <w:rPr>
          <w:b/>
          <w:bCs/>
        </w:rPr>
        <w:t>1-</w:t>
      </w:r>
      <w:proofErr w:type="gramStart"/>
      <w:r w:rsidR="008025F3">
        <w:rPr>
          <w:b/>
          <w:bCs/>
        </w:rPr>
        <w:t>3</w:t>
      </w:r>
      <w:r w:rsidR="000557E9" w:rsidRPr="00DE475B">
        <w:rPr>
          <w:b/>
          <w:bCs/>
        </w:rPr>
        <w:t xml:space="preserve">  </w:t>
      </w:r>
      <w:proofErr w:type="spellStart"/>
      <w:r w:rsidR="000557E9" w:rsidRPr="00DE475B">
        <w:rPr>
          <w:b/>
          <w:bCs/>
        </w:rPr>
        <w:t>K</w:t>
      </w:r>
      <w:r w:rsidR="008025F3">
        <w:rPr>
          <w:b/>
          <w:bCs/>
        </w:rPr>
        <w:t>MP</w:t>
      </w:r>
      <w:proofErr w:type="spellEnd"/>
      <w:proofErr w:type="gramEnd"/>
      <w:r w:rsidR="000557E9" w:rsidRPr="00DE475B">
        <w:rPr>
          <w:b/>
          <w:bCs/>
        </w:rPr>
        <w:t xml:space="preserve"> remuneration expense</w:t>
      </w:r>
    </w:p>
    <w:p w:rsidR="008025F3" w:rsidRPr="008025F3" w:rsidRDefault="008025F3" w:rsidP="008025F3">
      <w:pPr>
        <w:spacing w:after="240"/>
        <w:rPr>
          <w:rFonts w:ascii="Arial" w:hAnsi="Arial" w:cs="Arial"/>
          <w:sz w:val="20"/>
          <w:szCs w:val="20"/>
        </w:rPr>
      </w:pPr>
      <w:r w:rsidRPr="008025F3">
        <w:rPr>
          <w:rFonts w:ascii="Arial" w:hAnsi="Arial" w:cs="Arial"/>
          <w:sz w:val="20"/>
          <w:szCs w:val="20"/>
        </w:rPr>
        <w:t xml:space="preserve">The following disclosures focus </w:t>
      </w:r>
      <w:r w:rsidR="00824C8C">
        <w:rPr>
          <w:rFonts w:ascii="Arial" w:hAnsi="Arial" w:cs="Arial"/>
          <w:sz w:val="20"/>
          <w:szCs w:val="20"/>
        </w:rPr>
        <w:t xml:space="preserve">on the expenses incurred by </w:t>
      </w:r>
      <w:r w:rsidRPr="008025F3">
        <w:rPr>
          <w:rFonts w:ascii="Arial" w:hAnsi="Arial" w:cs="Arial"/>
          <w:sz w:val="20"/>
          <w:szCs w:val="20"/>
        </w:rPr>
        <w:t>State Library that is attributable to key management positions during the respective reporting periods. Therefore, the amounts disclosed reflect expenses recognised in the Statement of Comprehensive Income.</w:t>
      </w:r>
    </w:p>
    <w:p w:rsidR="000557E9" w:rsidRPr="00DE475B" w:rsidRDefault="000557E9" w:rsidP="008025F3">
      <w:pPr>
        <w:spacing w:after="120"/>
        <w:rPr>
          <w:rFonts w:ascii="Arial" w:hAnsi="Arial" w:cs="Arial"/>
          <w:sz w:val="20"/>
          <w:szCs w:val="20"/>
        </w:rPr>
      </w:pPr>
      <w:r w:rsidRPr="00DE475B">
        <w:rPr>
          <w:rFonts w:ascii="Arial" w:hAnsi="Arial" w:cs="Arial"/>
          <w:b/>
          <w:bCs/>
          <w:sz w:val="20"/>
          <w:szCs w:val="20"/>
        </w:rPr>
        <w:t>1 July 201</w:t>
      </w:r>
      <w:r w:rsidR="008025F3">
        <w:rPr>
          <w:rFonts w:ascii="Arial" w:hAnsi="Arial" w:cs="Arial"/>
          <w:b/>
          <w:bCs/>
          <w:sz w:val="20"/>
          <w:szCs w:val="20"/>
        </w:rPr>
        <w:t>6</w:t>
      </w:r>
      <w:r w:rsidRPr="00DE475B">
        <w:rPr>
          <w:rFonts w:ascii="Arial" w:hAnsi="Arial" w:cs="Arial"/>
          <w:b/>
          <w:bCs/>
          <w:sz w:val="20"/>
          <w:szCs w:val="20"/>
        </w:rPr>
        <w:t xml:space="preserve"> </w:t>
      </w:r>
      <w:r w:rsidR="008025F3">
        <w:rPr>
          <w:rFonts w:ascii="Arial" w:hAnsi="Arial" w:cs="Arial"/>
          <w:b/>
          <w:bCs/>
          <w:sz w:val="20"/>
          <w:szCs w:val="20"/>
        </w:rPr>
        <w:t>— 30 June 2017</w:t>
      </w:r>
    </w:p>
    <w:tbl>
      <w:tblPr>
        <w:tblW w:w="889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438"/>
        <w:gridCol w:w="1032"/>
        <w:gridCol w:w="1011"/>
        <w:gridCol w:w="1082"/>
        <w:gridCol w:w="1215"/>
        <w:gridCol w:w="1108"/>
        <w:gridCol w:w="1011"/>
      </w:tblGrid>
      <w:tr w:rsidR="005D0833" w:rsidRPr="00DE475B" w:rsidTr="006A5AC1">
        <w:trPr>
          <w:trHeight w:val="664"/>
        </w:trPr>
        <w:tc>
          <w:tcPr>
            <w:tcW w:w="2438" w:type="dxa"/>
            <w:vMerge w:val="restart"/>
            <w:tcBorders>
              <w:top w:val="nil"/>
            </w:tcBorders>
            <w:shd w:val="clear" w:color="auto" w:fill="auto"/>
            <w:tcMar>
              <w:right w:w="28" w:type="dxa"/>
            </w:tcMar>
            <w:hideMark/>
          </w:tcPr>
          <w:p w:rsidR="00A55079" w:rsidRDefault="00A55079" w:rsidP="008025F3">
            <w:pPr>
              <w:rPr>
                <w:rFonts w:ascii="Arial" w:hAnsi="Arial" w:cs="Arial"/>
                <w:b/>
                <w:bCs/>
                <w:sz w:val="20"/>
                <w:szCs w:val="20"/>
              </w:rPr>
            </w:pPr>
          </w:p>
          <w:p w:rsidR="005D0833" w:rsidRPr="00DE475B" w:rsidRDefault="008025F3" w:rsidP="008025F3">
            <w:pPr>
              <w:rPr>
                <w:rFonts w:ascii="Arial" w:hAnsi="Arial" w:cs="Arial"/>
                <w:b/>
                <w:bCs/>
                <w:sz w:val="20"/>
                <w:szCs w:val="20"/>
              </w:rPr>
            </w:pPr>
            <w:r>
              <w:rPr>
                <w:rFonts w:ascii="Arial" w:hAnsi="Arial" w:cs="Arial"/>
                <w:b/>
                <w:bCs/>
                <w:sz w:val="20"/>
                <w:szCs w:val="20"/>
              </w:rPr>
              <w:t>Position</w:t>
            </w:r>
          </w:p>
        </w:tc>
        <w:tc>
          <w:tcPr>
            <w:tcW w:w="2043" w:type="dxa"/>
            <w:gridSpan w:val="2"/>
            <w:tcBorders>
              <w:top w:val="nil"/>
              <w:bottom w:val="nil"/>
            </w:tcBorders>
            <w:shd w:val="clear" w:color="auto" w:fill="auto"/>
            <w:tcMar>
              <w:right w:w="28" w:type="dxa"/>
            </w:tcMar>
            <w:vAlign w:val="bottom"/>
            <w:hideMark/>
          </w:tcPr>
          <w:p w:rsidR="005D0833" w:rsidRPr="00DE475B" w:rsidRDefault="005D0833" w:rsidP="005D0833">
            <w:pPr>
              <w:jc w:val="center"/>
              <w:rPr>
                <w:rFonts w:ascii="Arial" w:hAnsi="Arial" w:cs="Arial"/>
                <w:b/>
                <w:bCs/>
                <w:sz w:val="18"/>
                <w:szCs w:val="18"/>
              </w:rPr>
            </w:pPr>
            <w:r w:rsidRPr="00DE475B">
              <w:rPr>
                <w:rFonts w:ascii="Arial" w:hAnsi="Arial" w:cs="Arial"/>
                <w:b/>
                <w:bCs/>
                <w:sz w:val="18"/>
                <w:szCs w:val="18"/>
              </w:rPr>
              <w:t>Short Term Employee Expenses</w:t>
            </w:r>
          </w:p>
        </w:tc>
        <w:tc>
          <w:tcPr>
            <w:tcW w:w="1082" w:type="dxa"/>
            <w:tcBorders>
              <w:top w:val="nil"/>
              <w:bottom w:val="nil"/>
            </w:tcBorders>
            <w:shd w:val="clear" w:color="auto" w:fill="auto"/>
            <w:tcMar>
              <w:right w:w="28" w:type="dxa"/>
            </w:tcMar>
            <w:vAlign w:val="bottom"/>
            <w:hideMark/>
          </w:tcPr>
          <w:p w:rsidR="005D0833" w:rsidRPr="00DE475B" w:rsidRDefault="00585810" w:rsidP="005D0833">
            <w:pPr>
              <w:jc w:val="center"/>
              <w:rPr>
                <w:rFonts w:ascii="Arial" w:hAnsi="Arial" w:cs="Arial"/>
                <w:b/>
                <w:bCs/>
                <w:sz w:val="18"/>
                <w:szCs w:val="18"/>
              </w:rPr>
            </w:pPr>
            <w:r>
              <w:rPr>
                <w:rFonts w:ascii="Arial" w:hAnsi="Arial" w:cs="Arial"/>
                <w:b/>
                <w:bCs/>
                <w:sz w:val="18"/>
                <w:szCs w:val="18"/>
              </w:rPr>
              <w:t>Long-</w:t>
            </w:r>
            <w:r w:rsidR="005D0833" w:rsidRPr="00DE475B">
              <w:rPr>
                <w:rFonts w:ascii="Arial" w:hAnsi="Arial" w:cs="Arial"/>
                <w:b/>
                <w:bCs/>
                <w:sz w:val="18"/>
                <w:szCs w:val="18"/>
              </w:rPr>
              <w:t>Term Employee Expenses</w:t>
            </w:r>
          </w:p>
        </w:tc>
        <w:tc>
          <w:tcPr>
            <w:tcW w:w="1215" w:type="dxa"/>
            <w:tcBorders>
              <w:top w:val="nil"/>
              <w:bottom w:val="nil"/>
            </w:tcBorders>
            <w:shd w:val="clear" w:color="auto" w:fill="auto"/>
            <w:tcMar>
              <w:left w:w="57" w:type="dxa"/>
              <w:right w:w="28" w:type="dxa"/>
            </w:tcMar>
            <w:vAlign w:val="bottom"/>
            <w:hideMark/>
          </w:tcPr>
          <w:p w:rsidR="005D0833" w:rsidRPr="00DE475B" w:rsidRDefault="005D0833" w:rsidP="005D0833">
            <w:pPr>
              <w:jc w:val="center"/>
              <w:rPr>
                <w:rFonts w:ascii="Arial" w:hAnsi="Arial" w:cs="Arial"/>
                <w:b/>
                <w:bCs/>
                <w:sz w:val="18"/>
                <w:szCs w:val="18"/>
              </w:rPr>
            </w:pPr>
            <w:proofErr w:type="spellStart"/>
            <w:r w:rsidRPr="00DE475B">
              <w:rPr>
                <w:rFonts w:ascii="Arial" w:hAnsi="Arial" w:cs="Arial"/>
                <w:b/>
                <w:bCs/>
                <w:sz w:val="18"/>
                <w:szCs w:val="18"/>
              </w:rPr>
              <w:t>Post Employment</w:t>
            </w:r>
            <w:proofErr w:type="spellEnd"/>
            <w:r w:rsidRPr="00DE475B">
              <w:rPr>
                <w:rFonts w:ascii="Arial" w:hAnsi="Arial" w:cs="Arial"/>
                <w:b/>
                <w:bCs/>
                <w:sz w:val="18"/>
                <w:szCs w:val="18"/>
              </w:rPr>
              <w:t xml:space="preserve"> Expenses</w:t>
            </w:r>
          </w:p>
        </w:tc>
        <w:tc>
          <w:tcPr>
            <w:tcW w:w="1108" w:type="dxa"/>
            <w:tcBorders>
              <w:top w:val="nil"/>
              <w:bottom w:val="nil"/>
            </w:tcBorders>
            <w:shd w:val="clear" w:color="auto" w:fill="auto"/>
            <w:tcMar>
              <w:left w:w="28" w:type="dxa"/>
              <w:right w:w="0" w:type="dxa"/>
            </w:tcMar>
            <w:vAlign w:val="bottom"/>
            <w:hideMark/>
          </w:tcPr>
          <w:p w:rsidR="005D0833" w:rsidRPr="00DE475B" w:rsidRDefault="005D0833" w:rsidP="005D0833">
            <w:pPr>
              <w:jc w:val="center"/>
              <w:rPr>
                <w:rFonts w:ascii="Arial" w:hAnsi="Arial" w:cs="Arial"/>
                <w:b/>
                <w:bCs/>
                <w:spacing w:val="2"/>
                <w:sz w:val="18"/>
                <w:szCs w:val="18"/>
              </w:rPr>
            </w:pPr>
            <w:r w:rsidRPr="00DE475B">
              <w:rPr>
                <w:rFonts w:ascii="Arial" w:hAnsi="Arial" w:cs="Arial"/>
                <w:b/>
                <w:bCs/>
                <w:spacing w:val="2"/>
                <w:sz w:val="18"/>
                <w:szCs w:val="18"/>
              </w:rPr>
              <w:t>Termination Benefits</w:t>
            </w:r>
          </w:p>
        </w:tc>
        <w:tc>
          <w:tcPr>
            <w:tcW w:w="1011" w:type="dxa"/>
            <w:tcBorders>
              <w:top w:val="nil"/>
              <w:bottom w:val="nil"/>
            </w:tcBorders>
            <w:shd w:val="clear" w:color="auto" w:fill="auto"/>
            <w:tcMar>
              <w:right w:w="28" w:type="dxa"/>
            </w:tcMar>
            <w:vAlign w:val="bottom"/>
            <w:hideMark/>
          </w:tcPr>
          <w:p w:rsidR="005D0833" w:rsidRPr="00DE475B" w:rsidRDefault="005D0833" w:rsidP="005D0833">
            <w:pPr>
              <w:jc w:val="center"/>
              <w:rPr>
                <w:rFonts w:ascii="Arial" w:hAnsi="Arial" w:cs="Arial"/>
                <w:b/>
                <w:bCs/>
                <w:sz w:val="18"/>
                <w:szCs w:val="18"/>
              </w:rPr>
            </w:pPr>
            <w:r w:rsidRPr="00DE475B">
              <w:rPr>
                <w:rFonts w:ascii="Arial" w:hAnsi="Arial" w:cs="Arial"/>
                <w:b/>
                <w:bCs/>
                <w:sz w:val="18"/>
                <w:szCs w:val="18"/>
              </w:rPr>
              <w:t>Total Expenses</w:t>
            </w:r>
          </w:p>
        </w:tc>
      </w:tr>
      <w:tr w:rsidR="005D0833" w:rsidRPr="00DE475B" w:rsidTr="00576782">
        <w:trPr>
          <w:trHeight w:val="702"/>
        </w:trPr>
        <w:tc>
          <w:tcPr>
            <w:tcW w:w="2438" w:type="dxa"/>
            <w:vMerge/>
            <w:tcBorders>
              <w:bottom w:val="nil"/>
            </w:tcBorders>
            <w:shd w:val="clear" w:color="auto" w:fill="auto"/>
            <w:tcMar>
              <w:right w:w="28" w:type="dxa"/>
            </w:tcMar>
            <w:hideMark/>
          </w:tcPr>
          <w:p w:rsidR="005D0833" w:rsidRPr="00DE475B" w:rsidRDefault="005D0833" w:rsidP="005554A8">
            <w:pPr>
              <w:rPr>
                <w:rFonts w:ascii="Arial" w:hAnsi="Arial" w:cs="Arial"/>
                <w:b/>
                <w:bCs/>
                <w:sz w:val="18"/>
                <w:szCs w:val="18"/>
              </w:rPr>
            </w:pPr>
          </w:p>
        </w:tc>
        <w:tc>
          <w:tcPr>
            <w:tcW w:w="1032" w:type="dxa"/>
            <w:tcBorders>
              <w:top w:val="nil"/>
              <w:bottom w:val="nil"/>
            </w:tcBorders>
            <w:shd w:val="clear" w:color="auto" w:fill="auto"/>
            <w:tcMar>
              <w:right w:w="28" w:type="dxa"/>
            </w:tcMar>
            <w:vAlign w:val="bottom"/>
            <w:hideMark/>
          </w:tcPr>
          <w:p w:rsidR="005D0833" w:rsidRPr="00DE475B" w:rsidRDefault="005D0833" w:rsidP="005D0833">
            <w:pPr>
              <w:jc w:val="center"/>
              <w:rPr>
                <w:rFonts w:ascii="Arial" w:hAnsi="Arial" w:cs="Arial"/>
                <w:b/>
                <w:bCs/>
                <w:sz w:val="18"/>
                <w:szCs w:val="18"/>
              </w:rPr>
            </w:pPr>
            <w:r w:rsidRPr="00DE475B">
              <w:rPr>
                <w:rFonts w:ascii="Arial" w:hAnsi="Arial" w:cs="Arial"/>
                <w:b/>
                <w:bCs/>
                <w:sz w:val="18"/>
                <w:szCs w:val="18"/>
              </w:rPr>
              <w:t>Monetary Expenses</w:t>
            </w:r>
          </w:p>
        </w:tc>
        <w:tc>
          <w:tcPr>
            <w:tcW w:w="1011" w:type="dxa"/>
            <w:tcBorders>
              <w:top w:val="nil"/>
              <w:bottom w:val="nil"/>
            </w:tcBorders>
            <w:shd w:val="clear" w:color="auto" w:fill="auto"/>
            <w:tcMar>
              <w:right w:w="28" w:type="dxa"/>
            </w:tcMar>
            <w:vAlign w:val="bottom"/>
            <w:hideMark/>
          </w:tcPr>
          <w:p w:rsidR="005D0833" w:rsidRPr="00DE475B" w:rsidRDefault="005D0833" w:rsidP="005D0833">
            <w:pPr>
              <w:jc w:val="center"/>
              <w:rPr>
                <w:rFonts w:ascii="Arial" w:hAnsi="Arial" w:cs="Arial"/>
                <w:b/>
                <w:bCs/>
                <w:sz w:val="18"/>
                <w:szCs w:val="18"/>
              </w:rPr>
            </w:pPr>
            <w:r w:rsidRPr="00DE475B">
              <w:rPr>
                <w:rFonts w:ascii="Arial" w:hAnsi="Arial" w:cs="Arial"/>
                <w:b/>
                <w:bCs/>
                <w:sz w:val="18"/>
                <w:szCs w:val="18"/>
              </w:rPr>
              <w:t>Non-Monetary Benefits</w:t>
            </w:r>
          </w:p>
        </w:tc>
        <w:tc>
          <w:tcPr>
            <w:tcW w:w="1082" w:type="dxa"/>
            <w:tcBorders>
              <w:top w:val="nil"/>
              <w:bottom w:val="nil"/>
            </w:tcBorders>
            <w:shd w:val="clear" w:color="auto" w:fill="auto"/>
            <w:tcMar>
              <w:right w:w="28" w:type="dxa"/>
            </w:tcMar>
            <w:vAlign w:val="bottom"/>
          </w:tcPr>
          <w:p w:rsidR="005D0833" w:rsidRPr="00DE475B" w:rsidRDefault="005D0833" w:rsidP="005D0833">
            <w:pPr>
              <w:jc w:val="center"/>
              <w:rPr>
                <w:rFonts w:ascii="Arial" w:hAnsi="Arial" w:cs="Arial"/>
                <w:b/>
                <w:bCs/>
                <w:sz w:val="18"/>
                <w:szCs w:val="18"/>
              </w:rPr>
            </w:pPr>
          </w:p>
        </w:tc>
        <w:tc>
          <w:tcPr>
            <w:tcW w:w="1215" w:type="dxa"/>
            <w:tcBorders>
              <w:top w:val="nil"/>
              <w:bottom w:val="nil"/>
            </w:tcBorders>
            <w:shd w:val="clear" w:color="auto" w:fill="auto"/>
            <w:tcMar>
              <w:right w:w="28" w:type="dxa"/>
            </w:tcMar>
            <w:vAlign w:val="bottom"/>
          </w:tcPr>
          <w:p w:rsidR="005D0833" w:rsidRPr="00DE475B" w:rsidRDefault="005D0833" w:rsidP="005D0833">
            <w:pPr>
              <w:jc w:val="center"/>
              <w:rPr>
                <w:rFonts w:ascii="Arial" w:hAnsi="Arial" w:cs="Arial"/>
                <w:b/>
                <w:bCs/>
                <w:sz w:val="18"/>
                <w:szCs w:val="18"/>
              </w:rPr>
            </w:pPr>
          </w:p>
        </w:tc>
        <w:tc>
          <w:tcPr>
            <w:tcW w:w="1108" w:type="dxa"/>
            <w:tcBorders>
              <w:top w:val="nil"/>
              <w:bottom w:val="nil"/>
            </w:tcBorders>
            <w:shd w:val="clear" w:color="auto" w:fill="auto"/>
            <w:tcMar>
              <w:right w:w="28" w:type="dxa"/>
            </w:tcMar>
            <w:vAlign w:val="bottom"/>
          </w:tcPr>
          <w:p w:rsidR="005D0833" w:rsidRPr="00DE475B" w:rsidRDefault="005D0833" w:rsidP="005D0833">
            <w:pPr>
              <w:jc w:val="center"/>
              <w:rPr>
                <w:rFonts w:ascii="Arial" w:hAnsi="Arial" w:cs="Arial"/>
                <w:b/>
                <w:bCs/>
                <w:sz w:val="18"/>
                <w:szCs w:val="18"/>
              </w:rPr>
            </w:pPr>
          </w:p>
        </w:tc>
        <w:tc>
          <w:tcPr>
            <w:tcW w:w="1011" w:type="dxa"/>
            <w:tcBorders>
              <w:top w:val="nil"/>
              <w:bottom w:val="nil"/>
            </w:tcBorders>
            <w:shd w:val="clear" w:color="auto" w:fill="auto"/>
            <w:tcMar>
              <w:right w:w="28" w:type="dxa"/>
            </w:tcMar>
            <w:vAlign w:val="bottom"/>
          </w:tcPr>
          <w:p w:rsidR="005D0833" w:rsidRPr="00DE475B" w:rsidRDefault="005D0833" w:rsidP="005D0833">
            <w:pPr>
              <w:jc w:val="center"/>
              <w:rPr>
                <w:rFonts w:ascii="Arial" w:hAnsi="Arial" w:cs="Arial"/>
                <w:b/>
                <w:bCs/>
                <w:sz w:val="18"/>
                <w:szCs w:val="18"/>
              </w:rPr>
            </w:pPr>
          </w:p>
        </w:tc>
      </w:tr>
      <w:tr w:rsidR="003540F3" w:rsidRPr="00DE475B" w:rsidTr="00576782">
        <w:trPr>
          <w:trHeight w:val="255"/>
        </w:trPr>
        <w:tc>
          <w:tcPr>
            <w:tcW w:w="2438" w:type="dxa"/>
            <w:tcBorders>
              <w:top w:val="nil"/>
              <w:bottom w:val="single" w:sz="4" w:space="0" w:color="000000"/>
            </w:tcBorders>
            <w:shd w:val="clear" w:color="auto" w:fill="auto"/>
            <w:hideMark/>
          </w:tcPr>
          <w:p w:rsidR="003540F3" w:rsidRPr="00DE475B" w:rsidRDefault="003540F3" w:rsidP="005554A8">
            <w:pPr>
              <w:rPr>
                <w:rFonts w:ascii="Arial" w:hAnsi="Arial" w:cs="Arial"/>
                <w:b/>
                <w:bCs/>
                <w:sz w:val="18"/>
                <w:szCs w:val="18"/>
              </w:rPr>
            </w:pPr>
            <w:r w:rsidRPr="00DE475B">
              <w:rPr>
                <w:rFonts w:ascii="Arial" w:hAnsi="Arial" w:cs="Arial"/>
                <w:b/>
                <w:bCs/>
                <w:sz w:val="18"/>
                <w:szCs w:val="18"/>
              </w:rPr>
              <w:t> </w:t>
            </w:r>
          </w:p>
        </w:tc>
        <w:tc>
          <w:tcPr>
            <w:tcW w:w="1032" w:type="dxa"/>
            <w:tcBorders>
              <w:top w:val="nil"/>
              <w:bottom w:val="single" w:sz="4" w:space="0" w:color="000000"/>
            </w:tcBorders>
            <w:shd w:val="clear" w:color="auto" w:fill="auto"/>
            <w:noWrap/>
            <w:vAlign w:val="center"/>
            <w:hideMark/>
          </w:tcPr>
          <w:p w:rsidR="003540F3" w:rsidRPr="00DE475B" w:rsidRDefault="003540F3" w:rsidP="005D0833">
            <w:pPr>
              <w:jc w:val="right"/>
              <w:rPr>
                <w:rFonts w:ascii="Arial" w:hAnsi="Arial" w:cs="Arial"/>
                <w:b/>
                <w:bCs/>
                <w:sz w:val="20"/>
                <w:szCs w:val="20"/>
              </w:rPr>
            </w:pPr>
            <w:r w:rsidRPr="00DE475B">
              <w:rPr>
                <w:rFonts w:ascii="Arial" w:hAnsi="Arial" w:cs="Arial"/>
                <w:b/>
                <w:bCs/>
                <w:sz w:val="20"/>
                <w:szCs w:val="20"/>
              </w:rPr>
              <w:t xml:space="preserve">$'000 </w:t>
            </w:r>
          </w:p>
        </w:tc>
        <w:tc>
          <w:tcPr>
            <w:tcW w:w="1011" w:type="dxa"/>
            <w:tcBorders>
              <w:top w:val="nil"/>
              <w:bottom w:val="single" w:sz="4" w:space="0" w:color="000000"/>
            </w:tcBorders>
            <w:shd w:val="clear" w:color="auto" w:fill="auto"/>
            <w:vAlign w:val="center"/>
            <w:hideMark/>
          </w:tcPr>
          <w:p w:rsidR="003540F3" w:rsidRPr="00DE475B" w:rsidRDefault="003540F3" w:rsidP="005D0833">
            <w:pPr>
              <w:jc w:val="right"/>
              <w:rPr>
                <w:rFonts w:ascii="Arial" w:hAnsi="Arial" w:cs="Arial"/>
                <w:b/>
                <w:bCs/>
                <w:sz w:val="20"/>
                <w:szCs w:val="20"/>
              </w:rPr>
            </w:pPr>
            <w:r w:rsidRPr="00DE475B">
              <w:rPr>
                <w:rFonts w:ascii="Arial" w:hAnsi="Arial" w:cs="Arial"/>
                <w:b/>
                <w:bCs/>
                <w:sz w:val="20"/>
                <w:szCs w:val="20"/>
              </w:rPr>
              <w:t xml:space="preserve">$'000 </w:t>
            </w:r>
          </w:p>
        </w:tc>
        <w:tc>
          <w:tcPr>
            <w:tcW w:w="1082" w:type="dxa"/>
            <w:tcBorders>
              <w:top w:val="nil"/>
              <w:bottom w:val="single" w:sz="4" w:space="0" w:color="000000"/>
            </w:tcBorders>
            <w:shd w:val="clear" w:color="auto" w:fill="auto"/>
            <w:vAlign w:val="center"/>
            <w:hideMark/>
          </w:tcPr>
          <w:p w:rsidR="003540F3" w:rsidRPr="00DE475B" w:rsidRDefault="003540F3" w:rsidP="005D0833">
            <w:pPr>
              <w:jc w:val="right"/>
              <w:rPr>
                <w:rFonts w:ascii="Arial" w:hAnsi="Arial" w:cs="Arial"/>
                <w:b/>
                <w:bCs/>
                <w:sz w:val="20"/>
                <w:szCs w:val="20"/>
              </w:rPr>
            </w:pPr>
            <w:r w:rsidRPr="00DE475B">
              <w:rPr>
                <w:rFonts w:ascii="Arial" w:hAnsi="Arial" w:cs="Arial"/>
                <w:b/>
                <w:bCs/>
                <w:sz w:val="20"/>
                <w:szCs w:val="20"/>
              </w:rPr>
              <w:t xml:space="preserve">$'000 </w:t>
            </w:r>
          </w:p>
        </w:tc>
        <w:tc>
          <w:tcPr>
            <w:tcW w:w="1215" w:type="dxa"/>
            <w:tcBorders>
              <w:top w:val="nil"/>
              <w:bottom w:val="single" w:sz="4" w:space="0" w:color="000000"/>
            </w:tcBorders>
            <w:shd w:val="clear" w:color="auto" w:fill="auto"/>
            <w:vAlign w:val="center"/>
            <w:hideMark/>
          </w:tcPr>
          <w:p w:rsidR="003540F3" w:rsidRPr="00DE475B" w:rsidRDefault="003540F3" w:rsidP="005D0833">
            <w:pPr>
              <w:jc w:val="right"/>
              <w:rPr>
                <w:rFonts w:ascii="Arial" w:hAnsi="Arial" w:cs="Arial"/>
                <w:b/>
                <w:bCs/>
                <w:sz w:val="20"/>
                <w:szCs w:val="20"/>
              </w:rPr>
            </w:pPr>
            <w:r w:rsidRPr="00DE475B">
              <w:rPr>
                <w:rFonts w:ascii="Arial" w:hAnsi="Arial" w:cs="Arial"/>
                <w:b/>
                <w:bCs/>
                <w:sz w:val="20"/>
                <w:szCs w:val="20"/>
              </w:rPr>
              <w:t xml:space="preserve">$'000 </w:t>
            </w:r>
          </w:p>
        </w:tc>
        <w:tc>
          <w:tcPr>
            <w:tcW w:w="1108" w:type="dxa"/>
            <w:tcBorders>
              <w:top w:val="nil"/>
              <w:bottom w:val="single" w:sz="4" w:space="0" w:color="000000"/>
            </w:tcBorders>
            <w:shd w:val="clear" w:color="auto" w:fill="auto"/>
            <w:vAlign w:val="center"/>
            <w:hideMark/>
          </w:tcPr>
          <w:p w:rsidR="003540F3" w:rsidRPr="00DE475B" w:rsidRDefault="003540F3" w:rsidP="005D0833">
            <w:pPr>
              <w:jc w:val="right"/>
              <w:rPr>
                <w:rFonts w:ascii="Arial" w:hAnsi="Arial" w:cs="Arial"/>
                <w:b/>
                <w:bCs/>
                <w:sz w:val="20"/>
                <w:szCs w:val="20"/>
              </w:rPr>
            </w:pPr>
            <w:r w:rsidRPr="00DE475B">
              <w:rPr>
                <w:rFonts w:ascii="Arial" w:hAnsi="Arial" w:cs="Arial"/>
                <w:b/>
                <w:bCs/>
                <w:sz w:val="20"/>
                <w:szCs w:val="20"/>
              </w:rPr>
              <w:t xml:space="preserve">$'000 </w:t>
            </w:r>
          </w:p>
        </w:tc>
        <w:tc>
          <w:tcPr>
            <w:tcW w:w="1011" w:type="dxa"/>
            <w:tcBorders>
              <w:top w:val="nil"/>
              <w:bottom w:val="single" w:sz="4" w:space="0" w:color="000000"/>
            </w:tcBorders>
            <w:shd w:val="clear" w:color="auto" w:fill="auto"/>
            <w:vAlign w:val="center"/>
            <w:hideMark/>
          </w:tcPr>
          <w:p w:rsidR="003540F3" w:rsidRPr="00DE475B" w:rsidRDefault="003540F3" w:rsidP="005D0833">
            <w:pPr>
              <w:jc w:val="right"/>
              <w:rPr>
                <w:rFonts w:ascii="Arial" w:hAnsi="Arial" w:cs="Arial"/>
                <w:b/>
                <w:bCs/>
                <w:sz w:val="20"/>
                <w:szCs w:val="20"/>
              </w:rPr>
            </w:pPr>
            <w:r w:rsidRPr="00DE475B">
              <w:rPr>
                <w:rFonts w:ascii="Arial" w:hAnsi="Arial" w:cs="Arial"/>
                <w:b/>
                <w:bCs/>
                <w:sz w:val="20"/>
                <w:szCs w:val="20"/>
              </w:rPr>
              <w:t xml:space="preserve">$'000 </w:t>
            </w:r>
          </w:p>
        </w:tc>
      </w:tr>
      <w:tr w:rsidR="003540F3" w:rsidRPr="00DE475B" w:rsidTr="00576782">
        <w:trPr>
          <w:trHeight w:val="255"/>
        </w:trPr>
        <w:tc>
          <w:tcPr>
            <w:tcW w:w="2438" w:type="dxa"/>
            <w:tcBorders>
              <w:top w:val="single" w:sz="4" w:space="0" w:color="000000"/>
              <w:bottom w:val="nil"/>
            </w:tcBorders>
            <w:shd w:val="clear" w:color="auto" w:fill="auto"/>
            <w:noWrap/>
            <w:tcMar>
              <w:top w:w="28" w:type="dxa"/>
              <w:bottom w:w="28" w:type="dxa"/>
            </w:tcMar>
            <w:vAlign w:val="center"/>
            <w:hideMark/>
          </w:tcPr>
          <w:p w:rsidR="003540F3" w:rsidRPr="00DE475B" w:rsidRDefault="003540F3" w:rsidP="003D320F">
            <w:pPr>
              <w:rPr>
                <w:rFonts w:ascii="Arial" w:hAnsi="Arial" w:cs="Arial"/>
                <w:i/>
                <w:sz w:val="20"/>
                <w:szCs w:val="20"/>
              </w:rPr>
            </w:pPr>
            <w:r w:rsidRPr="00DE475B">
              <w:rPr>
                <w:rFonts w:ascii="Arial" w:hAnsi="Arial" w:cs="Arial"/>
                <w:i/>
                <w:sz w:val="20"/>
                <w:szCs w:val="20"/>
              </w:rPr>
              <w:t>State Librarian</w:t>
            </w:r>
            <w:r w:rsidR="008025F3">
              <w:rPr>
                <w:rFonts w:ascii="Arial" w:hAnsi="Arial" w:cs="Arial"/>
                <w:i/>
                <w:sz w:val="20"/>
                <w:szCs w:val="20"/>
              </w:rPr>
              <w:t xml:space="preserve"> and CEO</w:t>
            </w:r>
          </w:p>
        </w:tc>
        <w:tc>
          <w:tcPr>
            <w:tcW w:w="1032" w:type="dxa"/>
            <w:tcBorders>
              <w:top w:val="single" w:sz="4" w:space="0" w:color="000000"/>
              <w:bottom w:val="nil"/>
            </w:tcBorders>
            <w:shd w:val="clear" w:color="auto" w:fill="auto"/>
            <w:noWrap/>
            <w:tcMar>
              <w:top w:w="28" w:type="dxa"/>
              <w:bottom w:w="28" w:type="dxa"/>
            </w:tcMar>
            <w:hideMark/>
          </w:tcPr>
          <w:p w:rsidR="003540F3" w:rsidRPr="00DE475B" w:rsidRDefault="003540F3" w:rsidP="005554A8">
            <w:pPr>
              <w:rPr>
                <w:rFonts w:ascii="Arial" w:hAnsi="Arial" w:cs="Arial"/>
                <w:sz w:val="18"/>
                <w:szCs w:val="18"/>
              </w:rPr>
            </w:pPr>
            <w:r w:rsidRPr="00DE475B">
              <w:rPr>
                <w:rFonts w:ascii="Arial" w:hAnsi="Arial" w:cs="Arial"/>
                <w:sz w:val="18"/>
                <w:szCs w:val="18"/>
              </w:rPr>
              <w:t> </w:t>
            </w:r>
          </w:p>
        </w:tc>
        <w:tc>
          <w:tcPr>
            <w:tcW w:w="1011" w:type="dxa"/>
            <w:tcBorders>
              <w:top w:val="single" w:sz="4" w:space="0" w:color="000000"/>
              <w:bottom w:val="nil"/>
            </w:tcBorders>
            <w:shd w:val="clear" w:color="auto" w:fill="auto"/>
            <w:noWrap/>
            <w:tcMar>
              <w:top w:w="28" w:type="dxa"/>
              <w:bottom w:w="28" w:type="dxa"/>
            </w:tcMar>
            <w:hideMark/>
          </w:tcPr>
          <w:p w:rsidR="003540F3" w:rsidRPr="00DE475B" w:rsidRDefault="003540F3" w:rsidP="005554A8">
            <w:pPr>
              <w:rPr>
                <w:rFonts w:ascii="Arial" w:hAnsi="Arial" w:cs="Arial"/>
                <w:sz w:val="18"/>
                <w:szCs w:val="18"/>
              </w:rPr>
            </w:pPr>
            <w:r w:rsidRPr="00DE475B">
              <w:rPr>
                <w:rFonts w:ascii="Arial" w:hAnsi="Arial" w:cs="Arial"/>
                <w:sz w:val="18"/>
                <w:szCs w:val="18"/>
              </w:rPr>
              <w:t> </w:t>
            </w:r>
          </w:p>
        </w:tc>
        <w:tc>
          <w:tcPr>
            <w:tcW w:w="1082" w:type="dxa"/>
            <w:tcBorders>
              <w:top w:val="single" w:sz="4" w:space="0" w:color="000000"/>
              <w:bottom w:val="nil"/>
            </w:tcBorders>
            <w:shd w:val="clear" w:color="auto" w:fill="auto"/>
            <w:noWrap/>
            <w:tcMar>
              <w:top w:w="28" w:type="dxa"/>
              <w:bottom w:w="28" w:type="dxa"/>
            </w:tcMar>
            <w:hideMark/>
          </w:tcPr>
          <w:p w:rsidR="003540F3" w:rsidRPr="00DE475B" w:rsidRDefault="003540F3" w:rsidP="005554A8">
            <w:pPr>
              <w:rPr>
                <w:rFonts w:ascii="Arial" w:hAnsi="Arial" w:cs="Arial"/>
                <w:sz w:val="18"/>
                <w:szCs w:val="18"/>
              </w:rPr>
            </w:pPr>
            <w:r w:rsidRPr="00DE475B">
              <w:rPr>
                <w:rFonts w:ascii="Arial" w:hAnsi="Arial" w:cs="Arial"/>
                <w:sz w:val="18"/>
                <w:szCs w:val="18"/>
              </w:rPr>
              <w:t> </w:t>
            </w:r>
          </w:p>
        </w:tc>
        <w:tc>
          <w:tcPr>
            <w:tcW w:w="1215" w:type="dxa"/>
            <w:tcBorders>
              <w:top w:val="single" w:sz="4" w:space="0" w:color="000000"/>
              <w:bottom w:val="nil"/>
            </w:tcBorders>
            <w:shd w:val="clear" w:color="auto" w:fill="auto"/>
            <w:noWrap/>
            <w:tcMar>
              <w:top w:w="28" w:type="dxa"/>
              <w:bottom w:w="28" w:type="dxa"/>
            </w:tcMar>
            <w:hideMark/>
          </w:tcPr>
          <w:p w:rsidR="003540F3" w:rsidRPr="00DE475B" w:rsidRDefault="003540F3" w:rsidP="005554A8">
            <w:pPr>
              <w:rPr>
                <w:rFonts w:ascii="Arial" w:hAnsi="Arial" w:cs="Arial"/>
                <w:sz w:val="18"/>
                <w:szCs w:val="18"/>
              </w:rPr>
            </w:pPr>
            <w:r w:rsidRPr="00DE475B">
              <w:rPr>
                <w:rFonts w:ascii="Arial" w:hAnsi="Arial" w:cs="Arial"/>
                <w:sz w:val="18"/>
                <w:szCs w:val="18"/>
              </w:rPr>
              <w:t> </w:t>
            </w:r>
          </w:p>
        </w:tc>
        <w:tc>
          <w:tcPr>
            <w:tcW w:w="1108" w:type="dxa"/>
            <w:tcBorders>
              <w:top w:val="single" w:sz="4" w:space="0" w:color="000000"/>
              <w:bottom w:val="nil"/>
            </w:tcBorders>
            <w:shd w:val="clear" w:color="auto" w:fill="auto"/>
            <w:noWrap/>
            <w:tcMar>
              <w:top w:w="28" w:type="dxa"/>
              <w:bottom w:w="28" w:type="dxa"/>
            </w:tcMar>
            <w:hideMark/>
          </w:tcPr>
          <w:p w:rsidR="003540F3" w:rsidRPr="00DE475B" w:rsidRDefault="003540F3" w:rsidP="005554A8">
            <w:pPr>
              <w:rPr>
                <w:rFonts w:ascii="Arial" w:hAnsi="Arial" w:cs="Arial"/>
                <w:sz w:val="18"/>
                <w:szCs w:val="18"/>
              </w:rPr>
            </w:pPr>
            <w:r w:rsidRPr="00DE475B">
              <w:rPr>
                <w:rFonts w:ascii="Arial" w:hAnsi="Arial" w:cs="Arial"/>
                <w:sz w:val="18"/>
                <w:szCs w:val="18"/>
              </w:rPr>
              <w:t> </w:t>
            </w:r>
          </w:p>
        </w:tc>
        <w:tc>
          <w:tcPr>
            <w:tcW w:w="1011" w:type="dxa"/>
            <w:tcBorders>
              <w:top w:val="single" w:sz="4" w:space="0" w:color="000000"/>
              <w:bottom w:val="nil"/>
            </w:tcBorders>
            <w:shd w:val="clear" w:color="auto" w:fill="auto"/>
            <w:noWrap/>
            <w:tcMar>
              <w:top w:w="28" w:type="dxa"/>
              <w:bottom w:w="28" w:type="dxa"/>
            </w:tcMar>
            <w:hideMark/>
          </w:tcPr>
          <w:p w:rsidR="003540F3" w:rsidRPr="00DE475B" w:rsidRDefault="003540F3" w:rsidP="005554A8">
            <w:pPr>
              <w:rPr>
                <w:rFonts w:ascii="Arial" w:hAnsi="Arial" w:cs="Arial"/>
                <w:sz w:val="18"/>
                <w:szCs w:val="18"/>
              </w:rPr>
            </w:pPr>
            <w:r w:rsidRPr="00DE475B">
              <w:rPr>
                <w:rFonts w:ascii="Arial" w:hAnsi="Arial" w:cs="Arial"/>
                <w:sz w:val="18"/>
                <w:szCs w:val="18"/>
              </w:rPr>
              <w:t> </w:t>
            </w:r>
          </w:p>
        </w:tc>
      </w:tr>
      <w:tr w:rsidR="003540F3" w:rsidRPr="00DE475B" w:rsidTr="00576782">
        <w:trPr>
          <w:trHeight w:val="255"/>
        </w:trPr>
        <w:tc>
          <w:tcPr>
            <w:tcW w:w="2438" w:type="dxa"/>
            <w:tcBorders>
              <w:top w:val="nil"/>
              <w:bottom w:val="nil"/>
            </w:tcBorders>
            <w:shd w:val="clear" w:color="auto" w:fill="auto"/>
            <w:noWrap/>
            <w:tcMar>
              <w:top w:w="28" w:type="dxa"/>
              <w:bottom w:w="28" w:type="dxa"/>
              <w:right w:w="28" w:type="dxa"/>
            </w:tcMar>
            <w:vAlign w:val="center"/>
            <w:hideMark/>
          </w:tcPr>
          <w:p w:rsidR="003540F3" w:rsidRPr="00DE475B" w:rsidRDefault="003540F3" w:rsidP="008025F3">
            <w:pPr>
              <w:rPr>
                <w:rFonts w:ascii="Arial" w:hAnsi="Arial" w:cs="Arial"/>
                <w:sz w:val="18"/>
                <w:szCs w:val="18"/>
              </w:rPr>
            </w:pPr>
            <w:r w:rsidRPr="00DE475B">
              <w:rPr>
                <w:rFonts w:ascii="Arial" w:hAnsi="Arial" w:cs="Arial"/>
                <w:sz w:val="18"/>
                <w:szCs w:val="18"/>
              </w:rPr>
              <w:t>Current</w:t>
            </w:r>
          </w:p>
        </w:tc>
        <w:tc>
          <w:tcPr>
            <w:tcW w:w="1032" w:type="dxa"/>
            <w:tcBorders>
              <w:top w:val="nil"/>
              <w:bottom w:val="nil"/>
            </w:tcBorders>
            <w:shd w:val="clear" w:color="auto" w:fill="auto"/>
            <w:noWrap/>
            <w:tcMar>
              <w:top w:w="28" w:type="dxa"/>
              <w:bottom w:w="28" w:type="dxa"/>
            </w:tcMar>
            <w:vAlign w:val="center"/>
          </w:tcPr>
          <w:p w:rsidR="003540F3" w:rsidRPr="00DE475B" w:rsidRDefault="009B61E7" w:rsidP="005554A8">
            <w:pPr>
              <w:jc w:val="right"/>
              <w:rPr>
                <w:rFonts w:ascii="Arial" w:hAnsi="Arial" w:cs="Arial"/>
                <w:sz w:val="20"/>
                <w:szCs w:val="20"/>
              </w:rPr>
            </w:pPr>
            <w:r>
              <w:rPr>
                <w:rFonts w:ascii="Arial" w:hAnsi="Arial" w:cs="Arial"/>
                <w:sz w:val="20"/>
                <w:szCs w:val="20"/>
              </w:rPr>
              <w:t>241</w:t>
            </w:r>
          </w:p>
        </w:tc>
        <w:tc>
          <w:tcPr>
            <w:tcW w:w="1011" w:type="dxa"/>
            <w:tcBorders>
              <w:top w:val="nil"/>
              <w:bottom w:val="nil"/>
            </w:tcBorders>
            <w:shd w:val="clear" w:color="auto" w:fill="auto"/>
            <w:noWrap/>
            <w:tcMar>
              <w:top w:w="28" w:type="dxa"/>
              <w:bottom w:w="28" w:type="dxa"/>
            </w:tcMar>
            <w:vAlign w:val="center"/>
          </w:tcPr>
          <w:p w:rsidR="003540F3" w:rsidRPr="00DE475B" w:rsidRDefault="009B61E7" w:rsidP="005554A8">
            <w:pPr>
              <w:jc w:val="right"/>
              <w:rPr>
                <w:rFonts w:ascii="Arial" w:hAnsi="Arial" w:cs="Arial"/>
                <w:sz w:val="20"/>
                <w:szCs w:val="20"/>
              </w:rPr>
            </w:pPr>
            <w:r>
              <w:rPr>
                <w:rFonts w:ascii="Arial" w:hAnsi="Arial" w:cs="Arial"/>
                <w:sz w:val="20"/>
                <w:szCs w:val="20"/>
              </w:rPr>
              <w:t>-</w:t>
            </w:r>
          </w:p>
        </w:tc>
        <w:tc>
          <w:tcPr>
            <w:tcW w:w="1082" w:type="dxa"/>
            <w:tcBorders>
              <w:top w:val="nil"/>
              <w:bottom w:val="nil"/>
            </w:tcBorders>
            <w:shd w:val="clear" w:color="auto" w:fill="auto"/>
            <w:noWrap/>
            <w:tcMar>
              <w:top w:w="28" w:type="dxa"/>
              <w:bottom w:w="28" w:type="dxa"/>
            </w:tcMar>
            <w:vAlign w:val="center"/>
          </w:tcPr>
          <w:p w:rsidR="003540F3" w:rsidRPr="00DE475B" w:rsidRDefault="009B61E7" w:rsidP="005554A8">
            <w:pPr>
              <w:jc w:val="right"/>
              <w:rPr>
                <w:rFonts w:ascii="Arial" w:hAnsi="Arial" w:cs="Arial"/>
                <w:sz w:val="20"/>
                <w:szCs w:val="20"/>
              </w:rPr>
            </w:pPr>
            <w:r>
              <w:rPr>
                <w:rFonts w:ascii="Arial" w:hAnsi="Arial" w:cs="Arial"/>
                <w:sz w:val="20"/>
                <w:szCs w:val="20"/>
              </w:rPr>
              <w:t>5</w:t>
            </w:r>
          </w:p>
        </w:tc>
        <w:tc>
          <w:tcPr>
            <w:tcW w:w="1215" w:type="dxa"/>
            <w:tcBorders>
              <w:top w:val="nil"/>
              <w:bottom w:val="nil"/>
            </w:tcBorders>
            <w:shd w:val="clear" w:color="auto" w:fill="auto"/>
            <w:noWrap/>
            <w:tcMar>
              <w:top w:w="28" w:type="dxa"/>
              <w:bottom w:w="28" w:type="dxa"/>
            </w:tcMar>
            <w:vAlign w:val="center"/>
          </w:tcPr>
          <w:p w:rsidR="003540F3" w:rsidRPr="00DE475B" w:rsidRDefault="009B61E7" w:rsidP="005554A8">
            <w:pPr>
              <w:jc w:val="right"/>
              <w:rPr>
                <w:rFonts w:ascii="Arial" w:hAnsi="Arial" w:cs="Arial"/>
                <w:sz w:val="20"/>
                <w:szCs w:val="20"/>
              </w:rPr>
            </w:pPr>
            <w:r>
              <w:rPr>
                <w:rFonts w:ascii="Arial" w:hAnsi="Arial" w:cs="Arial"/>
                <w:sz w:val="20"/>
                <w:szCs w:val="20"/>
              </w:rPr>
              <w:t>28</w:t>
            </w:r>
          </w:p>
        </w:tc>
        <w:tc>
          <w:tcPr>
            <w:tcW w:w="1108" w:type="dxa"/>
            <w:tcBorders>
              <w:top w:val="nil"/>
              <w:bottom w:val="nil"/>
            </w:tcBorders>
            <w:shd w:val="clear" w:color="auto" w:fill="auto"/>
            <w:noWrap/>
            <w:tcMar>
              <w:top w:w="28" w:type="dxa"/>
              <w:bottom w:w="28" w:type="dxa"/>
            </w:tcMar>
            <w:vAlign w:val="center"/>
          </w:tcPr>
          <w:p w:rsidR="003540F3" w:rsidRPr="00DE475B" w:rsidRDefault="009B61E7" w:rsidP="005554A8">
            <w:pPr>
              <w:jc w:val="right"/>
              <w:rPr>
                <w:rFonts w:ascii="Arial" w:hAnsi="Arial" w:cs="Arial"/>
                <w:sz w:val="20"/>
                <w:szCs w:val="20"/>
              </w:rPr>
            </w:pPr>
            <w:r>
              <w:rPr>
                <w:rFonts w:ascii="Arial" w:hAnsi="Arial" w:cs="Arial"/>
                <w:sz w:val="20"/>
                <w:szCs w:val="20"/>
              </w:rPr>
              <w:t>-</w:t>
            </w:r>
          </w:p>
        </w:tc>
        <w:tc>
          <w:tcPr>
            <w:tcW w:w="1011" w:type="dxa"/>
            <w:tcBorders>
              <w:top w:val="nil"/>
              <w:bottom w:val="nil"/>
            </w:tcBorders>
            <w:shd w:val="clear" w:color="auto" w:fill="auto"/>
            <w:noWrap/>
            <w:tcMar>
              <w:top w:w="28" w:type="dxa"/>
              <w:bottom w:w="28" w:type="dxa"/>
            </w:tcMar>
            <w:vAlign w:val="center"/>
          </w:tcPr>
          <w:p w:rsidR="003540F3" w:rsidRPr="00DE475B" w:rsidRDefault="009B61E7" w:rsidP="005554A8">
            <w:pPr>
              <w:jc w:val="right"/>
              <w:rPr>
                <w:rFonts w:ascii="Arial" w:hAnsi="Arial" w:cs="Arial"/>
                <w:sz w:val="20"/>
                <w:szCs w:val="20"/>
              </w:rPr>
            </w:pPr>
            <w:r>
              <w:rPr>
                <w:rFonts w:ascii="Arial" w:hAnsi="Arial" w:cs="Arial"/>
                <w:sz w:val="20"/>
                <w:szCs w:val="20"/>
              </w:rPr>
              <w:t>274</w:t>
            </w:r>
          </w:p>
        </w:tc>
      </w:tr>
      <w:tr w:rsidR="003540F3" w:rsidRPr="00DE475B" w:rsidTr="00576782">
        <w:trPr>
          <w:trHeight w:val="255"/>
        </w:trPr>
        <w:tc>
          <w:tcPr>
            <w:tcW w:w="2438" w:type="dxa"/>
            <w:tcBorders>
              <w:top w:val="nil"/>
              <w:bottom w:val="nil"/>
            </w:tcBorders>
            <w:shd w:val="clear" w:color="auto" w:fill="auto"/>
            <w:noWrap/>
            <w:tcMar>
              <w:top w:w="28" w:type="dxa"/>
              <w:bottom w:w="28" w:type="dxa"/>
            </w:tcMar>
            <w:vAlign w:val="center"/>
            <w:hideMark/>
          </w:tcPr>
          <w:p w:rsidR="003540F3" w:rsidRPr="00DE475B" w:rsidRDefault="003540F3" w:rsidP="003D320F">
            <w:pPr>
              <w:rPr>
                <w:rFonts w:ascii="Arial" w:hAnsi="Arial" w:cs="Arial"/>
                <w:sz w:val="18"/>
                <w:szCs w:val="18"/>
              </w:rPr>
            </w:pPr>
            <w:r w:rsidRPr="00DE475B">
              <w:rPr>
                <w:rFonts w:ascii="Arial" w:hAnsi="Arial" w:cs="Arial"/>
                <w:sz w:val="18"/>
                <w:szCs w:val="18"/>
              </w:rPr>
              <w:t>Former</w:t>
            </w:r>
            <w:r w:rsidR="008025F3">
              <w:rPr>
                <w:rFonts w:ascii="Arial" w:hAnsi="Arial" w:cs="Arial"/>
                <w:sz w:val="18"/>
                <w:szCs w:val="18"/>
              </w:rPr>
              <w:t xml:space="preserve"> </w:t>
            </w:r>
            <w:r w:rsidR="008025F3" w:rsidRPr="008025F3">
              <w:rPr>
                <w:rFonts w:ascii="Arial" w:hAnsi="Arial" w:cs="Arial"/>
                <w:sz w:val="18"/>
                <w:szCs w:val="18"/>
              </w:rPr>
              <w:t>(acting from 20/10/15 to 24/11/15; appointed from 27/11/15 until 02/09/2016)</w:t>
            </w:r>
          </w:p>
        </w:tc>
        <w:tc>
          <w:tcPr>
            <w:tcW w:w="1032" w:type="dxa"/>
            <w:tcBorders>
              <w:top w:val="nil"/>
              <w:bottom w:val="nil"/>
            </w:tcBorders>
            <w:shd w:val="clear" w:color="auto" w:fill="auto"/>
            <w:noWrap/>
            <w:tcMar>
              <w:top w:w="28" w:type="dxa"/>
              <w:bottom w:w="28" w:type="dxa"/>
            </w:tcMar>
            <w:vAlign w:val="center"/>
          </w:tcPr>
          <w:p w:rsidR="003540F3" w:rsidRPr="00DE475B" w:rsidRDefault="009B61E7" w:rsidP="005554A8">
            <w:pPr>
              <w:jc w:val="right"/>
              <w:rPr>
                <w:rFonts w:ascii="Arial" w:hAnsi="Arial" w:cs="Arial"/>
                <w:sz w:val="20"/>
                <w:szCs w:val="20"/>
              </w:rPr>
            </w:pPr>
            <w:r>
              <w:rPr>
                <w:rFonts w:ascii="Arial" w:hAnsi="Arial" w:cs="Arial"/>
                <w:sz w:val="20"/>
                <w:szCs w:val="20"/>
              </w:rPr>
              <w:t>42</w:t>
            </w:r>
          </w:p>
        </w:tc>
        <w:tc>
          <w:tcPr>
            <w:tcW w:w="1011" w:type="dxa"/>
            <w:tcBorders>
              <w:top w:val="nil"/>
              <w:bottom w:val="nil"/>
            </w:tcBorders>
            <w:shd w:val="clear" w:color="auto" w:fill="auto"/>
            <w:noWrap/>
            <w:tcMar>
              <w:top w:w="28" w:type="dxa"/>
              <w:bottom w:w="28" w:type="dxa"/>
            </w:tcMar>
            <w:vAlign w:val="center"/>
          </w:tcPr>
          <w:p w:rsidR="003540F3" w:rsidRPr="00DE475B" w:rsidRDefault="009B61E7" w:rsidP="005554A8">
            <w:pPr>
              <w:jc w:val="right"/>
              <w:rPr>
                <w:rFonts w:ascii="Arial" w:hAnsi="Arial" w:cs="Arial"/>
                <w:sz w:val="20"/>
                <w:szCs w:val="20"/>
              </w:rPr>
            </w:pPr>
            <w:r>
              <w:rPr>
                <w:rFonts w:ascii="Arial" w:hAnsi="Arial" w:cs="Arial"/>
                <w:sz w:val="20"/>
                <w:szCs w:val="20"/>
              </w:rPr>
              <w:t>-</w:t>
            </w:r>
          </w:p>
        </w:tc>
        <w:tc>
          <w:tcPr>
            <w:tcW w:w="1082" w:type="dxa"/>
            <w:tcBorders>
              <w:top w:val="nil"/>
              <w:bottom w:val="nil"/>
            </w:tcBorders>
            <w:shd w:val="clear" w:color="auto" w:fill="auto"/>
            <w:noWrap/>
            <w:tcMar>
              <w:top w:w="28" w:type="dxa"/>
              <w:bottom w:w="28" w:type="dxa"/>
            </w:tcMar>
            <w:vAlign w:val="center"/>
          </w:tcPr>
          <w:p w:rsidR="003540F3" w:rsidRPr="00DE475B" w:rsidRDefault="009B61E7" w:rsidP="005554A8">
            <w:pPr>
              <w:jc w:val="right"/>
              <w:rPr>
                <w:rFonts w:ascii="Arial" w:hAnsi="Arial" w:cs="Arial"/>
                <w:sz w:val="20"/>
                <w:szCs w:val="20"/>
              </w:rPr>
            </w:pPr>
            <w:r>
              <w:rPr>
                <w:rFonts w:ascii="Arial" w:hAnsi="Arial" w:cs="Arial"/>
                <w:sz w:val="20"/>
                <w:szCs w:val="20"/>
              </w:rPr>
              <w:t>1</w:t>
            </w:r>
          </w:p>
        </w:tc>
        <w:tc>
          <w:tcPr>
            <w:tcW w:w="1215" w:type="dxa"/>
            <w:tcBorders>
              <w:top w:val="nil"/>
              <w:bottom w:val="nil"/>
            </w:tcBorders>
            <w:shd w:val="clear" w:color="auto" w:fill="auto"/>
            <w:noWrap/>
            <w:tcMar>
              <w:top w:w="28" w:type="dxa"/>
              <w:bottom w:w="28" w:type="dxa"/>
            </w:tcMar>
            <w:vAlign w:val="center"/>
          </w:tcPr>
          <w:p w:rsidR="003540F3" w:rsidRPr="00DE475B" w:rsidRDefault="009B61E7" w:rsidP="005554A8">
            <w:pPr>
              <w:jc w:val="right"/>
              <w:rPr>
                <w:rFonts w:ascii="Arial" w:hAnsi="Arial" w:cs="Arial"/>
                <w:sz w:val="20"/>
                <w:szCs w:val="20"/>
              </w:rPr>
            </w:pPr>
            <w:r>
              <w:rPr>
                <w:rFonts w:ascii="Arial" w:hAnsi="Arial" w:cs="Arial"/>
                <w:sz w:val="20"/>
                <w:szCs w:val="20"/>
              </w:rPr>
              <w:t>5</w:t>
            </w:r>
          </w:p>
        </w:tc>
        <w:tc>
          <w:tcPr>
            <w:tcW w:w="1108" w:type="dxa"/>
            <w:tcBorders>
              <w:top w:val="nil"/>
              <w:bottom w:val="nil"/>
            </w:tcBorders>
            <w:shd w:val="clear" w:color="auto" w:fill="auto"/>
            <w:noWrap/>
            <w:tcMar>
              <w:top w:w="28" w:type="dxa"/>
              <w:bottom w:w="28" w:type="dxa"/>
            </w:tcMar>
            <w:vAlign w:val="center"/>
          </w:tcPr>
          <w:p w:rsidR="003540F3" w:rsidRPr="00DE475B" w:rsidRDefault="009B61E7" w:rsidP="005554A8">
            <w:pPr>
              <w:jc w:val="right"/>
              <w:rPr>
                <w:rFonts w:ascii="Arial" w:hAnsi="Arial" w:cs="Arial"/>
                <w:sz w:val="20"/>
                <w:szCs w:val="20"/>
              </w:rPr>
            </w:pPr>
            <w:r>
              <w:rPr>
                <w:rFonts w:ascii="Arial" w:hAnsi="Arial" w:cs="Arial"/>
                <w:sz w:val="20"/>
                <w:szCs w:val="20"/>
              </w:rPr>
              <w:t>-</w:t>
            </w:r>
          </w:p>
        </w:tc>
        <w:tc>
          <w:tcPr>
            <w:tcW w:w="1011" w:type="dxa"/>
            <w:tcBorders>
              <w:top w:val="nil"/>
              <w:bottom w:val="nil"/>
            </w:tcBorders>
            <w:shd w:val="clear" w:color="auto" w:fill="auto"/>
            <w:noWrap/>
            <w:tcMar>
              <w:top w:w="28" w:type="dxa"/>
              <w:bottom w:w="28" w:type="dxa"/>
            </w:tcMar>
            <w:vAlign w:val="center"/>
          </w:tcPr>
          <w:p w:rsidR="003540F3" w:rsidRPr="00DE475B" w:rsidRDefault="009B61E7" w:rsidP="00922D80">
            <w:pPr>
              <w:jc w:val="right"/>
              <w:rPr>
                <w:rFonts w:ascii="Arial" w:hAnsi="Arial" w:cs="Arial"/>
                <w:sz w:val="20"/>
                <w:szCs w:val="20"/>
              </w:rPr>
            </w:pPr>
            <w:r>
              <w:rPr>
                <w:rFonts w:ascii="Arial" w:hAnsi="Arial" w:cs="Arial"/>
                <w:sz w:val="20"/>
                <w:szCs w:val="20"/>
              </w:rPr>
              <w:t>48</w:t>
            </w:r>
          </w:p>
        </w:tc>
      </w:tr>
      <w:tr w:rsidR="003540F3" w:rsidRPr="00DE475B" w:rsidTr="00576782">
        <w:trPr>
          <w:trHeight w:val="255"/>
        </w:trPr>
        <w:tc>
          <w:tcPr>
            <w:tcW w:w="2438" w:type="dxa"/>
            <w:tcBorders>
              <w:top w:val="nil"/>
              <w:bottom w:val="single" w:sz="4" w:space="0" w:color="000000"/>
            </w:tcBorders>
            <w:shd w:val="clear" w:color="auto" w:fill="auto"/>
            <w:noWrap/>
            <w:tcMar>
              <w:top w:w="28" w:type="dxa"/>
              <w:bottom w:w="28" w:type="dxa"/>
            </w:tcMar>
            <w:vAlign w:val="center"/>
            <w:hideMark/>
          </w:tcPr>
          <w:p w:rsidR="003540F3" w:rsidRPr="00DE475B" w:rsidRDefault="003540F3" w:rsidP="003D320F">
            <w:pPr>
              <w:rPr>
                <w:rFonts w:ascii="Arial" w:hAnsi="Arial" w:cs="Arial"/>
                <w:sz w:val="18"/>
                <w:szCs w:val="18"/>
              </w:rPr>
            </w:pPr>
            <w:r w:rsidRPr="00DE475B">
              <w:rPr>
                <w:rFonts w:ascii="Arial" w:hAnsi="Arial" w:cs="Arial"/>
                <w:sz w:val="18"/>
                <w:szCs w:val="18"/>
              </w:rPr>
              <w:t>Temporary Relieving </w:t>
            </w:r>
          </w:p>
        </w:tc>
        <w:tc>
          <w:tcPr>
            <w:tcW w:w="1032" w:type="dxa"/>
            <w:tcBorders>
              <w:top w:val="nil"/>
              <w:bottom w:val="single" w:sz="4" w:space="0" w:color="000000"/>
            </w:tcBorders>
            <w:shd w:val="clear" w:color="auto" w:fill="auto"/>
            <w:noWrap/>
            <w:tcMar>
              <w:top w:w="28" w:type="dxa"/>
              <w:bottom w:w="28" w:type="dxa"/>
            </w:tcMar>
            <w:vAlign w:val="center"/>
          </w:tcPr>
          <w:p w:rsidR="003540F3" w:rsidRPr="00DE475B" w:rsidRDefault="009B61E7" w:rsidP="005554A8">
            <w:pPr>
              <w:jc w:val="right"/>
              <w:rPr>
                <w:rFonts w:ascii="Arial" w:hAnsi="Arial" w:cs="Arial"/>
                <w:sz w:val="20"/>
                <w:szCs w:val="20"/>
              </w:rPr>
            </w:pPr>
            <w:r>
              <w:rPr>
                <w:rFonts w:ascii="Arial" w:hAnsi="Arial" w:cs="Arial"/>
                <w:sz w:val="20"/>
                <w:szCs w:val="20"/>
              </w:rPr>
              <w:t>10</w:t>
            </w:r>
          </w:p>
        </w:tc>
        <w:tc>
          <w:tcPr>
            <w:tcW w:w="1011" w:type="dxa"/>
            <w:tcBorders>
              <w:top w:val="nil"/>
              <w:bottom w:val="single" w:sz="4" w:space="0" w:color="000000"/>
            </w:tcBorders>
            <w:shd w:val="clear" w:color="auto" w:fill="auto"/>
            <w:noWrap/>
            <w:tcMar>
              <w:top w:w="28" w:type="dxa"/>
              <w:bottom w:w="28" w:type="dxa"/>
            </w:tcMar>
            <w:vAlign w:val="center"/>
          </w:tcPr>
          <w:p w:rsidR="003540F3" w:rsidRPr="00DE475B" w:rsidRDefault="009B61E7" w:rsidP="005554A8">
            <w:pPr>
              <w:jc w:val="right"/>
              <w:rPr>
                <w:rFonts w:ascii="Arial" w:hAnsi="Arial" w:cs="Arial"/>
                <w:sz w:val="20"/>
                <w:szCs w:val="20"/>
              </w:rPr>
            </w:pPr>
            <w:r>
              <w:rPr>
                <w:rFonts w:ascii="Arial" w:hAnsi="Arial" w:cs="Arial"/>
                <w:sz w:val="20"/>
                <w:szCs w:val="20"/>
              </w:rPr>
              <w:t>-</w:t>
            </w:r>
          </w:p>
        </w:tc>
        <w:tc>
          <w:tcPr>
            <w:tcW w:w="1082" w:type="dxa"/>
            <w:tcBorders>
              <w:top w:val="nil"/>
              <w:bottom w:val="single" w:sz="4" w:space="0" w:color="000000"/>
            </w:tcBorders>
            <w:shd w:val="clear" w:color="auto" w:fill="auto"/>
            <w:noWrap/>
            <w:tcMar>
              <w:top w:w="28" w:type="dxa"/>
              <w:bottom w:w="28" w:type="dxa"/>
            </w:tcMar>
            <w:vAlign w:val="center"/>
          </w:tcPr>
          <w:p w:rsidR="003540F3" w:rsidRPr="00DE475B" w:rsidRDefault="009B61E7" w:rsidP="005554A8">
            <w:pPr>
              <w:jc w:val="right"/>
              <w:rPr>
                <w:rFonts w:ascii="Arial" w:hAnsi="Arial" w:cs="Arial"/>
                <w:sz w:val="20"/>
                <w:szCs w:val="20"/>
              </w:rPr>
            </w:pPr>
            <w:r>
              <w:rPr>
                <w:rFonts w:ascii="Arial" w:hAnsi="Arial" w:cs="Arial"/>
                <w:sz w:val="20"/>
                <w:szCs w:val="20"/>
              </w:rPr>
              <w:t>-</w:t>
            </w:r>
          </w:p>
        </w:tc>
        <w:tc>
          <w:tcPr>
            <w:tcW w:w="1215" w:type="dxa"/>
            <w:tcBorders>
              <w:top w:val="nil"/>
              <w:bottom w:val="single" w:sz="4" w:space="0" w:color="000000"/>
            </w:tcBorders>
            <w:shd w:val="clear" w:color="auto" w:fill="auto"/>
            <w:noWrap/>
            <w:tcMar>
              <w:top w:w="28" w:type="dxa"/>
              <w:bottom w:w="28" w:type="dxa"/>
            </w:tcMar>
            <w:vAlign w:val="center"/>
          </w:tcPr>
          <w:p w:rsidR="003540F3" w:rsidRPr="00DE475B" w:rsidRDefault="009B61E7" w:rsidP="005554A8">
            <w:pPr>
              <w:jc w:val="right"/>
              <w:rPr>
                <w:rFonts w:ascii="Arial" w:hAnsi="Arial" w:cs="Arial"/>
                <w:sz w:val="20"/>
                <w:szCs w:val="20"/>
              </w:rPr>
            </w:pPr>
            <w:r>
              <w:rPr>
                <w:rFonts w:ascii="Arial" w:hAnsi="Arial" w:cs="Arial"/>
                <w:sz w:val="20"/>
                <w:szCs w:val="20"/>
              </w:rPr>
              <w:t>1</w:t>
            </w:r>
          </w:p>
        </w:tc>
        <w:tc>
          <w:tcPr>
            <w:tcW w:w="1108" w:type="dxa"/>
            <w:tcBorders>
              <w:top w:val="nil"/>
              <w:bottom w:val="single" w:sz="4" w:space="0" w:color="000000"/>
            </w:tcBorders>
            <w:shd w:val="clear" w:color="auto" w:fill="auto"/>
            <w:noWrap/>
            <w:tcMar>
              <w:top w:w="28" w:type="dxa"/>
              <w:bottom w:w="28" w:type="dxa"/>
            </w:tcMar>
            <w:vAlign w:val="center"/>
          </w:tcPr>
          <w:p w:rsidR="003540F3" w:rsidRPr="00DE475B" w:rsidRDefault="009B61E7" w:rsidP="005554A8">
            <w:pPr>
              <w:jc w:val="right"/>
              <w:rPr>
                <w:rFonts w:ascii="Arial" w:hAnsi="Arial" w:cs="Arial"/>
                <w:sz w:val="20"/>
                <w:szCs w:val="20"/>
              </w:rPr>
            </w:pPr>
            <w:r>
              <w:rPr>
                <w:rFonts w:ascii="Arial" w:hAnsi="Arial" w:cs="Arial"/>
                <w:sz w:val="20"/>
                <w:szCs w:val="20"/>
              </w:rPr>
              <w:t>-</w:t>
            </w:r>
          </w:p>
        </w:tc>
        <w:tc>
          <w:tcPr>
            <w:tcW w:w="1011" w:type="dxa"/>
            <w:tcBorders>
              <w:top w:val="nil"/>
              <w:bottom w:val="single" w:sz="4" w:space="0" w:color="000000"/>
            </w:tcBorders>
            <w:shd w:val="clear" w:color="auto" w:fill="auto"/>
            <w:noWrap/>
            <w:tcMar>
              <w:top w:w="28" w:type="dxa"/>
              <w:bottom w:w="28" w:type="dxa"/>
            </w:tcMar>
            <w:vAlign w:val="center"/>
          </w:tcPr>
          <w:p w:rsidR="003540F3" w:rsidRPr="00DE475B" w:rsidRDefault="009B61E7" w:rsidP="005554A8">
            <w:pPr>
              <w:jc w:val="right"/>
              <w:rPr>
                <w:rFonts w:ascii="Arial" w:hAnsi="Arial" w:cs="Arial"/>
                <w:sz w:val="20"/>
                <w:szCs w:val="20"/>
              </w:rPr>
            </w:pPr>
            <w:r>
              <w:rPr>
                <w:rFonts w:ascii="Arial" w:hAnsi="Arial" w:cs="Arial"/>
                <w:sz w:val="20"/>
                <w:szCs w:val="20"/>
              </w:rPr>
              <w:t>11</w:t>
            </w:r>
          </w:p>
        </w:tc>
      </w:tr>
      <w:tr w:rsidR="008025F3" w:rsidRPr="00DE475B" w:rsidTr="00576782">
        <w:trPr>
          <w:trHeight w:val="255"/>
        </w:trPr>
        <w:tc>
          <w:tcPr>
            <w:tcW w:w="5563" w:type="dxa"/>
            <w:gridSpan w:val="4"/>
            <w:tcBorders>
              <w:top w:val="single" w:sz="4" w:space="0" w:color="000000"/>
              <w:bottom w:val="nil"/>
            </w:tcBorders>
            <w:shd w:val="clear" w:color="auto" w:fill="auto"/>
            <w:noWrap/>
            <w:tcMar>
              <w:top w:w="28" w:type="dxa"/>
              <w:bottom w:w="28" w:type="dxa"/>
            </w:tcMar>
            <w:vAlign w:val="center"/>
            <w:hideMark/>
          </w:tcPr>
          <w:p w:rsidR="008025F3" w:rsidRPr="00DE475B" w:rsidRDefault="00795627" w:rsidP="008025F3">
            <w:pPr>
              <w:rPr>
                <w:rFonts w:ascii="Arial" w:hAnsi="Arial" w:cs="Arial"/>
                <w:sz w:val="20"/>
                <w:szCs w:val="20"/>
              </w:rPr>
            </w:pPr>
            <w:r>
              <w:rPr>
                <w:rFonts w:ascii="Arial" w:hAnsi="Arial" w:cs="Arial"/>
                <w:i/>
                <w:sz w:val="20"/>
                <w:szCs w:val="20"/>
              </w:rPr>
              <w:t xml:space="preserve">Executive </w:t>
            </w:r>
            <w:r w:rsidR="008025F3" w:rsidRPr="00DE475B">
              <w:rPr>
                <w:rFonts w:ascii="Arial" w:hAnsi="Arial" w:cs="Arial"/>
                <w:i/>
                <w:sz w:val="20"/>
                <w:szCs w:val="20"/>
              </w:rPr>
              <w:t xml:space="preserve">Director, Corporate </w:t>
            </w:r>
            <w:r w:rsidR="008025F3">
              <w:rPr>
                <w:rFonts w:ascii="Arial" w:hAnsi="Arial" w:cs="Arial"/>
                <w:i/>
                <w:sz w:val="20"/>
                <w:szCs w:val="20"/>
              </w:rPr>
              <w:t>Governance and Operations</w:t>
            </w:r>
          </w:p>
        </w:tc>
        <w:tc>
          <w:tcPr>
            <w:tcW w:w="1215" w:type="dxa"/>
            <w:tcBorders>
              <w:top w:val="single" w:sz="4" w:space="0" w:color="000000"/>
              <w:bottom w:val="nil"/>
            </w:tcBorders>
            <w:shd w:val="clear" w:color="auto" w:fill="auto"/>
            <w:noWrap/>
            <w:tcMar>
              <w:top w:w="28" w:type="dxa"/>
              <w:bottom w:w="28" w:type="dxa"/>
            </w:tcMar>
            <w:vAlign w:val="center"/>
          </w:tcPr>
          <w:p w:rsidR="008025F3" w:rsidRPr="00DE475B" w:rsidRDefault="008025F3" w:rsidP="005554A8">
            <w:pPr>
              <w:jc w:val="right"/>
              <w:rPr>
                <w:rFonts w:ascii="Arial" w:hAnsi="Arial" w:cs="Arial"/>
                <w:sz w:val="20"/>
                <w:szCs w:val="20"/>
              </w:rPr>
            </w:pPr>
          </w:p>
        </w:tc>
        <w:tc>
          <w:tcPr>
            <w:tcW w:w="1108" w:type="dxa"/>
            <w:tcBorders>
              <w:top w:val="single" w:sz="4" w:space="0" w:color="000000"/>
              <w:bottom w:val="nil"/>
            </w:tcBorders>
            <w:shd w:val="clear" w:color="auto" w:fill="auto"/>
            <w:noWrap/>
            <w:tcMar>
              <w:top w:w="28" w:type="dxa"/>
              <w:bottom w:w="28" w:type="dxa"/>
            </w:tcMar>
            <w:vAlign w:val="center"/>
          </w:tcPr>
          <w:p w:rsidR="008025F3" w:rsidRPr="00DE475B" w:rsidRDefault="008025F3" w:rsidP="005554A8">
            <w:pPr>
              <w:jc w:val="right"/>
              <w:rPr>
                <w:rFonts w:ascii="Arial" w:hAnsi="Arial" w:cs="Arial"/>
                <w:sz w:val="20"/>
                <w:szCs w:val="20"/>
              </w:rPr>
            </w:pPr>
          </w:p>
        </w:tc>
        <w:tc>
          <w:tcPr>
            <w:tcW w:w="1011" w:type="dxa"/>
            <w:tcBorders>
              <w:top w:val="single" w:sz="4" w:space="0" w:color="000000"/>
              <w:bottom w:val="nil"/>
            </w:tcBorders>
            <w:shd w:val="clear" w:color="auto" w:fill="auto"/>
            <w:noWrap/>
            <w:tcMar>
              <w:top w:w="28" w:type="dxa"/>
              <w:bottom w:w="28" w:type="dxa"/>
            </w:tcMar>
            <w:vAlign w:val="center"/>
          </w:tcPr>
          <w:p w:rsidR="008025F3" w:rsidRPr="00DE475B" w:rsidRDefault="008025F3" w:rsidP="005554A8">
            <w:pPr>
              <w:jc w:val="right"/>
              <w:rPr>
                <w:rFonts w:ascii="Arial" w:hAnsi="Arial" w:cs="Arial"/>
                <w:sz w:val="20"/>
                <w:szCs w:val="20"/>
              </w:rPr>
            </w:pPr>
          </w:p>
        </w:tc>
      </w:tr>
      <w:tr w:rsidR="008025F3" w:rsidRPr="00DE475B" w:rsidTr="00576782">
        <w:trPr>
          <w:trHeight w:val="255"/>
        </w:trPr>
        <w:tc>
          <w:tcPr>
            <w:tcW w:w="2438" w:type="dxa"/>
            <w:tcBorders>
              <w:top w:val="nil"/>
              <w:bottom w:val="nil"/>
            </w:tcBorders>
            <w:shd w:val="clear" w:color="auto" w:fill="auto"/>
            <w:noWrap/>
            <w:tcMar>
              <w:top w:w="28" w:type="dxa"/>
              <w:bottom w:w="28" w:type="dxa"/>
            </w:tcMar>
            <w:vAlign w:val="center"/>
          </w:tcPr>
          <w:p w:rsidR="008025F3" w:rsidRPr="00DE475B" w:rsidRDefault="008025F3" w:rsidP="00A1189F">
            <w:pPr>
              <w:rPr>
                <w:rFonts w:ascii="Arial" w:hAnsi="Arial" w:cs="Arial"/>
                <w:sz w:val="18"/>
                <w:szCs w:val="18"/>
              </w:rPr>
            </w:pPr>
            <w:r w:rsidRPr="00DE475B">
              <w:rPr>
                <w:rFonts w:ascii="Arial" w:hAnsi="Arial" w:cs="Arial"/>
                <w:sz w:val="18"/>
                <w:szCs w:val="18"/>
              </w:rPr>
              <w:t>Current</w:t>
            </w:r>
          </w:p>
        </w:tc>
        <w:tc>
          <w:tcPr>
            <w:tcW w:w="1032"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194</w:t>
            </w:r>
          </w:p>
        </w:tc>
        <w:tc>
          <w:tcPr>
            <w:tcW w:w="1011" w:type="dxa"/>
            <w:tcBorders>
              <w:top w:val="nil"/>
              <w:bottom w:val="nil"/>
            </w:tcBorders>
            <w:shd w:val="clear" w:color="auto" w:fill="auto"/>
            <w:noWrap/>
            <w:tcMar>
              <w:top w:w="28" w:type="dxa"/>
              <w:bottom w:w="28" w:type="dxa"/>
            </w:tcMar>
            <w:vAlign w:val="center"/>
          </w:tcPr>
          <w:p w:rsidR="008025F3" w:rsidRPr="00DE475B" w:rsidRDefault="009B61E7" w:rsidP="00995A6B">
            <w:pPr>
              <w:jc w:val="right"/>
              <w:rPr>
                <w:rFonts w:ascii="Arial" w:hAnsi="Arial" w:cs="Arial"/>
                <w:sz w:val="20"/>
                <w:szCs w:val="20"/>
              </w:rPr>
            </w:pPr>
            <w:r>
              <w:rPr>
                <w:rFonts w:ascii="Arial" w:hAnsi="Arial" w:cs="Arial"/>
                <w:sz w:val="20"/>
                <w:szCs w:val="20"/>
              </w:rPr>
              <w:t>5</w:t>
            </w:r>
          </w:p>
        </w:tc>
        <w:tc>
          <w:tcPr>
            <w:tcW w:w="1082"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4</w:t>
            </w:r>
          </w:p>
        </w:tc>
        <w:tc>
          <w:tcPr>
            <w:tcW w:w="1215"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20</w:t>
            </w:r>
          </w:p>
        </w:tc>
        <w:tc>
          <w:tcPr>
            <w:tcW w:w="1108"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11"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223</w:t>
            </w:r>
          </w:p>
        </w:tc>
      </w:tr>
      <w:tr w:rsidR="008025F3" w:rsidRPr="00DE475B" w:rsidTr="00576782">
        <w:trPr>
          <w:trHeight w:val="255"/>
        </w:trPr>
        <w:tc>
          <w:tcPr>
            <w:tcW w:w="2438" w:type="dxa"/>
            <w:tcBorders>
              <w:top w:val="nil"/>
              <w:bottom w:val="single" w:sz="4" w:space="0" w:color="000000"/>
            </w:tcBorders>
            <w:shd w:val="clear" w:color="auto" w:fill="auto"/>
            <w:noWrap/>
            <w:tcMar>
              <w:top w:w="28" w:type="dxa"/>
              <w:bottom w:w="28" w:type="dxa"/>
            </w:tcMar>
            <w:vAlign w:val="center"/>
          </w:tcPr>
          <w:p w:rsidR="008025F3" w:rsidRPr="00DE475B" w:rsidRDefault="008025F3" w:rsidP="00A1189F">
            <w:pPr>
              <w:rPr>
                <w:rFonts w:ascii="Arial" w:hAnsi="Arial" w:cs="Arial"/>
                <w:sz w:val="18"/>
                <w:szCs w:val="18"/>
              </w:rPr>
            </w:pPr>
            <w:r w:rsidRPr="00DE475B">
              <w:rPr>
                <w:rFonts w:ascii="Arial" w:hAnsi="Arial" w:cs="Arial"/>
                <w:sz w:val="18"/>
                <w:szCs w:val="18"/>
              </w:rPr>
              <w:t>Temporary Relieving</w:t>
            </w:r>
          </w:p>
        </w:tc>
        <w:tc>
          <w:tcPr>
            <w:tcW w:w="1032"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5</w:t>
            </w:r>
          </w:p>
        </w:tc>
        <w:tc>
          <w:tcPr>
            <w:tcW w:w="1011" w:type="dxa"/>
            <w:tcBorders>
              <w:top w:val="nil"/>
              <w:bottom w:val="single" w:sz="4" w:space="0" w:color="000000"/>
            </w:tcBorders>
            <w:shd w:val="clear" w:color="auto" w:fill="auto"/>
            <w:noWrap/>
            <w:tcMar>
              <w:top w:w="28" w:type="dxa"/>
              <w:bottom w:w="28" w:type="dxa"/>
            </w:tcMar>
            <w:vAlign w:val="center"/>
          </w:tcPr>
          <w:p w:rsidR="008025F3" w:rsidRPr="00DE475B" w:rsidRDefault="009B61E7" w:rsidP="00995A6B">
            <w:pPr>
              <w:jc w:val="right"/>
              <w:rPr>
                <w:rFonts w:ascii="Arial" w:hAnsi="Arial" w:cs="Arial"/>
                <w:sz w:val="20"/>
                <w:szCs w:val="20"/>
              </w:rPr>
            </w:pPr>
            <w:r>
              <w:rPr>
                <w:rFonts w:ascii="Arial" w:hAnsi="Arial" w:cs="Arial"/>
                <w:sz w:val="20"/>
                <w:szCs w:val="20"/>
              </w:rPr>
              <w:t>-</w:t>
            </w:r>
          </w:p>
        </w:tc>
        <w:tc>
          <w:tcPr>
            <w:tcW w:w="1082"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215"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1</w:t>
            </w:r>
          </w:p>
        </w:tc>
        <w:tc>
          <w:tcPr>
            <w:tcW w:w="1108"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11"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6</w:t>
            </w:r>
          </w:p>
        </w:tc>
      </w:tr>
      <w:tr w:rsidR="00795627" w:rsidRPr="00DE475B" w:rsidTr="00576782">
        <w:trPr>
          <w:trHeight w:val="255"/>
        </w:trPr>
        <w:tc>
          <w:tcPr>
            <w:tcW w:w="4481" w:type="dxa"/>
            <w:gridSpan w:val="3"/>
            <w:tcBorders>
              <w:top w:val="single" w:sz="4" w:space="0" w:color="000000"/>
              <w:bottom w:val="nil"/>
            </w:tcBorders>
            <w:shd w:val="clear" w:color="auto" w:fill="auto"/>
            <w:noWrap/>
            <w:tcMar>
              <w:top w:w="28" w:type="dxa"/>
              <w:bottom w:w="28" w:type="dxa"/>
            </w:tcMar>
            <w:vAlign w:val="center"/>
            <w:hideMark/>
          </w:tcPr>
          <w:p w:rsidR="00795627" w:rsidRPr="00795627" w:rsidRDefault="00795627" w:rsidP="00795627">
            <w:pPr>
              <w:rPr>
                <w:rFonts w:ascii="Arial" w:hAnsi="Arial" w:cs="Arial"/>
                <w:i/>
                <w:sz w:val="20"/>
                <w:szCs w:val="20"/>
              </w:rPr>
            </w:pPr>
            <w:r>
              <w:rPr>
                <w:rFonts w:ascii="Arial" w:hAnsi="Arial" w:cs="Arial"/>
                <w:i/>
                <w:sz w:val="20"/>
                <w:szCs w:val="20"/>
              </w:rPr>
              <w:t>Executive Director, Content Development</w:t>
            </w:r>
            <w:r w:rsidRPr="00DE475B">
              <w:rPr>
                <w:rFonts w:ascii="Arial" w:hAnsi="Arial" w:cs="Arial"/>
                <w:sz w:val="18"/>
                <w:szCs w:val="18"/>
              </w:rPr>
              <w:t> </w:t>
            </w:r>
          </w:p>
        </w:tc>
        <w:tc>
          <w:tcPr>
            <w:tcW w:w="1082" w:type="dxa"/>
            <w:tcBorders>
              <w:top w:val="single" w:sz="4" w:space="0" w:color="000000"/>
              <w:bottom w:val="nil"/>
            </w:tcBorders>
            <w:shd w:val="clear" w:color="auto" w:fill="auto"/>
            <w:noWrap/>
            <w:tcMar>
              <w:top w:w="28" w:type="dxa"/>
              <w:bottom w:w="28" w:type="dxa"/>
            </w:tcMar>
            <w:vAlign w:val="center"/>
            <w:hideMark/>
          </w:tcPr>
          <w:p w:rsidR="00795627" w:rsidRPr="00DE475B" w:rsidRDefault="00795627" w:rsidP="005554A8">
            <w:pPr>
              <w:jc w:val="right"/>
              <w:rPr>
                <w:rFonts w:ascii="Arial" w:hAnsi="Arial" w:cs="Arial"/>
                <w:sz w:val="18"/>
                <w:szCs w:val="18"/>
              </w:rPr>
            </w:pPr>
            <w:r w:rsidRPr="00DE475B">
              <w:rPr>
                <w:rFonts w:ascii="Arial" w:hAnsi="Arial" w:cs="Arial"/>
                <w:sz w:val="18"/>
                <w:szCs w:val="18"/>
              </w:rPr>
              <w:t> </w:t>
            </w:r>
          </w:p>
        </w:tc>
        <w:tc>
          <w:tcPr>
            <w:tcW w:w="1215" w:type="dxa"/>
            <w:tcBorders>
              <w:top w:val="single" w:sz="4" w:space="0" w:color="000000"/>
              <w:bottom w:val="nil"/>
            </w:tcBorders>
            <w:shd w:val="clear" w:color="auto" w:fill="auto"/>
            <w:noWrap/>
            <w:tcMar>
              <w:top w:w="28" w:type="dxa"/>
              <w:bottom w:w="28" w:type="dxa"/>
            </w:tcMar>
            <w:vAlign w:val="center"/>
            <w:hideMark/>
          </w:tcPr>
          <w:p w:rsidR="00795627" w:rsidRPr="00DE475B" w:rsidRDefault="00795627" w:rsidP="005554A8">
            <w:pPr>
              <w:jc w:val="right"/>
              <w:rPr>
                <w:rFonts w:ascii="Arial" w:hAnsi="Arial" w:cs="Arial"/>
                <w:sz w:val="18"/>
                <w:szCs w:val="18"/>
              </w:rPr>
            </w:pPr>
            <w:r w:rsidRPr="00DE475B">
              <w:rPr>
                <w:rFonts w:ascii="Arial" w:hAnsi="Arial" w:cs="Arial"/>
                <w:sz w:val="18"/>
                <w:szCs w:val="18"/>
              </w:rPr>
              <w:t> </w:t>
            </w:r>
          </w:p>
        </w:tc>
        <w:tc>
          <w:tcPr>
            <w:tcW w:w="1108" w:type="dxa"/>
            <w:tcBorders>
              <w:top w:val="single" w:sz="4" w:space="0" w:color="000000"/>
              <w:bottom w:val="nil"/>
            </w:tcBorders>
            <w:shd w:val="clear" w:color="auto" w:fill="auto"/>
            <w:noWrap/>
            <w:tcMar>
              <w:top w:w="28" w:type="dxa"/>
              <w:bottom w:w="28" w:type="dxa"/>
            </w:tcMar>
            <w:vAlign w:val="center"/>
            <w:hideMark/>
          </w:tcPr>
          <w:p w:rsidR="00795627" w:rsidRPr="00DE475B" w:rsidRDefault="00795627" w:rsidP="005554A8">
            <w:pPr>
              <w:jc w:val="right"/>
              <w:rPr>
                <w:rFonts w:ascii="Arial" w:hAnsi="Arial" w:cs="Arial"/>
                <w:sz w:val="18"/>
                <w:szCs w:val="18"/>
              </w:rPr>
            </w:pPr>
            <w:r w:rsidRPr="00DE475B">
              <w:rPr>
                <w:rFonts w:ascii="Arial" w:hAnsi="Arial" w:cs="Arial"/>
                <w:sz w:val="18"/>
                <w:szCs w:val="18"/>
              </w:rPr>
              <w:t> </w:t>
            </w:r>
          </w:p>
        </w:tc>
        <w:tc>
          <w:tcPr>
            <w:tcW w:w="1011" w:type="dxa"/>
            <w:tcBorders>
              <w:top w:val="single" w:sz="4" w:space="0" w:color="000000"/>
              <w:bottom w:val="nil"/>
            </w:tcBorders>
            <w:shd w:val="clear" w:color="auto" w:fill="auto"/>
            <w:noWrap/>
            <w:tcMar>
              <w:top w:w="28" w:type="dxa"/>
              <w:bottom w:w="28" w:type="dxa"/>
            </w:tcMar>
            <w:vAlign w:val="center"/>
            <w:hideMark/>
          </w:tcPr>
          <w:p w:rsidR="00795627" w:rsidRPr="00DE475B" w:rsidRDefault="00795627" w:rsidP="005554A8">
            <w:pPr>
              <w:jc w:val="right"/>
              <w:rPr>
                <w:rFonts w:ascii="Arial" w:hAnsi="Arial" w:cs="Arial"/>
                <w:sz w:val="18"/>
                <w:szCs w:val="18"/>
              </w:rPr>
            </w:pPr>
            <w:r w:rsidRPr="00DE475B">
              <w:rPr>
                <w:rFonts w:ascii="Arial" w:hAnsi="Arial" w:cs="Arial"/>
                <w:sz w:val="18"/>
                <w:szCs w:val="18"/>
              </w:rPr>
              <w:t> </w:t>
            </w:r>
          </w:p>
        </w:tc>
      </w:tr>
      <w:tr w:rsidR="008025F3" w:rsidRPr="00DE475B" w:rsidTr="00576782">
        <w:trPr>
          <w:trHeight w:val="255"/>
        </w:trPr>
        <w:tc>
          <w:tcPr>
            <w:tcW w:w="2438" w:type="dxa"/>
            <w:tcBorders>
              <w:top w:val="nil"/>
              <w:bottom w:val="nil"/>
            </w:tcBorders>
            <w:shd w:val="clear" w:color="auto" w:fill="auto"/>
            <w:noWrap/>
            <w:tcMar>
              <w:top w:w="28" w:type="dxa"/>
              <w:bottom w:w="28" w:type="dxa"/>
            </w:tcMar>
            <w:vAlign w:val="center"/>
            <w:hideMark/>
          </w:tcPr>
          <w:p w:rsidR="008025F3" w:rsidRPr="00DE475B" w:rsidRDefault="008025F3" w:rsidP="003D320F">
            <w:pPr>
              <w:rPr>
                <w:rFonts w:ascii="Arial" w:hAnsi="Arial" w:cs="Arial"/>
                <w:sz w:val="18"/>
                <w:szCs w:val="18"/>
              </w:rPr>
            </w:pPr>
            <w:r w:rsidRPr="00DE475B">
              <w:rPr>
                <w:rFonts w:ascii="Arial" w:hAnsi="Arial" w:cs="Arial"/>
                <w:sz w:val="18"/>
                <w:szCs w:val="18"/>
              </w:rPr>
              <w:t>Current</w:t>
            </w:r>
          </w:p>
        </w:tc>
        <w:tc>
          <w:tcPr>
            <w:tcW w:w="1032"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53</w:t>
            </w:r>
          </w:p>
        </w:tc>
        <w:tc>
          <w:tcPr>
            <w:tcW w:w="1011"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82"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1</w:t>
            </w:r>
          </w:p>
        </w:tc>
        <w:tc>
          <w:tcPr>
            <w:tcW w:w="1215"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4</w:t>
            </w:r>
          </w:p>
        </w:tc>
        <w:tc>
          <w:tcPr>
            <w:tcW w:w="1108"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11"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58</w:t>
            </w:r>
          </w:p>
        </w:tc>
      </w:tr>
      <w:tr w:rsidR="008025F3" w:rsidRPr="00DE475B" w:rsidTr="00576782">
        <w:trPr>
          <w:trHeight w:val="255"/>
        </w:trPr>
        <w:tc>
          <w:tcPr>
            <w:tcW w:w="2438" w:type="dxa"/>
            <w:tcBorders>
              <w:top w:val="nil"/>
              <w:bottom w:val="single" w:sz="4" w:space="0" w:color="000000"/>
            </w:tcBorders>
            <w:shd w:val="clear" w:color="auto" w:fill="auto"/>
            <w:noWrap/>
            <w:tcMar>
              <w:top w:w="28" w:type="dxa"/>
              <w:bottom w:w="28" w:type="dxa"/>
            </w:tcMar>
            <w:vAlign w:val="center"/>
            <w:hideMark/>
          </w:tcPr>
          <w:p w:rsidR="008025F3" w:rsidRPr="00DE475B" w:rsidRDefault="008025F3" w:rsidP="003D320F">
            <w:pPr>
              <w:rPr>
                <w:rFonts w:ascii="Arial" w:hAnsi="Arial" w:cs="Arial"/>
                <w:sz w:val="18"/>
                <w:szCs w:val="18"/>
              </w:rPr>
            </w:pPr>
            <w:r>
              <w:rPr>
                <w:rFonts w:ascii="Arial" w:hAnsi="Arial" w:cs="Arial"/>
                <w:sz w:val="18"/>
                <w:szCs w:val="18"/>
              </w:rPr>
              <w:t>Former</w:t>
            </w:r>
          </w:p>
        </w:tc>
        <w:tc>
          <w:tcPr>
            <w:tcW w:w="1032"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135</w:t>
            </w:r>
          </w:p>
        </w:tc>
        <w:tc>
          <w:tcPr>
            <w:tcW w:w="1011"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82"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40</w:t>
            </w:r>
          </w:p>
        </w:tc>
        <w:tc>
          <w:tcPr>
            <w:tcW w:w="1215"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13</w:t>
            </w:r>
          </w:p>
        </w:tc>
        <w:tc>
          <w:tcPr>
            <w:tcW w:w="1108"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2</w:t>
            </w:r>
          </w:p>
        </w:tc>
        <w:tc>
          <w:tcPr>
            <w:tcW w:w="1011" w:type="dxa"/>
            <w:tcBorders>
              <w:top w:val="nil"/>
              <w:bottom w:val="single" w:sz="4" w:space="0" w:color="000000"/>
            </w:tcBorders>
            <w:shd w:val="clear" w:color="auto" w:fill="auto"/>
            <w:noWrap/>
            <w:tcMar>
              <w:top w:w="28" w:type="dxa"/>
              <w:bottom w:w="28" w:type="dxa"/>
            </w:tcMar>
            <w:vAlign w:val="center"/>
          </w:tcPr>
          <w:p w:rsidR="008025F3" w:rsidRPr="00DE475B" w:rsidRDefault="009B61E7" w:rsidP="00922D80">
            <w:pPr>
              <w:jc w:val="right"/>
              <w:rPr>
                <w:rFonts w:ascii="Arial" w:hAnsi="Arial" w:cs="Arial"/>
                <w:sz w:val="20"/>
                <w:szCs w:val="20"/>
              </w:rPr>
            </w:pPr>
            <w:r>
              <w:rPr>
                <w:rFonts w:ascii="Arial" w:hAnsi="Arial" w:cs="Arial"/>
                <w:sz w:val="20"/>
                <w:szCs w:val="20"/>
              </w:rPr>
              <w:t>190</w:t>
            </w:r>
          </w:p>
        </w:tc>
      </w:tr>
      <w:tr w:rsidR="00795627" w:rsidRPr="00DE475B" w:rsidTr="00576782">
        <w:trPr>
          <w:trHeight w:val="255"/>
        </w:trPr>
        <w:tc>
          <w:tcPr>
            <w:tcW w:w="5563" w:type="dxa"/>
            <w:gridSpan w:val="4"/>
            <w:tcBorders>
              <w:top w:val="single" w:sz="4" w:space="0" w:color="000000"/>
              <w:bottom w:val="nil"/>
            </w:tcBorders>
            <w:shd w:val="clear" w:color="auto" w:fill="auto"/>
            <w:noWrap/>
            <w:tcMar>
              <w:top w:w="28" w:type="dxa"/>
              <w:bottom w:w="28" w:type="dxa"/>
            </w:tcMar>
            <w:vAlign w:val="center"/>
            <w:hideMark/>
          </w:tcPr>
          <w:p w:rsidR="00795627" w:rsidRPr="00795627" w:rsidRDefault="00795627" w:rsidP="00795627">
            <w:pPr>
              <w:rPr>
                <w:rFonts w:ascii="Arial" w:hAnsi="Arial" w:cs="Arial"/>
                <w:i/>
                <w:sz w:val="20"/>
                <w:szCs w:val="20"/>
              </w:rPr>
            </w:pPr>
            <w:r>
              <w:rPr>
                <w:rFonts w:ascii="Arial" w:hAnsi="Arial" w:cs="Arial"/>
                <w:i/>
                <w:sz w:val="20"/>
                <w:szCs w:val="20"/>
              </w:rPr>
              <w:t xml:space="preserve">Executive </w:t>
            </w:r>
            <w:r w:rsidRPr="00DE475B">
              <w:rPr>
                <w:rFonts w:ascii="Arial" w:hAnsi="Arial" w:cs="Arial"/>
                <w:i/>
                <w:sz w:val="20"/>
                <w:szCs w:val="20"/>
              </w:rPr>
              <w:t>Director, Regio</w:t>
            </w:r>
            <w:r>
              <w:rPr>
                <w:rFonts w:ascii="Arial" w:hAnsi="Arial" w:cs="Arial"/>
                <w:i/>
                <w:sz w:val="20"/>
                <w:szCs w:val="20"/>
              </w:rPr>
              <w:t>nal Access and Public Libraries</w:t>
            </w:r>
            <w:r w:rsidRPr="00DE475B">
              <w:rPr>
                <w:rFonts w:ascii="Arial" w:hAnsi="Arial" w:cs="Arial"/>
                <w:sz w:val="18"/>
                <w:szCs w:val="18"/>
              </w:rPr>
              <w:t> </w:t>
            </w:r>
          </w:p>
        </w:tc>
        <w:tc>
          <w:tcPr>
            <w:tcW w:w="1215" w:type="dxa"/>
            <w:tcBorders>
              <w:top w:val="single" w:sz="4" w:space="0" w:color="000000"/>
              <w:bottom w:val="nil"/>
            </w:tcBorders>
            <w:shd w:val="clear" w:color="auto" w:fill="auto"/>
            <w:noWrap/>
            <w:tcMar>
              <w:top w:w="28" w:type="dxa"/>
              <w:bottom w:w="28" w:type="dxa"/>
            </w:tcMar>
            <w:vAlign w:val="center"/>
            <w:hideMark/>
          </w:tcPr>
          <w:p w:rsidR="00795627" w:rsidRPr="00DE475B" w:rsidRDefault="00795627" w:rsidP="005554A8">
            <w:pPr>
              <w:jc w:val="right"/>
              <w:rPr>
                <w:rFonts w:ascii="Arial" w:hAnsi="Arial" w:cs="Arial"/>
                <w:sz w:val="18"/>
                <w:szCs w:val="18"/>
              </w:rPr>
            </w:pPr>
            <w:r w:rsidRPr="00DE475B">
              <w:rPr>
                <w:rFonts w:ascii="Arial" w:hAnsi="Arial" w:cs="Arial"/>
                <w:sz w:val="18"/>
                <w:szCs w:val="18"/>
              </w:rPr>
              <w:t> </w:t>
            </w:r>
          </w:p>
        </w:tc>
        <w:tc>
          <w:tcPr>
            <w:tcW w:w="1108" w:type="dxa"/>
            <w:tcBorders>
              <w:top w:val="single" w:sz="4" w:space="0" w:color="000000"/>
              <w:bottom w:val="nil"/>
            </w:tcBorders>
            <w:shd w:val="clear" w:color="auto" w:fill="auto"/>
            <w:noWrap/>
            <w:tcMar>
              <w:top w:w="28" w:type="dxa"/>
              <w:bottom w:w="28" w:type="dxa"/>
            </w:tcMar>
            <w:vAlign w:val="center"/>
            <w:hideMark/>
          </w:tcPr>
          <w:p w:rsidR="00795627" w:rsidRPr="00DE475B" w:rsidRDefault="00795627" w:rsidP="005554A8">
            <w:pPr>
              <w:jc w:val="right"/>
              <w:rPr>
                <w:rFonts w:ascii="Arial" w:hAnsi="Arial" w:cs="Arial"/>
                <w:sz w:val="18"/>
                <w:szCs w:val="18"/>
              </w:rPr>
            </w:pPr>
            <w:r w:rsidRPr="00DE475B">
              <w:rPr>
                <w:rFonts w:ascii="Arial" w:hAnsi="Arial" w:cs="Arial"/>
                <w:sz w:val="18"/>
                <w:szCs w:val="18"/>
              </w:rPr>
              <w:t> </w:t>
            </w:r>
          </w:p>
        </w:tc>
        <w:tc>
          <w:tcPr>
            <w:tcW w:w="1011" w:type="dxa"/>
            <w:tcBorders>
              <w:top w:val="single" w:sz="4" w:space="0" w:color="000000"/>
              <w:bottom w:val="nil"/>
            </w:tcBorders>
            <w:shd w:val="clear" w:color="auto" w:fill="auto"/>
            <w:noWrap/>
            <w:tcMar>
              <w:top w:w="28" w:type="dxa"/>
              <w:bottom w:w="28" w:type="dxa"/>
            </w:tcMar>
            <w:vAlign w:val="center"/>
            <w:hideMark/>
          </w:tcPr>
          <w:p w:rsidR="00795627" w:rsidRPr="00DE475B" w:rsidRDefault="00795627" w:rsidP="005554A8">
            <w:pPr>
              <w:jc w:val="right"/>
              <w:rPr>
                <w:rFonts w:ascii="Arial" w:hAnsi="Arial" w:cs="Arial"/>
                <w:sz w:val="18"/>
                <w:szCs w:val="18"/>
              </w:rPr>
            </w:pPr>
            <w:r w:rsidRPr="00DE475B">
              <w:rPr>
                <w:rFonts w:ascii="Arial" w:hAnsi="Arial" w:cs="Arial"/>
                <w:sz w:val="18"/>
                <w:szCs w:val="18"/>
              </w:rPr>
              <w:t> </w:t>
            </w:r>
          </w:p>
        </w:tc>
      </w:tr>
      <w:tr w:rsidR="008025F3" w:rsidRPr="00DE475B" w:rsidTr="00576782">
        <w:trPr>
          <w:trHeight w:val="255"/>
        </w:trPr>
        <w:tc>
          <w:tcPr>
            <w:tcW w:w="2438" w:type="dxa"/>
            <w:tcBorders>
              <w:top w:val="nil"/>
              <w:bottom w:val="single" w:sz="4" w:space="0" w:color="000000"/>
            </w:tcBorders>
            <w:shd w:val="clear" w:color="auto" w:fill="auto"/>
            <w:noWrap/>
            <w:tcMar>
              <w:top w:w="28" w:type="dxa"/>
              <w:bottom w:w="28" w:type="dxa"/>
            </w:tcMar>
            <w:vAlign w:val="center"/>
            <w:hideMark/>
          </w:tcPr>
          <w:p w:rsidR="008025F3" w:rsidRPr="00DE475B" w:rsidRDefault="008025F3" w:rsidP="003D320F">
            <w:pPr>
              <w:rPr>
                <w:rFonts w:ascii="Arial" w:hAnsi="Arial" w:cs="Arial"/>
                <w:sz w:val="18"/>
                <w:szCs w:val="18"/>
              </w:rPr>
            </w:pPr>
            <w:r w:rsidRPr="00DE475B">
              <w:rPr>
                <w:rFonts w:ascii="Arial" w:hAnsi="Arial" w:cs="Arial"/>
                <w:sz w:val="18"/>
                <w:szCs w:val="18"/>
              </w:rPr>
              <w:t>Current</w:t>
            </w:r>
          </w:p>
        </w:tc>
        <w:tc>
          <w:tcPr>
            <w:tcW w:w="1032"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172</w:t>
            </w:r>
          </w:p>
        </w:tc>
        <w:tc>
          <w:tcPr>
            <w:tcW w:w="1011"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82"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4</w:t>
            </w:r>
          </w:p>
        </w:tc>
        <w:tc>
          <w:tcPr>
            <w:tcW w:w="1215"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18</w:t>
            </w:r>
          </w:p>
        </w:tc>
        <w:tc>
          <w:tcPr>
            <w:tcW w:w="1108"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11"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194</w:t>
            </w:r>
          </w:p>
        </w:tc>
      </w:tr>
      <w:tr w:rsidR="00795627" w:rsidRPr="00DE475B" w:rsidTr="00576782">
        <w:trPr>
          <w:trHeight w:val="255"/>
        </w:trPr>
        <w:tc>
          <w:tcPr>
            <w:tcW w:w="5563" w:type="dxa"/>
            <w:gridSpan w:val="4"/>
            <w:tcBorders>
              <w:top w:val="single" w:sz="4" w:space="0" w:color="000000"/>
              <w:bottom w:val="nil"/>
            </w:tcBorders>
            <w:shd w:val="clear" w:color="auto" w:fill="auto"/>
            <w:tcMar>
              <w:top w:w="28" w:type="dxa"/>
              <w:bottom w:w="28" w:type="dxa"/>
            </w:tcMar>
            <w:vAlign w:val="center"/>
            <w:hideMark/>
          </w:tcPr>
          <w:p w:rsidR="00795627" w:rsidRPr="00795627" w:rsidRDefault="00795627" w:rsidP="00795627">
            <w:pPr>
              <w:rPr>
                <w:rFonts w:ascii="Arial" w:hAnsi="Arial" w:cs="Arial"/>
                <w:i/>
                <w:sz w:val="20"/>
                <w:szCs w:val="20"/>
              </w:rPr>
            </w:pPr>
            <w:r>
              <w:rPr>
                <w:rFonts w:ascii="Arial" w:hAnsi="Arial" w:cs="Arial"/>
                <w:i/>
                <w:sz w:val="20"/>
                <w:szCs w:val="20"/>
              </w:rPr>
              <w:t xml:space="preserve">Executive </w:t>
            </w:r>
            <w:r w:rsidRPr="00DE475B">
              <w:rPr>
                <w:rFonts w:ascii="Arial" w:hAnsi="Arial" w:cs="Arial"/>
                <w:i/>
                <w:sz w:val="20"/>
                <w:szCs w:val="20"/>
              </w:rPr>
              <w:t>Director, Engagement and Partnerships </w:t>
            </w:r>
            <w:r w:rsidRPr="00DE475B">
              <w:rPr>
                <w:rFonts w:ascii="Arial" w:hAnsi="Arial" w:cs="Arial"/>
                <w:sz w:val="18"/>
                <w:szCs w:val="18"/>
              </w:rPr>
              <w:t> </w:t>
            </w:r>
          </w:p>
        </w:tc>
        <w:tc>
          <w:tcPr>
            <w:tcW w:w="1215" w:type="dxa"/>
            <w:tcBorders>
              <w:top w:val="single" w:sz="4" w:space="0" w:color="000000"/>
              <w:bottom w:val="nil"/>
            </w:tcBorders>
            <w:shd w:val="clear" w:color="auto" w:fill="auto"/>
            <w:noWrap/>
            <w:tcMar>
              <w:top w:w="28" w:type="dxa"/>
              <w:bottom w:w="28" w:type="dxa"/>
            </w:tcMar>
            <w:vAlign w:val="center"/>
            <w:hideMark/>
          </w:tcPr>
          <w:p w:rsidR="00795627" w:rsidRPr="00DE475B" w:rsidRDefault="00795627" w:rsidP="005554A8">
            <w:pPr>
              <w:jc w:val="right"/>
              <w:rPr>
                <w:rFonts w:ascii="Arial" w:hAnsi="Arial" w:cs="Arial"/>
                <w:sz w:val="18"/>
                <w:szCs w:val="18"/>
              </w:rPr>
            </w:pPr>
            <w:r w:rsidRPr="00DE475B">
              <w:rPr>
                <w:rFonts w:ascii="Arial" w:hAnsi="Arial" w:cs="Arial"/>
                <w:sz w:val="18"/>
                <w:szCs w:val="18"/>
              </w:rPr>
              <w:t> </w:t>
            </w:r>
          </w:p>
        </w:tc>
        <w:tc>
          <w:tcPr>
            <w:tcW w:w="1108" w:type="dxa"/>
            <w:tcBorders>
              <w:top w:val="single" w:sz="4" w:space="0" w:color="000000"/>
              <w:bottom w:val="nil"/>
            </w:tcBorders>
            <w:shd w:val="clear" w:color="auto" w:fill="auto"/>
            <w:noWrap/>
            <w:tcMar>
              <w:top w:w="28" w:type="dxa"/>
              <w:bottom w:w="28" w:type="dxa"/>
            </w:tcMar>
            <w:vAlign w:val="center"/>
            <w:hideMark/>
          </w:tcPr>
          <w:p w:rsidR="00795627" w:rsidRPr="00DE475B" w:rsidRDefault="00795627" w:rsidP="005554A8">
            <w:pPr>
              <w:jc w:val="right"/>
              <w:rPr>
                <w:rFonts w:ascii="Arial" w:hAnsi="Arial" w:cs="Arial"/>
                <w:sz w:val="18"/>
                <w:szCs w:val="18"/>
              </w:rPr>
            </w:pPr>
            <w:r w:rsidRPr="00DE475B">
              <w:rPr>
                <w:rFonts w:ascii="Arial" w:hAnsi="Arial" w:cs="Arial"/>
                <w:sz w:val="18"/>
                <w:szCs w:val="18"/>
              </w:rPr>
              <w:t> </w:t>
            </w:r>
          </w:p>
        </w:tc>
        <w:tc>
          <w:tcPr>
            <w:tcW w:w="1011" w:type="dxa"/>
            <w:tcBorders>
              <w:top w:val="single" w:sz="4" w:space="0" w:color="000000"/>
              <w:bottom w:val="nil"/>
            </w:tcBorders>
            <w:shd w:val="clear" w:color="auto" w:fill="auto"/>
            <w:noWrap/>
            <w:tcMar>
              <w:top w:w="28" w:type="dxa"/>
              <w:bottom w:w="28" w:type="dxa"/>
            </w:tcMar>
            <w:vAlign w:val="center"/>
            <w:hideMark/>
          </w:tcPr>
          <w:p w:rsidR="00795627" w:rsidRPr="00DE475B" w:rsidRDefault="00795627" w:rsidP="005554A8">
            <w:pPr>
              <w:jc w:val="right"/>
              <w:rPr>
                <w:rFonts w:ascii="Arial" w:hAnsi="Arial" w:cs="Arial"/>
                <w:sz w:val="18"/>
                <w:szCs w:val="18"/>
              </w:rPr>
            </w:pPr>
            <w:r w:rsidRPr="00DE475B">
              <w:rPr>
                <w:rFonts w:ascii="Arial" w:hAnsi="Arial" w:cs="Arial"/>
                <w:sz w:val="18"/>
                <w:szCs w:val="18"/>
              </w:rPr>
              <w:t> </w:t>
            </w:r>
          </w:p>
        </w:tc>
      </w:tr>
      <w:tr w:rsidR="008025F3" w:rsidRPr="00DE475B" w:rsidTr="00576782">
        <w:trPr>
          <w:trHeight w:val="255"/>
        </w:trPr>
        <w:tc>
          <w:tcPr>
            <w:tcW w:w="2438" w:type="dxa"/>
            <w:tcBorders>
              <w:top w:val="nil"/>
              <w:bottom w:val="nil"/>
            </w:tcBorders>
            <w:shd w:val="clear" w:color="auto" w:fill="auto"/>
            <w:noWrap/>
            <w:tcMar>
              <w:top w:w="28" w:type="dxa"/>
              <w:bottom w:w="28" w:type="dxa"/>
            </w:tcMar>
            <w:vAlign w:val="center"/>
            <w:hideMark/>
          </w:tcPr>
          <w:p w:rsidR="008025F3" w:rsidRPr="00DE475B" w:rsidRDefault="008025F3" w:rsidP="003D320F">
            <w:pPr>
              <w:rPr>
                <w:rFonts w:ascii="Arial" w:hAnsi="Arial" w:cs="Arial"/>
                <w:sz w:val="18"/>
                <w:szCs w:val="18"/>
              </w:rPr>
            </w:pPr>
            <w:r w:rsidRPr="00DE475B">
              <w:rPr>
                <w:rFonts w:ascii="Arial" w:hAnsi="Arial" w:cs="Arial"/>
                <w:sz w:val="18"/>
                <w:szCs w:val="18"/>
              </w:rPr>
              <w:t>Current</w:t>
            </w:r>
          </w:p>
        </w:tc>
        <w:tc>
          <w:tcPr>
            <w:tcW w:w="1032"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167</w:t>
            </w:r>
          </w:p>
        </w:tc>
        <w:tc>
          <w:tcPr>
            <w:tcW w:w="1011"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82"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4</w:t>
            </w:r>
          </w:p>
        </w:tc>
        <w:tc>
          <w:tcPr>
            <w:tcW w:w="1215" w:type="dxa"/>
            <w:tcBorders>
              <w:top w:val="nil"/>
              <w:bottom w:val="nil"/>
            </w:tcBorders>
            <w:shd w:val="clear" w:color="auto" w:fill="auto"/>
            <w:noWrap/>
            <w:tcMar>
              <w:top w:w="28" w:type="dxa"/>
              <w:bottom w:w="28" w:type="dxa"/>
            </w:tcMar>
            <w:vAlign w:val="center"/>
          </w:tcPr>
          <w:p w:rsidR="008025F3" w:rsidRPr="00DE475B" w:rsidRDefault="009B61E7" w:rsidP="004A5D83">
            <w:pPr>
              <w:jc w:val="right"/>
              <w:rPr>
                <w:rFonts w:ascii="Arial" w:hAnsi="Arial" w:cs="Arial"/>
                <w:sz w:val="20"/>
                <w:szCs w:val="20"/>
              </w:rPr>
            </w:pPr>
            <w:r>
              <w:rPr>
                <w:rFonts w:ascii="Arial" w:hAnsi="Arial" w:cs="Arial"/>
                <w:sz w:val="20"/>
                <w:szCs w:val="20"/>
              </w:rPr>
              <w:t>18</w:t>
            </w:r>
          </w:p>
        </w:tc>
        <w:tc>
          <w:tcPr>
            <w:tcW w:w="1108"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11"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189</w:t>
            </w:r>
          </w:p>
        </w:tc>
      </w:tr>
      <w:tr w:rsidR="008025F3" w:rsidRPr="00DE475B" w:rsidTr="00576782">
        <w:trPr>
          <w:trHeight w:val="255"/>
        </w:trPr>
        <w:tc>
          <w:tcPr>
            <w:tcW w:w="2438" w:type="dxa"/>
            <w:tcBorders>
              <w:top w:val="nil"/>
              <w:bottom w:val="single" w:sz="4" w:space="0" w:color="000000"/>
            </w:tcBorders>
            <w:shd w:val="clear" w:color="auto" w:fill="auto"/>
            <w:noWrap/>
            <w:tcMar>
              <w:top w:w="28" w:type="dxa"/>
              <w:bottom w:w="28" w:type="dxa"/>
            </w:tcMar>
            <w:vAlign w:val="center"/>
            <w:hideMark/>
          </w:tcPr>
          <w:p w:rsidR="008025F3" w:rsidRPr="00DE475B" w:rsidRDefault="008025F3" w:rsidP="003D320F">
            <w:pPr>
              <w:rPr>
                <w:rFonts w:ascii="Arial" w:hAnsi="Arial" w:cs="Arial"/>
                <w:sz w:val="18"/>
                <w:szCs w:val="18"/>
              </w:rPr>
            </w:pPr>
            <w:r w:rsidRPr="00DE475B">
              <w:rPr>
                <w:rFonts w:ascii="Arial" w:hAnsi="Arial" w:cs="Arial"/>
                <w:sz w:val="18"/>
                <w:szCs w:val="18"/>
              </w:rPr>
              <w:t>Temporary Relieving</w:t>
            </w:r>
          </w:p>
        </w:tc>
        <w:tc>
          <w:tcPr>
            <w:tcW w:w="1032"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9</w:t>
            </w:r>
          </w:p>
        </w:tc>
        <w:tc>
          <w:tcPr>
            <w:tcW w:w="1011"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82"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215"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1</w:t>
            </w:r>
          </w:p>
        </w:tc>
        <w:tc>
          <w:tcPr>
            <w:tcW w:w="1108"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11"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10</w:t>
            </w:r>
          </w:p>
        </w:tc>
      </w:tr>
      <w:tr w:rsidR="008025F3" w:rsidRPr="00DE475B" w:rsidTr="00576782">
        <w:trPr>
          <w:trHeight w:val="255"/>
        </w:trPr>
        <w:tc>
          <w:tcPr>
            <w:tcW w:w="4481" w:type="dxa"/>
            <w:gridSpan w:val="3"/>
            <w:tcBorders>
              <w:top w:val="single" w:sz="4" w:space="0" w:color="000000"/>
              <w:bottom w:val="nil"/>
            </w:tcBorders>
            <w:shd w:val="clear" w:color="auto" w:fill="auto"/>
            <w:noWrap/>
            <w:tcMar>
              <w:top w:w="28" w:type="dxa"/>
              <w:bottom w:w="28" w:type="dxa"/>
            </w:tcMar>
            <w:vAlign w:val="center"/>
            <w:hideMark/>
          </w:tcPr>
          <w:p w:rsidR="008025F3" w:rsidRPr="00DE475B" w:rsidRDefault="008025F3" w:rsidP="006A5AC1">
            <w:pPr>
              <w:rPr>
                <w:rFonts w:ascii="Arial" w:hAnsi="Arial" w:cs="Arial"/>
                <w:i/>
                <w:sz w:val="20"/>
                <w:szCs w:val="20"/>
              </w:rPr>
            </w:pPr>
            <w:r w:rsidRPr="00DE475B">
              <w:rPr>
                <w:rFonts w:ascii="Arial" w:hAnsi="Arial" w:cs="Arial"/>
                <w:i/>
                <w:sz w:val="20"/>
                <w:szCs w:val="20"/>
              </w:rPr>
              <w:t>Executive Manager, Communications </w:t>
            </w:r>
            <w:r w:rsidRPr="00DE475B">
              <w:rPr>
                <w:rFonts w:ascii="Arial" w:hAnsi="Arial" w:cs="Arial"/>
                <w:sz w:val="18"/>
                <w:szCs w:val="18"/>
              </w:rPr>
              <w:t> </w:t>
            </w:r>
          </w:p>
        </w:tc>
        <w:tc>
          <w:tcPr>
            <w:tcW w:w="1082" w:type="dxa"/>
            <w:tcBorders>
              <w:top w:val="single" w:sz="4" w:space="0" w:color="000000"/>
              <w:bottom w:val="nil"/>
            </w:tcBorders>
            <w:shd w:val="clear" w:color="auto" w:fill="auto"/>
            <w:noWrap/>
            <w:tcMar>
              <w:top w:w="28" w:type="dxa"/>
              <w:bottom w:w="28" w:type="dxa"/>
            </w:tcMar>
            <w:vAlign w:val="center"/>
            <w:hideMark/>
          </w:tcPr>
          <w:p w:rsidR="008025F3" w:rsidRPr="00DE475B" w:rsidRDefault="008025F3" w:rsidP="005554A8">
            <w:pPr>
              <w:jc w:val="right"/>
              <w:rPr>
                <w:rFonts w:ascii="Arial" w:hAnsi="Arial" w:cs="Arial"/>
                <w:sz w:val="18"/>
                <w:szCs w:val="18"/>
              </w:rPr>
            </w:pPr>
            <w:r w:rsidRPr="00DE475B">
              <w:rPr>
                <w:rFonts w:ascii="Arial" w:hAnsi="Arial" w:cs="Arial"/>
                <w:sz w:val="18"/>
                <w:szCs w:val="18"/>
              </w:rPr>
              <w:t> </w:t>
            </w:r>
          </w:p>
        </w:tc>
        <w:tc>
          <w:tcPr>
            <w:tcW w:w="1215" w:type="dxa"/>
            <w:tcBorders>
              <w:top w:val="single" w:sz="4" w:space="0" w:color="000000"/>
              <w:bottom w:val="nil"/>
            </w:tcBorders>
            <w:shd w:val="clear" w:color="auto" w:fill="auto"/>
            <w:noWrap/>
            <w:tcMar>
              <w:top w:w="28" w:type="dxa"/>
              <w:bottom w:w="28" w:type="dxa"/>
            </w:tcMar>
            <w:vAlign w:val="center"/>
            <w:hideMark/>
          </w:tcPr>
          <w:p w:rsidR="008025F3" w:rsidRPr="00DE475B" w:rsidRDefault="008025F3" w:rsidP="005554A8">
            <w:pPr>
              <w:jc w:val="right"/>
              <w:rPr>
                <w:rFonts w:ascii="Arial" w:hAnsi="Arial" w:cs="Arial"/>
                <w:sz w:val="18"/>
                <w:szCs w:val="18"/>
              </w:rPr>
            </w:pPr>
            <w:r w:rsidRPr="00DE475B">
              <w:rPr>
                <w:rFonts w:ascii="Arial" w:hAnsi="Arial" w:cs="Arial"/>
                <w:sz w:val="18"/>
                <w:szCs w:val="18"/>
              </w:rPr>
              <w:t> </w:t>
            </w:r>
          </w:p>
        </w:tc>
        <w:tc>
          <w:tcPr>
            <w:tcW w:w="1108" w:type="dxa"/>
            <w:tcBorders>
              <w:top w:val="single" w:sz="4" w:space="0" w:color="000000"/>
              <w:bottom w:val="nil"/>
            </w:tcBorders>
            <w:shd w:val="clear" w:color="auto" w:fill="auto"/>
            <w:noWrap/>
            <w:tcMar>
              <w:top w:w="28" w:type="dxa"/>
              <w:bottom w:w="28" w:type="dxa"/>
            </w:tcMar>
            <w:vAlign w:val="center"/>
            <w:hideMark/>
          </w:tcPr>
          <w:p w:rsidR="008025F3" w:rsidRPr="00DE475B" w:rsidRDefault="008025F3" w:rsidP="005554A8">
            <w:pPr>
              <w:jc w:val="right"/>
              <w:rPr>
                <w:rFonts w:ascii="Arial" w:hAnsi="Arial" w:cs="Arial"/>
                <w:sz w:val="18"/>
                <w:szCs w:val="18"/>
              </w:rPr>
            </w:pPr>
            <w:r w:rsidRPr="00DE475B">
              <w:rPr>
                <w:rFonts w:ascii="Arial" w:hAnsi="Arial" w:cs="Arial"/>
                <w:sz w:val="18"/>
                <w:szCs w:val="18"/>
              </w:rPr>
              <w:t> </w:t>
            </w:r>
          </w:p>
        </w:tc>
        <w:tc>
          <w:tcPr>
            <w:tcW w:w="1011" w:type="dxa"/>
            <w:tcBorders>
              <w:top w:val="single" w:sz="4" w:space="0" w:color="000000"/>
              <w:bottom w:val="nil"/>
            </w:tcBorders>
            <w:shd w:val="clear" w:color="auto" w:fill="auto"/>
            <w:noWrap/>
            <w:tcMar>
              <w:top w:w="28" w:type="dxa"/>
              <w:bottom w:w="28" w:type="dxa"/>
            </w:tcMar>
            <w:vAlign w:val="center"/>
            <w:hideMark/>
          </w:tcPr>
          <w:p w:rsidR="008025F3" w:rsidRPr="00DE475B" w:rsidRDefault="008025F3" w:rsidP="005554A8">
            <w:pPr>
              <w:jc w:val="right"/>
              <w:rPr>
                <w:rFonts w:ascii="Arial" w:hAnsi="Arial" w:cs="Arial"/>
                <w:sz w:val="18"/>
                <w:szCs w:val="18"/>
              </w:rPr>
            </w:pPr>
            <w:r w:rsidRPr="00DE475B">
              <w:rPr>
                <w:rFonts w:ascii="Arial" w:hAnsi="Arial" w:cs="Arial"/>
                <w:sz w:val="18"/>
                <w:szCs w:val="18"/>
              </w:rPr>
              <w:t> </w:t>
            </w:r>
          </w:p>
        </w:tc>
      </w:tr>
      <w:tr w:rsidR="008025F3" w:rsidRPr="00DE475B" w:rsidTr="00576782">
        <w:trPr>
          <w:trHeight w:val="255"/>
        </w:trPr>
        <w:tc>
          <w:tcPr>
            <w:tcW w:w="2438" w:type="dxa"/>
            <w:tcBorders>
              <w:top w:val="nil"/>
              <w:bottom w:val="nil"/>
            </w:tcBorders>
            <w:shd w:val="clear" w:color="auto" w:fill="auto"/>
            <w:noWrap/>
            <w:tcMar>
              <w:top w:w="28" w:type="dxa"/>
              <w:bottom w:w="28" w:type="dxa"/>
            </w:tcMar>
            <w:vAlign w:val="center"/>
            <w:hideMark/>
          </w:tcPr>
          <w:p w:rsidR="008025F3" w:rsidRPr="00DE475B" w:rsidRDefault="008025F3" w:rsidP="003D320F">
            <w:pPr>
              <w:rPr>
                <w:rFonts w:ascii="Arial" w:hAnsi="Arial" w:cs="Arial"/>
                <w:sz w:val="18"/>
                <w:szCs w:val="18"/>
              </w:rPr>
            </w:pPr>
            <w:r w:rsidRPr="00DE475B">
              <w:rPr>
                <w:rFonts w:ascii="Arial" w:hAnsi="Arial" w:cs="Arial"/>
                <w:sz w:val="18"/>
                <w:szCs w:val="18"/>
              </w:rPr>
              <w:t>Current</w:t>
            </w:r>
          </w:p>
        </w:tc>
        <w:tc>
          <w:tcPr>
            <w:tcW w:w="1032"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56</w:t>
            </w:r>
          </w:p>
        </w:tc>
        <w:tc>
          <w:tcPr>
            <w:tcW w:w="1011"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82"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1</w:t>
            </w:r>
          </w:p>
        </w:tc>
        <w:tc>
          <w:tcPr>
            <w:tcW w:w="1215"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7</w:t>
            </w:r>
          </w:p>
        </w:tc>
        <w:tc>
          <w:tcPr>
            <w:tcW w:w="1108"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11"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64</w:t>
            </w:r>
          </w:p>
        </w:tc>
      </w:tr>
      <w:tr w:rsidR="008025F3" w:rsidRPr="00DE475B" w:rsidTr="00576782">
        <w:trPr>
          <w:trHeight w:val="255"/>
        </w:trPr>
        <w:tc>
          <w:tcPr>
            <w:tcW w:w="2438" w:type="dxa"/>
            <w:tcBorders>
              <w:top w:val="nil"/>
              <w:bottom w:val="single" w:sz="4" w:space="0" w:color="000000"/>
            </w:tcBorders>
            <w:shd w:val="clear" w:color="auto" w:fill="auto"/>
            <w:noWrap/>
            <w:tcMar>
              <w:top w:w="28" w:type="dxa"/>
              <w:bottom w:w="28" w:type="dxa"/>
            </w:tcMar>
            <w:vAlign w:val="center"/>
            <w:hideMark/>
          </w:tcPr>
          <w:p w:rsidR="008025F3" w:rsidRPr="00DE475B" w:rsidRDefault="008025F3" w:rsidP="003D320F">
            <w:pPr>
              <w:rPr>
                <w:rFonts w:ascii="Arial" w:hAnsi="Arial" w:cs="Arial"/>
                <w:sz w:val="18"/>
                <w:szCs w:val="18"/>
              </w:rPr>
            </w:pPr>
            <w:r w:rsidRPr="00DE475B">
              <w:rPr>
                <w:rFonts w:ascii="Arial" w:hAnsi="Arial" w:cs="Arial"/>
                <w:sz w:val="18"/>
                <w:szCs w:val="18"/>
              </w:rPr>
              <w:t>Former</w:t>
            </w:r>
          </w:p>
        </w:tc>
        <w:tc>
          <w:tcPr>
            <w:tcW w:w="1032"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66</w:t>
            </w:r>
          </w:p>
        </w:tc>
        <w:tc>
          <w:tcPr>
            <w:tcW w:w="1011"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82"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1</w:t>
            </w:r>
          </w:p>
        </w:tc>
        <w:tc>
          <w:tcPr>
            <w:tcW w:w="1215"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8</w:t>
            </w:r>
          </w:p>
        </w:tc>
        <w:tc>
          <w:tcPr>
            <w:tcW w:w="1108"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10</w:t>
            </w:r>
          </w:p>
        </w:tc>
        <w:tc>
          <w:tcPr>
            <w:tcW w:w="1011" w:type="dxa"/>
            <w:tcBorders>
              <w:top w:val="nil"/>
              <w:bottom w:val="single" w:sz="4" w:space="0" w:color="000000"/>
            </w:tcBorders>
            <w:shd w:val="clear" w:color="auto" w:fill="auto"/>
            <w:noWrap/>
            <w:tcMar>
              <w:top w:w="28" w:type="dxa"/>
              <w:bottom w:w="28" w:type="dxa"/>
            </w:tcMar>
            <w:vAlign w:val="center"/>
          </w:tcPr>
          <w:p w:rsidR="008025F3" w:rsidRPr="00DE475B" w:rsidRDefault="009B61E7" w:rsidP="00922D80">
            <w:pPr>
              <w:jc w:val="right"/>
              <w:rPr>
                <w:rFonts w:ascii="Arial" w:hAnsi="Arial" w:cs="Arial"/>
                <w:sz w:val="20"/>
                <w:szCs w:val="20"/>
              </w:rPr>
            </w:pPr>
            <w:r>
              <w:rPr>
                <w:rFonts w:ascii="Arial" w:hAnsi="Arial" w:cs="Arial"/>
                <w:sz w:val="20"/>
                <w:szCs w:val="20"/>
              </w:rPr>
              <w:t>85</w:t>
            </w:r>
          </w:p>
        </w:tc>
      </w:tr>
      <w:tr w:rsidR="008025F3" w:rsidRPr="00DE475B" w:rsidTr="00576782">
        <w:trPr>
          <w:trHeight w:val="255"/>
        </w:trPr>
        <w:tc>
          <w:tcPr>
            <w:tcW w:w="4481" w:type="dxa"/>
            <w:gridSpan w:val="3"/>
            <w:tcBorders>
              <w:top w:val="single" w:sz="4" w:space="0" w:color="000000"/>
              <w:bottom w:val="nil"/>
            </w:tcBorders>
            <w:shd w:val="clear" w:color="auto" w:fill="auto"/>
            <w:noWrap/>
            <w:tcMar>
              <w:top w:w="28" w:type="dxa"/>
              <w:bottom w:w="28" w:type="dxa"/>
            </w:tcMar>
            <w:vAlign w:val="center"/>
            <w:hideMark/>
          </w:tcPr>
          <w:p w:rsidR="008025F3" w:rsidRPr="00DE475B" w:rsidRDefault="008025F3" w:rsidP="003D320F">
            <w:pPr>
              <w:rPr>
                <w:rFonts w:ascii="Arial" w:hAnsi="Arial" w:cs="Arial"/>
                <w:i/>
                <w:sz w:val="20"/>
                <w:szCs w:val="20"/>
              </w:rPr>
            </w:pPr>
            <w:r w:rsidRPr="00DE475B">
              <w:rPr>
                <w:rFonts w:ascii="Arial" w:hAnsi="Arial" w:cs="Arial"/>
                <w:i/>
                <w:sz w:val="20"/>
                <w:szCs w:val="20"/>
              </w:rPr>
              <w:t>Executive Manager, People and Planning </w:t>
            </w:r>
            <w:r w:rsidRPr="00DE475B">
              <w:rPr>
                <w:rFonts w:ascii="Arial" w:hAnsi="Arial" w:cs="Arial"/>
                <w:sz w:val="20"/>
                <w:szCs w:val="20"/>
              </w:rPr>
              <w:t> </w:t>
            </w:r>
          </w:p>
        </w:tc>
        <w:tc>
          <w:tcPr>
            <w:tcW w:w="1082" w:type="dxa"/>
            <w:tcBorders>
              <w:top w:val="single" w:sz="4" w:space="0" w:color="000000"/>
              <w:bottom w:val="nil"/>
            </w:tcBorders>
            <w:shd w:val="clear" w:color="auto" w:fill="auto"/>
            <w:noWrap/>
            <w:tcMar>
              <w:top w:w="28" w:type="dxa"/>
              <w:bottom w:w="28" w:type="dxa"/>
            </w:tcMar>
            <w:vAlign w:val="center"/>
            <w:hideMark/>
          </w:tcPr>
          <w:p w:rsidR="008025F3" w:rsidRPr="00DE475B" w:rsidRDefault="008025F3" w:rsidP="005554A8">
            <w:pPr>
              <w:jc w:val="right"/>
              <w:rPr>
                <w:rFonts w:ascii="Arial" w:hAnsi="Arial" w:cs="Arial"/>
                <w:sz w:val="18"/>
                <w:szCs w:val="18"/>
              </w:rPr>
            </w:pPr>
            <w:r w:rsidRPr="00DE475B">
              <w:rPr>
                <w:rFonts w:ascii="Arial" w:hAnsi="Arial" w:cs="Arial"/>
                <w:sz w:val="18"/>
                <w:szCs w:val="18"/>
              </w:rPr>
              <w:t> </w:t>
            </w:r>
          </w:p>
        </w:tc>
        <w:tc>
          <w:tcPr>
            <w:tcW w:w="1215" w:type="dxa"/>
            <w:tcBorders>
              <w:top w:val="single" w:sz="4" w:space="0" w:color="000000"/>
              <w:bottom w:val="nil"/>
            </w:tcBorders>
            <w:shd w:val="clear" w:color="auto" w:fill="auto"/>
            <w:noWrap/>
            <w:tcMar>
              <w:top w:w="28" w:type="dxa"/>
              <w:bottom w:w="28" w:type="dxa"/>
            </w:tcMar>
            <w:vAlign w:val="center"/>
            <w:hideMark/>
          </w:tcPr>
          <w:p w:rsidR="008025F3" w:rsidRPr="00DE475B" w:rsidRDefault="008025F3" w:rsidP="005554A8">
            <w:pPr>
              <w:jc w:val="right"/>
              <w:rPr>
                <w:rFonts w:ascii="Arial" w:hAnsi="Arial" w:cs="Arial"/>
                <w:sz w:val="18"/>
                <w:szCs w:val="18"/>
              </w:rPr>
            </w:pPr>
            <w:r w:rsidRPr="00DE475B">
              <w:rPr>
                <w:rFonts w:ascii="Arial" w:hAnsi="Arial" w:cs="Arial"/>
                <w:sz w:val="18"/>
                <w:szCs w:val="18"/>
              </w:rPr>
              <w:t> </w:t>
            </w:r>
          </w:p>
        </w:tc>
        <w:tc>
          <w:tcPr>
            <w:tcW w:w="1108" w:type="dxa"/>
            <w:tcBorders>
              <w:top w:val="single" w:sz="4" w:space="0" w:color="000000"/>
              <w:bottom w:val="nil"/>
            </w:tcBorders>
            <w:shd w:val="clear" w:color="auto" w:fill="auto"/>
            <w:noWrap/>
            <w:tcMar>
              <w:top w:w="28" w:type="dxa"/>
              <w:bottom w:w="28" w:type="dxa"/>
            </w:tcMar>
            <w:vAlign w:val="center"/>
            <w:hideMark/>
          </w:tcPr>
          <w:p w:rsidR="008025F3" w:rsidRPr="00DE475B" w:rsidRDefault="008025F3" w:rsidP="005554A8">
            <w:pPr>
              <w:jc w:val="right"/>
              <w:rPr>
                <w:rFonts w:ascii="Arial" w:hAnsi="Arial" w:cs="Arial"/>
                <w:sz w:val="18"/>
                <w:szCs w:val="18"/>
              </w:rPr>
            </w:pPr>
            <w:r w:rsidRPr="00DE475B">
              <w:rPr>
                <w:rFonts w:ascii="Arial" w:hAnsi="Arial" w:cs="Arial"/>
                <w:sz w:val="18"/>
                <w:szCs w:val="18"/>
              </w:rPr>
              <w:t> </w:t>
            </w:r>
          </w:p>
        </w:tc>
        <w:tc>
          <w:tcPr>
            <w:tcW w:w="1011" w:type="dxa"/>
            <w:tcBorders>
              <w:top w:val="single" w:sz="4" w:space="0" w:color="000000"/>
              <w:bottom w:val="nil"/>
            </w:tcBorders>
            <w:shd w:val="clear" w:color="auto" w:fill="auto"/>
            <w:noWrap/>
            <w:tcMar>
              <w:top w:w="28" w:type="dxa"/>
              <w:bottom w:w="28" w:type="dxa"/>
            </w:tcMar>
            <w:vAlign w:val="center"/>
            <w:hideMark/>
          </w:tcPr>
          <w:p w:rsidR="008025F3" w:rsidRPr="00DE475B" w:rsidRDefault="008025F3" w:rsidP="005554A8">
            <w:pPr>
              <w:jc w:val="right"/>
              <w:rPr>
                <w:rFonts w:ascii="Arial" w:hAnsi="Arial" w:cs="Arial"/>
                <w:sz w:val="18"/>
                <w:szCs w:val="18"/>
              </w:rPr>
            </w:pPr>
            <w:r w:rsidRPr="00DE475B">
              <w:rPr>
                <w:rFonts w:ascii="Arial" w:hAnsi="Arial" w:cs="Arial"/>
                <w:sz w:val="18"/>
                <w:szCs w:val="18"/>
              </w:rPr>
              <w:t> </w:t>
            </w:r>
          </w:p>
        </w:tc>
      </w:tr>
      <w:tr w:rsidR="008025F3" w:rsidRPr="00DE475B" w:rsidTr="00576782">
        <w:trPr>
          <w:trHeight w:val="255"/>
        </w:trPr>
        <w:tc>
          <w:tcPr>
            <w:tcW w:w="2438" w:type="dxa"/>
            <w:tcBorders>
              <w:top w:val="nil"/>
              <w:bottom w:val="nil"/>
            </w:tcBorders>
            <w:shd w:val="clear" w:color="auto" w:fill="auto"/>
            <w:noWrap/>
            <w:tcMar>
              <w:top w:w="28" w:type="dxa"/>
              <w:bottom w:w="28" w:type="dxa"/>
            </w:tcMar>
            <w:vAlign w:val="center"/>
            <w:hideMark/>
          </w:tcPr>
          <w:p w:rsidR="008025F3" w:rsidRPr="00DE475B" w:rsidRDefault="008025F3" w:rsidP="003D320F">
            <w:pPr>
              <w:rPr>
                <w:rFonts w:ascii="Arial" w:hAnsi="Arial" w:cs="Arial"/>
                <w:sz w:val="18"/>
                <w:szCs w:val="18"/>
              </w:rPr>
            </w:pPr>
            <w:r w:rsidRPr="00DE475B">
              <w:rPr>
                <w:rFonts w:ascii="Arial" w:hAnsi="Arial" w:cs="Arial"/>
                <w:sz w:val="18"/>
                <w:szCs w:val="18"/>
              </w:rPr>
              <w:t>Current</w:t>
            </w:r>
          </w:p>
        </w:tc>
        <w:tc>
          <w:tcPr>
            <w:tcW w:w="1032" w:type="dxa"/>
            <w:tcBorders>
              <w:top w:val="nil"/>
              <w:bottom w:val="nil"/>
            </w:tcBorders>
            <w:shd w:val="clear" w:color="auto" w:fill="auto"/>
            <w:noWrap/>
            <w:tcMar>
              <w:top w:w="28" w:type="dxa"/>
              <w:bottom w:w="28" w:type="dxa"/>
            </w:tcMar>
            <w:vAlign w:val="center"/>
          </w:tcPr>
          <w:p w:rsidR="008025F3" w:rsidRPr="00DE475B" w:rsidRDefault="009B61E7" w:rsidP="00922D80">
            <w:pPr>
              <w:jc w:val="right"/>
              <w:rPr>
                <w:rFonts w:ascii="Arial" w:hAnsi="Arial" w:cs="Arial"/>
                <w:sz w:val="20"/>
                <w:szCs w:val="20"/>
              </w:rPr>
            </w:pPr>
            <w:r>
              <w:rPr>
                <w:rFonts w:ascii="Arial" w:hAnsi="Arial" w:cs="Arial"/>
                <w:sz w:val="20"/>
                <w:szCs w:val="20"/>
              </w:rPr>
              <w:t>138</w:t>
            </w:r>
          </w:p>
        </w:tc>
        <w:tc>
          <w:tcPr>
            <w:tcW w:w="1011"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82"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3</w:t>
            </w:r>
          </w:p>
        </w:tc>
        <w:tc>
          <w:tcPr>
            <w:tcW w:w="1215" w:type="dxa"/>
            <w:tcBorders>
              <w:top w:val="nil"/>
              <w:bottom w:val="nil"/>
            </w:tcBorders>
            <w:shd w:val="clear" w:color="auto" w:fill="auto"/>
            <w:noWrap/>
            <w:tcMar>
              <w:top w:w="28" w:type="dxa"/>
              <w:bottom w:w="28" w:type="dxa"/>
            </w:tcMar>
            <w:vAlign w:val="center"/>
          </w:tcPr>
          <w:p w:rsidR="008025F3" w:rsidRPr="00DE475B" w:rsidRDefault="009B61E7" w:rsidP="00922D80">
            <w:pPr>
              <w:jc w:val="right"/>
              <w:rPr>
                <w:rFonts w:ascii="Arial" w:hAnsi="Arial" w:cs="Arial"/>
                <w:sz w:val="20"/>
                <w:szCs w:val="20"/>
              </w:rPr>
            </w:pPr>
            <w:r>
              <w:rPr>
                <w:rFonts w:ascii="Arial" w:hAnsi="Arial" w:cs="Arial"/>
                <w:sz w:val="20"/>
                <w:szCs w:val="20"/>
              </w:rPr>
              <w:t>15</w:t>
            </w:r>
          </w:p>
        </w:tc>
        <w:tc>
          <w:tcPr>
            <w:tcW w:w="1108" w:type="dxa"/>
            <w:tcBorders>
              <w:top w:val="nil"/>
              <w:bottom w:val="nil"/>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11" w:type="dxa"/>
            <w:tcBorders>
              <w:top w:val="nil"/>
              <w:bottom w:val="nil"/>
            </w:tcBorders>
            <w:shd w:val="clear" w:color="auto" w:fill="auto"/>
            <w:noWrap/>
            <w:tcMar>
              <w:top w:w="28" w:type="dxa"/>
              <w:bottom w:w="28" w:type="dxa"/>
            </w:tcMar>
            <w:vAlign w:val="center"/>
          </w:tcPr>
          <w:p w:rsidR="008025F3" w:rsidRPr="00DE475B" w:rsidRDefault="009B61E7" w:rsidP="00922D80">
            <w:pPr>
              <w:jc w:val="right"/>
              <w:rPr>
                <w:rFonts w:ascii="Arial" w:hAnsi="Arial" w:cs="Arial"/>
                <w:sz w:val="20"/>
                <w:szCs w:val="20"/>
              </w:rPr>
            </w:pPr>
            <w:r>
              <w:rPr>
                <w:rFonts w:ascii="Arial" w:hAnsi="Arial" w:cs="Arial"/>
                <w:sz w:val="20"/>
                <w:szCs w:val="20"/>
              </w:rPr>
              <w:t>156</w:t>
            </w:r>
          </w:p>
        </w:tc>
      </w:tr>
      <w:tr w:rsidR="008025F3" w:rsidRPr="00DE475B" w:rsidTr="00576782">
        <w:trPr>
          <w:trHeight w:val="255"/>
        </w:trPr>
        <w:tc>
          <w:tcPr>
            <w:tcW w:w="2438" w:type="dxa"/>
            <w:tcBorders>
              <w:top w:val="nil"/>
              <w:bottom w:val="single" w:sz="4" w:space="0" w:color="000000"/>
            </w:tcBorders>
            <w:shd w:val="clear" w:color="auto" w:fill="auto"/>
            <w:noWrap/>
            <w:tcMar>
              <w:top w:w="28" w:type="dxa"/>
              <w:bottom w:w="28" w:type="dxa"/>
            </w:tcMar>
            <w:vAlign w:val="center"/>
            <w:hideMark/>
          </w:tcPr>
          <w:p w:rsidR="008025F3" w:rsidRPr="00DE475B" w:rsidRDefault="008025F3" w:rsidP="003D320F">
            <w:pPr>
              <w:rPr>
                <w:rFonts w:ascii="Arial" w:hAnsi="Arial" w:cs="Arial"/>
                <w:sz w:val="18"/>
                <w:szCs w:val="18"/>
              </w:rPr>
            </w:pPr>
            <w:r w:rsidRPr="00DE475B">
              <w:rPr>
                <w:rFonts w:ascii="Arial" w:hAnsi="Arial" w:cs="Arial"/>
                <w:sz w:val="18"/>
                <w:szCs w:val="18"/>
              </w:rPr>
              <w:t>Temporary Relieving</w:t>
            </w:r>
          </w:p>
        </w:tc>
        <w:tc>
          <w:tcPr>
            <w:tcW w:w="1032"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3</w:t>
            </w:r>
          </w:p>
        </w:tc>
        <w:tc>
          <w:tcPr>
            <w:tcW w:w="1011"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82"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215" w:type="dxa"/>
            <w:tcBorders>
              <w:top w:val="nil"/>
              <w:bottom w:val="single" w:sz="4" w:space="0" w:color="000000"/>
            </w:tcBorders>
            <w:shd w:val="clear" w:color="auto" w:fill="auto"/>
            <w:noWrap/>
            <w:tcMar>
              <w:top w:w="28" w:type="dxa"/>
              <w:bottom w:w="28" w:type="dxa"/>
            </w:tcMar>
            <w:vAlign w:val="center"/>
          </w:tcPr>
          <w:p w:rsidR="008025F3" w:rsidRPr="00DE475B" w:rsidRDefault="009B61E7" w:rsidP="00CF0A33">
            <w:pPr>
              <w:jc w:val="right"/>
              <w:rPr>
                <w:rFonts w:ascii="Arial" w:hAnsi="Arial" w:cs="Arial"/>
                <w:sz w:val="20"/>
                <w:szCs w:val="20"/>
              </w:rPr>
            </w:pPr>
            <w:r>
              <w:rPr>
                <w:rFonts w:ascii="Arial" w:hAnsi="Arial" w:cs="Arial"/>
                <w:sz w:val="20"/>
                <w:szCs w:val="20"/>
              </w:rPr>
              <w:t>-</w:t>
            </w:r>
          </w:p>
        </w:tc>
        <w:tc>
          <w:tcPr>
            <w:tcW w:w="1108" w:type="dxa"/>
            <w:tcBorders>
              <w:top w:val="nil"/>
              <w:bottom w:val="single" w:sz="4"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11" w:type="dxa"/>
            <w:tcBorders>
              <w:top w:val="nil"/>
              <w:bottom w:val="single" w:sz="4" w:space="0" w:color="000000"/>
            </w:tcBorders>
            <w:shd w:val="clear" w:color="auto" w:fill="auto"/>
            <w:noWrap/>
            <w:tcMar>
              <w:top w:w="28" w:type="dxa"/>
              <w:bottom w:w="28" w:type="dxa"/>
            </w:tcMar>
            <w:vAlign w:val="center"/>
          </w:tcPr>
          <w:p w:rsidR="008025F3" w:rsidRPr="00DE475B" w:rsidRDefault="009B61E7" w:rsidP="00922D80">
            <w:pPr>
              <w:jc w:val="right"/>
              <w:rPr>
                <w:rFonts w:ascii="Arial" w:hAnsi="Arial" w:cs="Arial"/>
                <w:sz w:val="20"/>
                <w:szCs w:val="20"/>
              </w:rPr>
            </w:pPr>
            <w:r>
              <w:rPr>
                <w:rFonts w:ascii="Arial" w:hAnsi="Arial" w:cs="Arial"/>
                <w:sz w:val="20"/>
                <w:szCs w:val="20"/>
              </w:rPr>
              <w:t>3</w:t>
            </w:r>
          </w:p>
        </w:tc>
      </w:tr>
      <w:tr w:rsidR="008025F3" w:rsidRPr="00DE475B" w:rsidTr="00576782">
        <w:trPr>
          <w:trHeight w:val="255"/>
        </w:trPr>
        <w:tc>
          <w:tcPr>
            <w:tcW w:w="5563" w:type="dxa"/>
            <w:gridSpan w:val="4"/>
            <w:tcBorders>
              <w:top w:val="single" w:sz="4" w:space="0" w:color="000000"/>
              <w:bottom w:val="nil"/>
            </w:tcBorders>
            <w:shd w:val="clear" w:color="auto" w:fill="auto"/>
            <w:noWrap/>
            <w:tcMar>
              <w:top w:w="28" w:type="dxa"/>
              <w:bottom w:w="28" w:type="dxa"/>
            </w:tcMar>
            <w:vAlign w:val="center"/>
            <w:hideMark/>
          </w:tcPr>
          <w:p w:rsidR="008025F3" w:rsidRPr="00DE475B" w:rsidRDefault="008025F3" w:rsidP="005554A8">
            <w:pPr>
              <w:rPr>
                <w:rFonts w:ascii="Arial" w:hAnsi="Arial" w:cs="Arial"/>
                <w:i/>
                <w:sz w:val="20"/>
                <w:szCs w:val="20"/>
              </w:rPr>
            </w:pPr>
            <w:r w:rsidRPr="00DE475B">
              <w:rPr>
                <w:rFonts w:ascii="Arial" w:hAnsi="Arial" w:cs="Arial"/>
                <w:i/>
                <w:sz w:val="20"/>
                <w:szCs w:val="20"/>
              </w:rPr>
              <w:t>Director, Queensland Library Foundation</w:t>
            </w:r>
          </w:p>
        </w:tc>
        <w:tc>
          <w:tcPr>
            <w:tcW w:w="1215" w:type="dxa"/>
            <w:tcBorders>
              <w:top w:val="single" w:sz="4" w:space="0" w:color="000000"/>
              <w:bottom w:val="nil"/>
            </w:tcBorders>
            <w:shd w:val="clear" w:color="auto" w:fill="auto"/>
            <w:noWrap/>
            <w:tcMar>
              <w:top w:w="28" w:type="dxa"/>
              <w:bottom w:w="28" w:type="dxa"/>
            </w:tcMar>
            <w:vAlign w:val="center"/>
            <w:hideMark/>
          </w:tcPr>
          <w:p w:rsidR="008025F3" w:rsidRPr="00DE475B" w:rsidRDefault="008025F3" w:rsidP="005554A8">
            <w:pPr>
              <w:jc w:val="right"/>
              <w:rPr>
                <w:rFonts w:ascii="Arial" w:hAnsi="Arial" w:cs="Arial"/>
                <w:sz w:val="18"/>
                <w:szCs w:val="18"/>
              </w:rPr>
            </w:pPr>
            <w:r w:rsidRPr="00DE475B">
              <w:rPr>
                <w:rFonts w:ascii="Arial" w:hAnsi="Arial" w:cs="Arial"/>
                <w:sz w:val="18"/>
                <w:szCs w:val="18"/>
              </w:rPr>
              <w:t> </w:t>
            </w:r>
          </w:p>
        </w:tc>
        <w:tc>
          <w:tcPr>
            <w:tcW w:w="1108" w:type="dxa"/>
            <w:tcBorders>
              <w:top w:val="single" w:sz="4" w:space="0" w:color="000000"/>
              <w:bottom w:val="nil"/>
            </w:tcBorders>
            <w:shd w:val="clear" w:color="auto" w:fill="auto"/>
            <w:noWrap/>
            <w:tcMar>
              <w:top w:w="28" w:type="dxa"/>
              <w:bottom w:w="28" w:type="dxa"/>
            </w:tcMar>
            <w:vAlign w:val="center"/>
            <w:hideMark/>
          </w:tcPr>
          <w:p w:rsidR="008025F3" w:rsidRPr="00DE475B" w:rsidRDefault="008025F3" w:rsidP="005554A8">
            <w:pPr>
              <w:jc w:val="right"/>
              <w:rPr>
                <w:rFonts w:ascii="Arial" w:hAnsi="Arial" w:cs="Arial"/>
                <w:sz w:val="18"/>
                <w:szCs w:val="18"/>
              </w:rPr>
            </w:pPr>
            <w:r w:rsidRPr="00DE475B">
              <w:rPr>
                <w:rFonts w:ascii="Arial" w:hAnsi="Arial" w:cs="Arial"/>
                <w:sz w:val="18"/>
                <w:szCs w:val="18"/>
              </w:rPr>
              <w:t> </w:t>
            </w:r>
          </w:p>
        </w:tc>
        <w:tc>
          <w:tcPr>
            <w:tcW w:w="1011" w:type="dxa"/>
            <w:tcBorders>
              <w:top w:val="single" w:sz="4" w:space="0" w:color="000000"/>
              <w:bottom w:val="nil"/>
            </w:tcBorders>
            <w:shd w:val="clear" w:color="auto" w:fill="auto"/>
            <w:noWrap/>
            <w:tcMar>
              <w:top w:w="28" w:type="dxa"/>
              <w:bottom w:w="28" w:type="dxa"/>
            </w:tcMar>
            <w:vAlign w:val="center"/>
            <w:hideMark/>
          </w:tcPr>
          <w:p w:rsidR="008025F3" w:rsidRPr="00DE475B" w:rsidRDefault="008025F3" w:rsidP="005554A8">
            <w:pPr>
              <w:jc w:val="right"/>
              <w:rPr>
                <w:rFonts w:ascii="Arial" w:hAnsi="Arial" w:cs="Arial"/>
                <w:sz w:val="18"/>
                <w:szCs w:val="18"/>
              </w:rPr>
            </w:pPr>
            <w:r w:rsidRPr="00DE475B">
              <w:rPr>
                <w:rFonts w:ascii="Arial" w:hAnsi="Arial" w:cs="Arial"/>
                <w:sz w:val="18"/>
                <w:szCs w:val="18"/>
              </w:rPr>
              <w:t> </w:t>
            </w:r>
          </w:p>
        </w:tc>
      </w:tr>
      <w:tr w:rsidR="008025F3" w:rsidRPr="00DE475B" w:rsidTr="00576782">
        <w:trPr>
          <w:trHeight w:val="255"/>
        </w:trPr>
        <w:tc>
          <w:tcPr>
            <w:tcW w:w="2438" w:type="dxa"/>
            <w:tcBorders>
              <w:top w:val="nil"/>
              <w:bottom w:val="single" w:sz="8" w:space="0" w:color="000000"/>
            </w:tcBorders>
            <w:shd w:val="clear" w:color="auto" w:fill="auto"/>
            <w:noWrap/>
            <w:tcMar>
              <w:top w:w="28" w:type="dxa"/>
              <w:bottom w:w="28" w:type="dxa"/>
            </w:tcMar>
            <w:vAlign w:val="center"/>
            <w:hideMark/>
          </w:tcPr>
          <w:p w:rsidR="008025F3" w:rsidRPr="00DE475B" w:rsidRDefault="008025F3" w:rsidP="003D320F">
            <w:pPr>
              <w:rPr>
                <w:rFonts w:ascii="Arial" w:hAnsi="Arial" w:cs="Arial"/>
                <w:sz w:val="18"/>
                <w:szCs w:val="18"/>
              </w:rPr>
            </w:pPr>
            <w:r w:rsidRPr="00DE475B">
              <w:rPr>
                <w:rFonts w:ascii="Arial" w:hAnsi="Arial" w:cs="Arial"/>
                <w:sz w:val="18"/>
                <w:szCs w:val="18"/>
              </w:rPr>
              <w:t>Current</w:t>
            </w:r>
          </w:p>
        </w:tc>
        <w:tc>
          <w:tcPr>
            <w:tcW w:w="1032" w:type="dxa"/>
            <w:tcBorders>
              <w:top w:val="nil"/>
              <w:bottom w:val="single" w:sz="8"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118</w:t>
            </w:r>
          </w:p>
        </w:tc>
        <w:tc>
          <w:tcPr>
            <w:tcW w:w="1011" w:type="dxa"/>
            <w:tcBorders>
              <w:top w:val="nil"/>
              <w:bottom w:val="single" w:sz="8"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w:t>
            </w:r>
          </w:p>
        </w:tc>
        <w:tc>
          <w:tcPr>
            <w:tcW w:w="1082" w:type="dxa"/>
            <w:tcBorders>
              <w:top w:val="nil"/>
              <w:bottom w:val="single" w:sz="8"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2</w:t>
            </w:r>
          </w:p>
        </w:tc>
        <w:tc>
          <w:tcPr>
            <w:tcW w:w="1215" w:type="dxa"/>
            <w:tcBorders>
              <w:top w:val="nil"/>
              <w:bottom w:val="single" w:sz="8" w:space="0" w:color="000000"/>
            </w:tcBorders>
            <w:shd w:val="clear" w:color="auto" w:fill="auto"/>
            <w:noWrap/>
            <w:tcMar>
              <w:top w:w="28" w:type="dxa"/>
              <w:bottom w:w="28" w:type="dxa"/>
            </w:tcMar>
            <w:vAlign w:val="center"/>
          </w:tcPr>
          <w:p w:rsidR="008025F3" w:rsidRPr="00DE475B" w:rsidRDefault="009B61E7" w:rsidP="005554A8">
            <w:pPr>
              <w:jc w:val="right"/>
              <w:rPr>
                <w:rFonts w:ascii="Arial" w:hAnsi="Arial" w:cs="Arial"/>
                <w:sz w:val="20"/>
                <w:szCs w:val="20"/>
              </w:rPr>
            </w:pPr>
            <w:r>
              <w:rPr>
                <w:rFonts w:ascii="Arial" w:hAnsi="Arial" w:cs="Arial"/>
                <w:sz w:val="20"/>
                <w:szCs w:val="20"/>
              </w:rPr>
              <w:t>14</w:t>
            </w:r>
          </w:p>
        </w:tc>
        <w:tc>
          <w:tcPr>
            <w:tcW w:w="1108" w:type="dxa"/>
            <w:tcBorders>
              <w:top w:val="nil"/>
              <w:bottom w:val="single" w:sz="8" w:space="0" w:color="000000"/>
            </w:tcBorders>
            <w:shd w:val="clear" w:color="auto" w:fill="auto"/>
            <w:noWrap/>
            <w:tcMar>
              <w:top w:w="28" w:type="dxa"/>
              <w:bottom w:w="28" w:type="dxa"/>
            </w:tcMar>
            <w:vAlign w:val="center"/>
          </w:tcPr>
          <w:p w:rsidR="008025F3" w:rsidRPr="00DE475B" w:rsidRDefault="009B61E7" w:rsidP="00FC1444">
            <w:pPr>
              <w:jc w:val="right"/>
              <w:rPr>
                <w:rFonts w:ascii="Arial" w:hAnsi="Arial" w:cs="Arial"/>
                <w:sz w:val="20"/>
                <w:szCs w:val="20"/>
              </w:rPr>
            </w:pPr>
            <w:r>
              <w:rPr>
                <w:rFonts w:ascii="Arial" w:hAnsi="Arial" w:cs="Arial"/>
                <w:sz w:val="20"/>
                <w:szCs w:val="20"/>
              </w:rPr>
              <w:t>-</w:t>
            </w:r>
          </w:p>
        </w:tc>
        <w:tc>
          <w:tcPr>
            <w:tcW w:w="1011" w:type="dxa"/>
            <w:tcBorders>
              <w:top w:val="nil"/>
              <w:bottom w:val="single" w:sz="8" w:space="0" w:color="000000"/>
            </w:tcBorders>
            <w:shd w:val="clear" w:color="auto" w:fill="auto"/>
            <w:noWrap/>
            <w:tcMar>
              <w:top w:w="28" w:type="dxa"/>
              <w:bottom w:w="28" w:type="dxa"/>
            </w:tcMar>
            <w:vAlign w:val="center"/>
          </w:tcPr>
          <w:p w:rsidR="008025F3" w:rsidRPr="00DE475B" w:rsidRDefault="009B61E7" w:rsidP="00FC1444">
            <w:pPr>
              <w:jc w:val="right"/>
              <w:rPr>
                <w:rFonts w:ascii="Arial" w:hAnsi="Arial" w:cs="Arial"/>
                <w:sz w:val="20"/>
                <w:szCs w:val="20"/>
              </w:rPr>
            </w:pPr>
            <w:r>
              <w:rPr>
                <w:rFonts w:ascii="Arial" w:hAnsi="Arial" w:cs="Arial"/>
                <w:sz w:val="20"/>
                <w:szCs w:val="20"/>
              </w:rPr>
              <w:t>134</w:t>
            </w:r>
          </w:p>
        </w:tc>
      </w:tr>
      <w:tr w:rsidR="008025F3" w:rsidRPr="00DE475B" w:rsidTr="00576782">
        <w:trPr>
          <w:trHeight w:val="255"/>
        </w:trPr>
        <w:tc>
          <w:tcPr>
            <w:tcW w:w="2438" w:type="dxa"/>
            <w:tcBorders>
              <w:top w:val="single" w:sz="8" w:space="0" w:color="000000"/>
              <w:bottom w:val="single" w:sz="8" w:space="0" w:color="000000"/>
            </w:tcBorders>
            <w:shd w:val="clear" w:color="auto" w:fill="auto"/>
            <w:tcMar>
              <w:top w:w="28" w:type="dxa"/>
              <w:bottom w:w="28" w:type="dxa"/>
            </w:tcMar>
            <w:vAlign w:val="center"/>
            <w:hideMark/>
          </w:tcPr>
          <w:p w:rsidR="008025F3" w:rsidRPr="00DE475B" w:rsidRDefault="008025F3" w:rsidP="003D320F">
            <w:pPr>
              <w:rPr>
                <w:rFonts w:ascii="Arial" w:hAnsi="Arial" w:cs="Arial"/>
                <w:b/>
                <w:bCs/>
                <w:sz w:val="20"/>
                <w:szCs w:val="20"/>
              </w:rPr>
            </w:pPr>
            <w:r w:rsidRPr="00DE475B">
              <w:rPr>
                <w:rFonts w:ascii="Arial" w:hAnsi="Arial" w:cs="Arial"/>
                <w:b/>
                <w:bCs/>
                <w:sz w:val="20"/>
                <w:szCs w:val="20"/>
              </w:rPr>
              <w:t xml:space="preserve">Total Remuneration </w:t>
            </w:r>
          </w:p>
        </w:tc>
        <w:tc>
          <w:tcPr>
            <w:tcW w:w="1032" w:type="dxa"/>
            <w:tcBorders>
              <w:top w:val="single" w:sz="8" w:space="0" w:color="000000"/>
              <w:bottom w:val="single" w:sz="8" w:space="0" w:color="000000"/>
            </w:tcBorders>
            <w:shd w:val="clear" w:color="auto" w:fill="auto"/>
            <w:noWrap/>
            <w:tcMar>
              <w:top w:w="28" w:type="dxa"/>
              <w:bottom w:w="28" w:type="dxa"/>
            </w:tcMar>
            <w:vAlign w:val="center"/>
          </w:tcPr>
          <w:p w:rsidR="008025F3" w:rsidRPr="00DE475B" w:rsidRDefault="009B61E7" w:rsidP="00FC1444">
            <w:pPr>
              <w:jc w:val="right"/>
              <w:rPr>
                <w:rFonts w:ascii="Arial" w:hAnsi="Arial" w:cs="Arial"/>
                <w:b/>
                <w:sz w:val="20"/>
                <w:szCs w:val="20"/>
              </w:rPr>
            </w:pPr>
            <w:r>
              <w:rPr>
                <w:rFonts w:ascii="Arial" w:hAnsi="Arial" w:cs="Arial"/>
                <w:b/>
                <w:sz w:val="20"/>
                <w:szCs w:val="20"/>
              </w:rPr>
              <w:t>1,408</w:t>
            </w:r>
          </w:p>
        </w:tc>
        <w:tc>
          <w:tcPr>
            <w:tcW w:w="1011" w:type="dxa"/>
            <w:tcBorders>
              <w:top w:val="single" w:sz="8" w:space="0" w:color="000000"/>
              <w:bottom w:val="single" w:sz="8" w:space="0" w:color="000000"/>
            </w:tcBorders>
            <w:shd w:val="clear" w:color="auto" w:fill="auto"/>
            <w:noWrap/>
            <w:tcMar>
              <w:top w:w="28" w:type="dxa"/>
              <w:bottom w:w="28" w:type="dxa"/>
            </w:tcMar>
            <w:vAlign w:val="center"/>
          </w:tcPr>
          <w:p w:rsidR="008025F3" w:rsidRPr="00DE475B" w:rsidRDefault="009B61E7" w:rsidP="00FC1444">
            <w:pPr>
              <w:jc w:val="right"/>
              <w:rPr>
                <w:rFonts w:ascii="Arial" w:hAnsi="Arial" w:cs="Arial"/>
                <w:b/>
                <w:sz w:val="20"/>
                <w:szCs w:val="20"/>
              </w:rPr>
            </w:pPr>
            <w:r>
              <w:rPr>
                <w:rFonts w:ascii="Arial" w:hAnsi="Arial" w:cs="Arial"/>
                <w:b/>
                <w:sz w:val="20"/>
                <w:szCs w:val="20"/>
              </w:rPr>
              <w:t>5</w:t>
            </w:r>
          </w:p>
        </w:tc>
        <w:tc>
          <w:tcPr>
            <w:tcW w:w="1082" w:type="dxa"/>
            <w:tcBorders>
              <w:top w:val="single" w:sz="8" w:space="0" w:color="000000"/>
              <w:bottom w:val="single" w:sz="8" w:space="0" w:color="000000"/>
            </w:tcBorders>
            <w:shd w:val="clear" w:color="auto" w:fill="auto"/>
            <w:noWrap/>
            <w:tcMar>
              <w:top w:w="28" w:type="dxa"/>
              <w:bottom w:w="28" w:type="dxa"/>
            </w:tcMar>
            <w:vAlign w:val="center"/>
          </w:tcPr>
          <w:p w:rsidR="008025F3" w:rsidRPr="00DE475B" w:rsidRDefault="009B61E7" w:rsidP="00922D80">
            <w:pPr>
              <w:jc w:val="right"/>
              <w:rPr>
                <w:rFonts w:ascii="Arial" w:hAnsi="Arial" w:cs="Arial"/>
                <w:b/>
                <w:sz w:val="20"/>
                <w:szCs w:val="20"/>
              </w:rPr>
            </w:pPr>
            <w:r>
              <w:rPr>
                <w:rFonts w:ascii="Arial" w:hAnsi="Arial" w:cs="Arial"/>
                <w:b/>
                <w:sz w:val="20"/>
                <w:szCs w:val="20"/>
              </w:rPr>
              <w:t>67</w:t>
            </w:r>
          </w:p>
        </w:tc>
        <w:tc>
          <w:tcPr>
            <w:tcW w:w="1215" w:type="dxa"/>
            <w:tcBorders>
              <w:top w:val="single" w:sz="8" w:space="0" w:color="000000"/>
              <w:bottom w:val="single" w:sz="8" w:space="0" w:color="000000"/>
            </w:tcBorders>
            <w:shd w:val="clear" w:color="auto" w:fill="auto"/>
            <w:noWrap/>
            <w:tcMar>
              <w:top w:w="28" w:type="dxa"/>
              <w:bottom w:w="28" w:type="dxa"/>
            </w:tcMar>
            <w:vAlign w:val="center"/>
          </w:tcPr>
          <w:p w:rsidR="008025F3" w:rsidRPr="00DE475B" w:rsidRDefault="009B61E7" w:rsidP="00922D80">
            <w:pPr>
              <w:jc w:val="right"/>
              <w:rPr>
                <w:rFonts w:ascii="Arial" w:hAnsi="Arial" w:cs="Arial"/>
                <w:b/>
                <w:sz w:val="20"/>
                <w:szCs w:val="20"/>
              </w:rPr>
            </w:pPr>
            <w:r>
              <w:rPr>
                <w:rFonts w:ascii="Arial" w:hAnsi="Arial" w:cs="Arial"/>
                <w:b/>
                <w:sz w:val="20"/>
                <w:szCs w:val="20"/>
              </w:rPr>
              <w:t>152</w:t>
            </w:r>
          </w:p>
        </w:tc>
        <w:tc>
          <w:tcPr>
            <w:tcW w:w="1108" w:type="dxa"/>
            <w:tcBorders>
              <w:top w:val="single" w:sz="8" w:space="0" w:color="000000"/>
              <w:bottom w:val="single" w:sz="8" w:space="0" w:color="000000"/>
            </w:tcBorders>
            <w:shd w:val="clear" w:color="auto" w:fill="auto"/>
            <w:noWrap/>
            <w:tcMar>
              <w:top w:w="28" w:type="dxa"/>
              <w:bottom w:w="28" w:type="dxa"/>
            </w:tcMar>
            <w:vAlign w:val="center"/>
          </w:tcPr>
          <w:p w:rsidR="008025F3" w:rsidRPr="00DE475B" w:rsidRDefault="009B61E7" w:rsidP="00922D80">
            <w:pPr>
              <w:jc w:val="right"/>
              <w:rPr>
                <w:rFonts w:ascii="Arial" w:hAnsi="Arial" w:cs="Arial"/>
                <w:b/>
                <w:sz w:val="20"/>
                <w:szCs w:val="20"/>
              </w:rPr>
            </w:pPr>
            <w:r>
              <w:rPr>
                <w:rFonts w:ascii="Arial" w:hAnsi="Arial" w:cs="Arial"/>
                <w:b/>
                <w:sz w:val="20"/>
                <w:szCs w:val="20"/>
              </w:rPr>
              <w:t>12</w:t>
            </w:r>
          </w:p>
        </w:tc>
        <w:tc>
          <w:tcPr>
            <w:tcW w:w="1011" w:type="dxa"/>
            <w:tcBorders>
              <w:top w:val="single" w:sz="8" w:space="0" w:color="000000"/>
              <w:bottom w:val="single" w:sz="8" w:space="0" w:color="000000"/>
            </w:tcBorders>
            <w:shd w:val="clear" w:color="auto" w:fill="auto"/>
            <w:noWrap/>
            <w:tcMar>
              <w:top w:w="28" w:type="dxa"/>
              <w:bottom w:w="28" w:type="dxa"/>
            </w:tcMar>
            <w:vAlign w:val="center"/>
          </w:tcPr>
          <w:p w:rsidR="008025F3" w:rsidRPr="00DE475B" w:rsidRDefault="009B61E7" w:rsidP="00922D80">
            <w:pPr>
              <w:jc w:val="right"/>
              <w:rPr>
                <w:rFonts w:ascii="Arial" w:hAnsi="Arial" w:cs="Arial"/>
                <w:b/>
                <w:sz w:val="20"/>
                <w:szCs w:val="20"/>
              </w:rPr>
            </w:pPr>
            <w:r>
              <w:rPr>
                <w:rFonts w:ascii="Arial" w:hAnsi="Arial" w:cs="Arial"/>
                <w:b/>
                <w:sz w:val="20"/>
                <w:szCs w:val="20"/>
              </w:rPr>
              <w:t>1,644</w:t>
            </w:r>
          </w:p>
        </w:tc>
      </w:tr>
    </w:tbl>
    <w:p w:rsidR="003564D3" w:rsidRPr="00DE475B" w:rsidRDefault="003564D3" w:rsidP="008A2DA8">
      <w:pPr>
        <w:pStyle w:val="ARbodytext"/>
      </w:pPr>
    </w:p>
    <w:p w:rsidR="008A2DA8" w:rsidRPr="00DE475B" w:rsidRDefault="005F0A6F" w:rsidP="008A2DA8">
      <w:pPr>
        <w:pStyle w:val="ARbodytext"/>
        <w:rPr>
          <w:b/>
          <w:bCs/>
        </w:rPr>
      </w:pPr>
      <w:r w:rsidRPr="00DE475B">
        <w:br w:type="page"/>
      </w:r>
      <w:r w:rsidR="008A2DA8" w:rsidRPr="00DE475B">
        <w:rPr>
          <w:b/>
          <w:bCs/>
          <w:i/>
          <w:iCs/>
        </w:rPr>
        <w:lastRenderedPageBreak/>
        <w:t>Library Board of Queensland and controlled entities</w:t>
      </w:r>
    </w:p>
    <w:p w:rsidR="008A2DA8" w:rsidRPr="00DE475B" w:rsidRDefault="00373FFE" w:rsidP="008A2DA8">
      <w:pPr>
        <w:rPr>
          <w:rFonts w:ascii="Arial" w:hAnsi="Arial" w:cs="Arial"/>
          <w:b/>
          <w:bCs/>
          <w:sz w:val="20"/>
          <w:szCs w:val="20"/>
        </w:rPr>
      </w:pPr>
      <w:r w:rsidRPr="00DE475B">
        <w:rPr>
          <w:noProof/>
          <w:lang w:eastAsia="en-AU"/>
        </w:rPr>
        <mc:AlternateContent>
          <mc:Choice Requires="wps">
            <w:drawing>
              <wp:anchor distT="0" distB="0" distL="114300" distR="114300" simplePos="0" relativeHeight="251692032" behindDoc="0" locked="0" layoutInCell="1" allowOverlap="1" wp14:anchorId="2C686F3A" wp14:editId="3D7FC615">
                <wp:simplePos x="0" y="0"/>
                <wp:positionH relativeFrom="column">
                  <wp:posOffset>-66040</wp:posOffset>
                </wp:positionH>
                <wp:positionV relativeFrom="paragraph">
                  <wp:posOffset>-222250</wp:posOffset>
                </wp:positionV>
                <wp:extent cx="5573395" cy="0"/>
                <wp:effectExtent l="13970" t="9525" r="13335" b="9525"/>
                <wp:wrapNone/>
                <wp:docPr id="9"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aCmgIAAHkFAAAOAAAAZHJzL2Uyb0RvYy54bWysVFFvmzAQfp+0/2D5nQKBJASVVC0he+m2&#10;Su20Z8c2wRrYzHZDoqn/fWcnYU33Mk1NJOSz787f3fedr2/2XYt2XBuhZIHjqwgjLqliQm4L/O1p&#10;HWQYGUskI62SvMAHbvDN8uOH66HP+UQ1qmVcI0giTT70BW6s7fMwNLThHTFXqucSDmulO2LB1NuQ&#10;aTJA9q4NJ1E0CwelWa8V5cbA7up4iJc+f11zar/WteEWtQUGbNZ/tf9u3DdcXpN8q0nfCHqCQf4D&#10;RUeEhEvHVCtiCXrW4q9UnaBaGVXbK6q6UNW1oNzXANXE0ZtqHhvSc18LNMf0Y5vM+6WlX3YPGglW&#10;4AVGknRA0b2QHE2yzPVm6E0OLqV80K46upeP/b2iPwySqmyI3HKP8enQQ2DsIsKLEGeYHm7YDJ8V&#10;Ax/ybJVv1L7WnUsJLUB7z8dh5IPvLaKwOZ3Ok2QxxYiez0KSnwN7bewnrjrkFgVuAbVPTHb3xjog&#10;JD+7uHukWou29XS3Eg1QbzIDQVACojM/faRRrWDOy/kbvd2UrUY74pTjf748OHnt1gkL+m1FV+Bs&#10;dCJ5wwmrJPPXWSLa4xogtdIl516ZR5xg7S0s/T4U7lXzaxEtqqzK0iCdzKogjVar4HZdpsFsHc+n&#10;q2RVlqv4xaGO07wRjHHpgJ8VHKf/ppDTLB21N2p4bFV4md33FMBeIr1dT6N5mmTBfD5NgjSpouAu&#10;W5fBbRnPZvPqrryr3iCtfPXmfcCOrXSo1DOw8diwATHhRJFMF5MYgwETP5kf+UGk3cJTRa3GSCv7&#10;XdjGa9ipz+W4ID6L3P9E/Jj92Igzh84aWTjV9qdVwPmZXz8abhqOc7VR7PCgzyMD8+2DTm+Re0Be&#10;27B+/WIufwMAAP//AwBQSwMEFAAGAAgAAAAhAN7Yq2fgAAAACwEAAA8AAABkcnMvZG93bnJldi54&#10;bWxMj0FLw0AQhe+C/2EZwYu0m5pYS8ymiCAeBGmrKN622TEbzM6G3W0T/70jCHqbmfd4871qPble&#10;HDHEzpOCxTwDgdR401Gr4OX5frYCEZMmo3tPqOALI6zr05NKl8aPtMXjLrWCQyiWWoFNaSiljI1F&#10;p+PcD0isffjgdOI1tNIEPXK46+Vlli2l0x3xB6sHvLPYfO4OTsFTGLuY8qLYYHp/fXh8s5sLt1Xq&#10;/Gy6vQGRcEp/ZvjBZ3SomWnvD2Si6BXMFlnBVh7yKy7FjtXyOgex/73IupL/O9TfAAAA//8DAFBL&#10;AQItABQABgAIAAAAIQC2gziS/gAAAOEBAAATAAAAAAAAAAAAAAAAAAAAAABbQ29udGVudF9UeXBl&#10;c10ueG1sUEsBAi0AFAAGAAgAAAAhADj9If/WAAAAlAEAAAsAAAAAAAAAAAAAAAAALwEAAF9yZWxz&#10;Ly5yZWxzUEsBAi0AFAAGAAgAAAAhAB6RRoKaAgAAeQUAAA4AAAAAAAAAAAAAAAAALgIAAGRycy9l&#10;Mm9Eb2MueG1sUEsBAi0AFAAGAAgAAAAhAN7Yq2fgAAAACwEAAA8AAAAAAAAAAAAAAAAA9AQAAGRy&#10;cy9kb3ducmV2LnhtbFBLBQYAAAAABAAEAPMAAAABBgAAAAA=&#10;" strokeweight=".26mm">
                <v:stroke joinstyle="miter" endcap="square"/>
              </v:line>
            </w:pict>
          </mc:Fallback>
        </mc:AlternateContent>
      </w:r>
      <w:r w:rsidR="008A2DA8" w:rsidRPr="00DE475B">
        <w:rPr>
          <w:rFonts w:ascii="Arial" w:hAnsi="Arial" w:cs="Arial"/>
          <w:b/>
          <w:bCs/>
          <w:sz w:val="20"/>
          <w:szCs w:val="20"/>
        </w:rPr>
        <w:t>NOTES TO THE FINANCIAL STATEMENTS</w:t>
      </w:r>
    </w:p>
    <w:p w:rsidR="008A2DA8" w:rsidRPr="00DE475B" w:rsidRDefault="005B15B4" w:rsidP="008A2DA8">
      <w:r>
        <w:rPr>
          <w:rFonts w:ascii="Arial" w:hAnsi="Arial" w:cs="Arial"/>
          <w:b/>
          <w:bCs/>
          <w:sz w:val="20"/>
          <w:szCs w:val="20"/>
        </w:rPr>
        <w:t>For the year ended 30 June 2017</w:t>
      </w:r>
    </w:p>
    <w:p w:rsidR="001B7FB6" w:rsidRPr="00DE475B" w:rsidRDefault="00373FFE" w:rsidP="001B7FB6">
      <w:pPr>
        <w:pStyle w:val="ARheading3"/>
        <w:widowControl w:val="0"/>
        <w:tabs>
          <w:tab w:val="left" w:pos="851"/>
        </w:tabs>
        <w:spacing w:before="120" w:after="120"/>
        <w:rPr>
          <w:color w:val="808080"/>
        </w:rPr>
      </w:pPr>
      <w:r w:rsidRPr="00DE475B">
        <w:rPr>
          <w:noProof/>
          <w:color w:val="808080"/>
          <w:lang w:eastAsia="en-AU"/>
        </w:rPr>
        <mc:AlternateContent>
          <mc:Choice Requires="wps">
            <w:drawing>
              <wp:anchor distT="0" distB="0" distL="114300" distR="114300" simplePos="0" relativeHeight="251691008" behindDoc="0" locked="0" layoutInCell="1" allowOverlap="1" wp14:anchorId="69DEEE71" wp14:editId="286E4496">
                <wp:simplePos x="0" y="0"/>
                <wp:positionH relativeFrom="column">
                  <wp:posOffset>-66040</wp:posOffset>
                </wp:positionH>
                <wp:positionV relativeFrom="paragraph">
                  <wp:posOffset>37465</wp:posOffset>
                </wp:positionV>
                <wp:extent cx="5573395" cy="0"/>
                <wp:effectExtent l="13970" t="8890" r="13335" b="10160"/>
                <wp:wrapNone/>
                <wp:docPr id="8"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95pt" to="433.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zCmgIAAHkFAAAOAAAAZHJzL2Uyb0RvYy54bWysVFFvmzAQfp+0/2D5nQKBhASVVC0he+m2&#10;Su20Z8eYYM3YzHZDoqn/fWcnYU33Mk1NJOSz787f3fedr2/2nUA7pg1XssDxVYQRk1TVXG4L/O1p&#10;HcwxMpbImgglWYEPzOCb5ccP10Ofs4lqlaiZRpBEmnzoC9xa2+dhaGjLOmKuVM8kHDZKd8SCqbdh&#10;rckA2TsRTqJoFg5K171WlBkDu6vjIV76/E3DqP3aNIZZJAoM2Kz/av/duG+4vCb5VpO+5fQEg/wH&#10;io5wCZeOqVbEEvSs+V+pOk61MqqxV1R1oWoaTpmvAaqJozfVPLakZ74WaI7pxzaZ90tLv+weNOJ1&#10;gYEoSTqg6J5LhibzzPVm6E0OLqV80K46upeP/b2iPwySqmyJ3DKP8enQQ2DsIsKLEGeYHm7YDJ9V&#10;DT7k2SrfqH2jO5cSWoD2no/DyAfbW0RhczrNkmQxxYiez0KSnwN7bewnpjrkFgUWgNonJrt7Yx0Q&#10;kp9d3D1SrbkQnm4h0VDgRTIDQVACojM/faRRgtfOy/kbvd2UQqMdccrxP18enLx267gF/QreQQNH&#10;J5K3jNSVrP11lnBxXAMkIV1y5pV5xAnW3sLS70PhXjW/FtGimlfzNEgnsypIo9UquF2XaTBbx9l0&#10;lazKchW/ONRxmre8rpl0wM8KjtN/U8hplo7aGzU8tiq8zO57CmAvkd6up1GWJvMgy6ZJkCZVFNzN&#10;12VwW8azWVbdlXfVG6SVr968D9ixlQ6VegY2Htt6QDV3okimi0mMwYCJn2RHfhARW3iqqNUYaWW/&#10;c9t6DTv1uRwXxM8j9z8RP2Y/NuLMobNGFk61/WkVcH7m14+Gm4bjXG1UfXjQ55GB+fZBp7fIPSCv&#10;bVi/fjGXvwEAAP//AwBQSwMEFAAGAAgAAAAhAF6rObHdAAAABwEAAA8AAABkcnMvZG93bnJldi54&#10;bWxMjlFLwzAUhd8F/0O4gi+ypXN1ztp0iCA+CGObovh211ybYnNTkmyt/97oiz4ezuE7X7kabSeO&#10;5EPrWMFsmoEgrp1uuVHw8vwwWYIIEVlj55gUfFGAVXV6UmKh3cBbOu5iIxKEQ4EKTIx9IWWoDVkM&#10;U9cTp+7DeYsxRd9I7XFIcNvJyyxbSIstpweDPd0bqj93B6tg7Yc2xHmebyi+vz4+vZnNhd0qdX42&#10;3t2CiDTGvzH86Cd1qJLT3h1YB9EpmMyyPE0VXN2ASP1ycT0Hsf/Nsirlf//qGwAA//8DAFBLAQIt&#10;ABQABgAIAAAAIQC2gziS/gAAAOEBAAATAAAAAAAAAAAAAAAAAAAAAABbQ29udGVudF9UeXBlc10u&#10;eG1sUEsBAi0AFAAGAAgAAAAhADj9If/WAAAAlAEAAAsAAAAAAAAAAAAAAAAALwEAAF9yZWxzLy5y&#10;ZWxzUEsBAi0AFAAGAAgAAAAhAGZt7MKaAgAAeQUAAA4AAAAAAAAAAAAAAAAALgIAAGRycy9lMm9E&#10;b2MueG1sUEsBAi0AFAAGAAgAAAAhAF6rObHdAAAABwEAAA8AAAAAAAAAAAAAAAAA9AQAAGRycy9k&#10;b3ducmV2LnhtbFBLBQYAAAAABAAEAPMAAAD+BQAAAAA=&#10;" strokeweight=".26mm">
                <v:stroke joinstyle="miter" endcap="square"/>
              </v:line>
            </w:pict>
          </mc:Fallback>
        </mc:AlternateContent>
      </w:r>
      <w:proofErr w:type="gramStart"/>
      <w:r w:rsidR="008A2DA8" w:rsidRPr="00DE475B">
        <w:rPr>
          <w:color w:val="808080"/>
        </w:rPr>
        <w:t>F</w:t>
      </w:r>
      <w:r w:rsidR="001B7FB6" w:rsidRPr="00DE475B">
        <w:rPr>
          <w:color w:val="808080"/>
        </w:rPr>
        <w:t>1  Key</w:t>
      </w:r>
      <w:proofErr w:type="gramEnd"/>
      <w:r w:rsidR="001B7FB6" w:rsidRPr="00DE475B">
        <w:rPr>
          <w:color w:val="808080"/>
        </w:rPr>
        <w:t xml:space="preserve"> management personnel </w:t>
      </w:r>
      <w:r w:rsidR="00C7152D">
        <w:rPr>
          <w:color w:val="808080"/>
        </w:rPr>
        <w:t>(</w:t>
      </w:r>
      <w:proofErr w:type="spellStart"/>
      <w:r w:rsidR="00C7152D">
        <w:rPr>
          <w:color w:val="808080"/>
        </w:rPr>
        <w:t>KMP</w:t>
      </w:r>
      <w:proofErr w:type="spellEnd"/>
      <w:r w:rsidR="00C7152D">
        <w:rPr>
          <w:color w:val="808080"/>
        </w:rPr>
        <w:t xml:space="preserve">) </w:t>
      </w:r>
      <w:r w:rsidR="001B7FB6" w:rsidRPr="00DE475B">
        <w:rPr>
          <w:color w:val="808080"/>
        </w:rPr>
        <w:t>disclosures (continued)</w:t>
      </w:r>
    </w:p>
    <w:p w:rsidR="008A2DA8" w:rsidRPr="00DE475B" w:rsidRDefault="001B7FB6" w:rsidP="001B7FB6">
      <w:pPr>
        <w:pStyle w:val="ARbodytext"/>
        <w:spacing w:before="120" w:after="120"/>
        <w:rPr>
          <w:b/>
          <w:bCs/>
        </w:rPr>
      </w:pPr>
      <w:r w:rsidRPr="00DE475B">
        <w:rPr>
          <w:b/>
          <w:bCs/>
        </w:rPr>
        <w:t>F</w:t>
      </w:r>
      <w:r w:rsidR="00C7152D">
        <w:rPr>
          <w:b/>
          <w:bCs/>
        </w:rPr>
        <w:t>1-</w:t>
      </w:r>
      <w:proofErr w:type="gramStart"/>
      <w:r w:rsidR="00C7152D">
        <w:rPr>
          <w:b/>
          <w:bCs/>
        </w:rPr>
        <w:t>3</w:t>
      </w:r>
      <w:r w:rsidR="008A2DA8" w:rsidRPr="00DE475B">
        <w:rPr>
          <w:b/>
          <w:bCs/>
        </w:rPr>
        <w:t xml:space="preserve">  </w:t>
      </w:r>
      <w:proofErr w:type="spellStart"/>
      <w:r w:rsidR="00C7152D">
        <w:rPr>
          <w:b/>
          <w:bCs/>
        </w:rPr>
        <w:t>KMP</w:t>
      </w:r>
      <w:proofErr w:type="spellEnd"/>
      <w:proofErr w:type="gramEnd"/>
      <w:r w:rsidR="00C7152D">
        <w:rPr>
          <w:b/>
          <w:bCs/>
        </w:rPr>
        <w:t xml:space="preserve"> </w:t>
      </w:r>
      <w:r w:rsidR="008A2DA8" w:rsidRPr="00DE475B">
        <w:rPr>
          <w:b/>
          <w:bCs/>
        </w:rPr>
        <w:t>remuneration expense (continued)</w:t>
      </w:r>
    </w:p>
    <w:p w:rsidR="00C7152D" w:rsidRPr="00DE475B" w:rsidRDefault="00C7152D" w:rsidP="00C7152D">
      <w:pPr>
        <w:spacing w:after="120"/>
        <w:rPr>
          <w:rFonts w:ascii="Arial" w:hAnsi="Arial" w:cs="Arial"/>
          <w:sz w:val="20"/>
          <w:szCs w:val="20"/>
        </w:rPr>
      </w:pPr>
      <w:r w:rsidRPr="00DE475B">
        <w:rPr>
          <w:rFonts w:ascii="Arial" w:hAnsi="Arial" w:cs="Arial"/>
          <w:b/>
          <w:bCs/>
          <w:sz w:val="20"/>
          <w:szCs w:val="20"/>
        </w:rPr>
        <w:t xml:space="preserve">1 July 2015 </w:t>
      </w:r>
      <w:r w:rsidR="00795627">
        <w:rPr>
          <w:rFonts w:ascii="Arial" w:hAnsi="Arial" w:cs="Arial"/>
          <w:b/>
          <w:bCs/>
          <w:sz w:val="20"/>
          <w:szCs w:val="20"/>
        </w:rPr>
        <w:t>—</w:t>
      </w:r>
      <w:r w:rsidRPr="00DE475B">
        <w:rPr>
          <w:rFonts w:ascii="Arial" w:hAnsi="Arial" w:cs="Arial"/>
          <w:b/>
          <w:bCs/>
          <w:sz w:val="20"/>
          <w:szCs w:val="20"/>
        </w:rPr>
        <w:t xml:space="preserve"> 30 June 2016</w:t>
      </w:r>
    </w:p>
    <w:tbl>
      <w:tblPr>
        <w:tblW w:w="889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438"/>
        <w:gridCol w:w="1032"/>
        <w:gridCol w:w="1011"/>
        <w:gridCol w:w="1082"/>
        <w:gridCol w:w="1215"/>
        <w:gridCol w:w="1108"/>
        <w:gridCol w:w="1011"/>
      </w:tblGrid>
      <w:tr w:rsidR="00C7152D" w:rsidRPr="00DE475B" w:rsidTr="00A1189F">
        <w:trPr>
          <w:trHeight w:val="664"/>
        </w:trPr>
        <w:tc>
          <w:tcPr>
            <w:tcW w:w="2438" w:type="dxa"/>
            <w:vMerge w:val="restart"/>
            <w:tcBorders>
              <w:top w:val="nil"/>
            </w:tcBorders>
            <w:shd w:val="clear" w:color="auto" w:fill="auto"/>
            <w:tcMar>
              <w:right w:w="28" w:type="dxa"/>
            </w:tcMar>
            <w:hideMark/>
          </w:tcPr>
          <w:p w:rsidR="00A578A6" w:rsidRDefault="00A578A6" w:rsidP="00C7152D">
            <w:pPr>
              <w:rPr>
                <w:rFonts w:ascii="Arial" w:hAnsi="Arial" w:cs="Arial"/>
                <w:b/>
                <w:bCs/>
                <w:sz w:val="20"/>
                <w:szCs w:val="20"/>
              </w:rPr>
            </w:pPr>
          </w:p>
          <w:p w:rsidR="00C7152D" w:rsidRPr="00DE475B" w:rsidRDefault="00C7152D" w:rsidP="00C7152D">
            <w:pPr>
              <w:rPr>
                <w:rFonts w:ascii="Arial" w:hAnsi="Arial" w:cs="Arial"/>
                <w:b/>
                <w:bCs/>
                <w:sz w:val="20"/>
                <w:szCs w:val="20"/>
              </w:rPr>
            </w:pPr>
            <w:r>
              <w:rPr>
                <w:rFonts w:ascii="Arial" w:hAnsi="Arial" w:cs="Arial"/>
                <w:b/>
                <w:bCs/>
                <w:sz w:val="20"/>
                <w:szCs w:val="20"/>
              </w:rPr>
              <w:t>Position</w:t>
            </w:r>
          </w:p>
        </w:tc>
        <w:tc>
          <w:tcPr>
            <w:tcW w:w="2043" w:type="dxa"/>
            <w:gridSpan w:val="2"/>
            <w:tcBorders>
              <w:top w:val="nil"/>
              <w:bottom w:val="nil"/>
            </w:tcBorders>
            <w:shd w:val="clear" w:color="auto" w:fill="auto"/>
            <w:tcMar>
              <w:right w:w="28" w:type="dxa"/>
            </w:tcMar>
            <w:vAlign w:val="bottom"/>
            <w:hideMark/>
          </w:tcPr>
          <w:p w:rsidR="00C7152D" w:rsidRPr="00DE475B" w:rsidRDefault="00C7152D" w:rsidP="00A1189F">
            <w:pPr>
              <w:jc w:val="center"/>
              <w:rPr>
                <w:rFonts w:ascii="Arial" w:hAnsi="Arial" w:cs="Arial"/>
                <w:b/>
                <w:bCs/>
                <w:sz w:val="18"/>
                <w:szCs w:val="18"/>
              </w:rPr>
            </w:pPr>
            <w:r w:rsidRPr="00DE475B">
              <w:rPr>
                <w:rFonts w:ascii="Arial" w:hAnsi="Arial" w:cs="Arial"/>
                <w:b/>
                <w:bCs/>
                <w:sz w:val="18"/>
                <w:szCs w:val="18"/>
              </w:rPr>
              <w:t>Short Term Employee Expenses</w:t>
            </w:r>
          </w:p>
        </w:tc>
        <w:tc>
          <w:tcPr>
            <w:tcW w:w="1082" w:type="dxa"/>
            <w:tcBorders>
              <w:top w:val="nil"/>
              <w:bottom w:val="nil"/>
            </w:tcBorders>
            <w:shd w:val="clear" w:color="auto" w:fill="auto"/>
            <w:tcMar>
              <w:right w:w="28" w:type="dxa"/>
            </w:tcMar>
            <w:vAlign w:val="bottom"/>
            <w:hideMark/>
          </w:tcPr>
          <w:p w:rsidR="00C7152D" w:rsidRPr="00DE475B" w:rsidRDefault="00585810" w:rsidP="00A1189F">
            <w:pPr>
              <w:jc w:val="center"/>
              <w:rPr>
                <w:rFonts w:ascii="Arial" w:hAnsi="Arial" w:cs="Arial"/>
                <w:b/>
                <w:bCs/>
                <w:sz w:val="18"/>
                <w:szCs w:val="18"/>
              </w:rPr>
            </w:pPr>
            <w:r>
              <w:rPr>
                <w:rFonts w:ascii="Arial" w:hAnsi="Arial" w:cs="Arial"/>
                <w:b/>
                <w:bCs/>
                <w:sz w:val="18"/>
                <w:szCs w:val="18"/>
              </w:rPr>
              <w:t>Long-</w:t>
            </w:r>
            <w:r w:rsidR="00C7152D" w:rsidRPr="00DE475B">
              <w:rPr>
                <w:rFonts w:ascii="Arial" w:hAnsi="Arial" w:cs="Arial"/>
                <w:b/>
                <w:bCs/>
                <w:sz w:val="18"/>
                <w:szCs w:val="18"/>
              </w:rPr>
              <w:t>Term Employee Expenses</w:t>
            </w:r>
          </w:p>
        </w:tc>
        <w:tc>
          <w:tcPr>
            <w:tcW w:w="1215" w:type="dxa"/>
            <w:tcBorders>
              <w:top w:val="nil"/>
              <w:bottom w:val="nil"/>
            </w:tcBorders>
            <w:shd w:val="clear" w:color="auto" w:fill="auto"/>
            <w:tcMar>
              <w:left w:w="57" w:type="dxa"/>
              <w:right w:w="28" w:type="dxa"/>
            </w:tcMar>
            <w:vAlign w:val="bottom"/>
            <w:hideMark/>
          </w:tcPr>
          <w:p w:rsidR="00C7152D" w:rsidRPr="00DE475B" w:rsidRDefault="00C7152D" w:rsidP="00A1189F">
            <w:pPr>
              <w:jc w:val="center"/>
              <w:rPr>
                <w:rFonts w:ascii="Arial" w:hAnsi="Arial" w:cs="Arial"/>
                <w:b/>
                <w:bCs/>
                <w:sz w:val="18"/>
                <w:szCs w:val="18"/>
              </w:rPr>
            </w:pPr>
            <w:proofErr w:type="spellStart"/>
            <w:r w:rsidRPr="00DE475B">
              <w:rPr>
                <w:rFonts w:ascii="Arial" w:hAnsi="Arial" w:cs="Arial"/>
                <w:b/>
                <w:bCs/>
                <w:sz w:val="18"/>
                <w:szCs w:val="18"/>
              </w:rPr>
              <w:t>Post Employment</w:t>
            </w:r>
            <w:proofErr w:type="spellEnd"/>
            <w:r w:rsidRPr="00DE475B">
              <w:rPr>
                <w:rFonts w:ascii="Arial" w:hAnsi="Arial" w:cs="Arial"/>
                <w:b/>
                <w:bCs/>
                <w:sz w:val="18"/>
                <w:szCs w:val="18"/>
              </w:rPr>
              <w:t xml:space="preserve"> Expenses</w:t>
            </w:r>
          </w:p>
        </w:tc>
        <w:tc>
          <w:tcPr>
            <w:tcW w:w="1108" w:type="dxa"/>
            <w:tcBorders>
              <w:top w:val="nil"/>
              <w:bottom w:val="nil"/>
            </w:tcBorders>
            <w:shd w:val="clear" w:color="auto" w:fill="auto"/>
            <w:tcMar>
              <w:left w:w="28" w:type="dxa"/>
              <w:right w:w="0" w:type="dxa"/>
            </w:tcMar>
            <w:vAlign w:val="bottom"/>
            <w:hideMark/>
          </w:tcPr>
          <w:p w:rsidR="00C7152D" w:rsidRPr="00DE475B" w:rsidRDefault="00C7152D" w:rsidP="00A1189F">
            <w:pPr>
              <w:jc w:val="center"/>
              <w:rPr>
                <w:rFonts w:ascii="Arial" w:hAnsi="Arial" w:cs="Arial"/>
                <w:b/>
                <w:bCs/>
                <w:spacing w:val="2"/>
                <w:sz w:val="18"/>
                <w:szCs w:val="18"/>
              </w:rPr>
            </w:pPr>
            <w:r w:rsidRPr="00DE475B">
              <w:rPr>
                <w:rFonts w:ascii="Arial" w:hAnsi="Arial" w:cs="Arial"/>
                <w:b/>
                <w:bCs/>
                <w:spacing w:val="2"/>
                <w:sz w:val="18"/>
                <w:szCs w:val="18"/>
              </w:rPr>
              <w:t>Termination Benefits</w:t>
            </w:r>
          </w:p>
        </w:tc>
        <w:tc>
          <w:tcPr>
            <w:tcW w:w="1011" w:type="dxa"/>
            <w:tcBorders>
              <w:top w:val="nil"/>
              <w:bottom w:val="nil"/>
            </w:tcBorders>
            <w:shd w:val="clear" w:color="auto" w:fill="auto"/>
            <w:tcMar>
              <w:right w:w="28" w:type="dxa"/>
            </w:tcMar>
            <w:vAlign w:val="bottom"/>
            <w:hideMark/>
          </w:tcPr>
          <w:p w:rsidR="00C7152D" w:rsidRPr="00DE475B" w:rsidRDefault="00C7152D" w:rsidP="00A1189F">
            <w:pPr>
              <w:jc w:val="center"/>
              <w:rPr>
                <w:rFonts w:ascii="Arial" w:hAnsi="Arial" w:cs="Arial"/>
                <w:b/>
                <w:bCs/>
                <w:sz w:val="18"/>
                <w:szCs w:val="18"/>
              </w:rPr>
            </w:pPr>
            <w:r w:rsidRPr="00DE475B">
              <w:rPr>
                <w:rFonts w:ascii="Arial" w:hAnsi="Arial" w:cs="Arial"/>
                <w:b/>
                <w:bCs/>
                <w:sz w:val="18"/>
                <w:szCs w:val="18"/>
              </w:rPr>
              <w:t>Total Expenses</w:t>
            </w:r>
          </w:p>
        </w:tc>
      </w:tr>
      <w:tr w:rsidR="00C7152D" w:rsidRPr="00DE475B" w:rsidTr="00A1189F">
        <w:trPr>
          <w:trHeight w:val="702"/>
        </w:trPr>
        <w:tc>
          <w:tcPr>
            <w:tcW w:w="2438" w:type="dxa"/>
            <w:vMerge/>
            <w:tcBorders>
              <w:bottom w:val="nil"/>
            </w:tcBorders>
            <w:shd w:val="clear" w:color="auto" w:fill="auto"/>
            <w:tcMar>
              <w:right w:w="28" w:type="dxa"/>
            </w:tcMar>
            <w:hideMark/>
          </w:tcPr>
          <w:p w:rsidR="00C7152D" w:rsidRPr="00DE475B" w:rsidRDefault="00C7152D" w:rsidP="00A1189F">
            <w:pPr>
              <w:rPr>
                <w:rFonts w:ascii="Arial" w:hAnsi="Arial" w:cs="Arial"/>
                <w:b/>
                <w:bCs/>
                <w:sz w:val="18"/>
                <w:szCs w:val="18"/>
              </w:rPr>
            </w:pPr>
          </w:p>
        </w:tc>
        <w:tc>
          <w:tcPr>
            <w:tcW w:w="1032" w:type="dxa"/>
            <w:tcBorders>
              <w:top w:val="nil"/>
              <w:bottom w:val="nil"/>
            </w:tcBorders>
            <w:shd w:val="clear" w:color="auto" w:fill="auto"/>
            <w:tcMar>
              <w:right w:w="28" w:type="dxa"/>
            </w:tcMar>
            <w:vAlign w:val="bottom"/>
            <w:hideMark/>
          </w:tcPr>
          <w:p w:rsidR="00C7152D" w:rsidRPr="00DE475B" w:rsidRDefault="00C7152D" w:rsidP="00A1189F">
            <w:pPr>
              <w:jc w:val="center"/>
              <w:rPr>
                <w:rFonts w:ascii="Arial" w:hAnsi="Arial" w:cs="Arial"/>
                <w:b/>
                <w:bCs/>
                <w:sz w:val="18"/>
                <w:szCs w:val="18"/>
              </w:rPr>
            </w:pPr>
            <w:r w:rsidRPr="00DE475B">
              <w:rPr>
                <w:rFonts w:ascii="Arial" w:hAnsi="Arial" w:cs="Arial"/>
                <w:b/>
                <w:bCs/>
                <w:sz w:val="18"/>
                <w:szCs w:val="18"/>
              </w:rPr>
              <w:t>Monetary Expenses</w:t>
            </w:r>
          </w:p>
        </w:tc>
        <w:tc>
          <w:tcPr>
            <w:tcW w:w="1011" w:type="dxa"/>
            <w:tcBorders>
              <w:top w:val="nil"/>
              <w:bottom w:val="nil"/>
            </w:tcBorders>
            <w:shd w:val="clear" w:color="auto" w:fill="auto"/>
            <w:tcMar>
              <w:right w:w="28" w:type="dxa"/>
            </w:tcMar>
            <w:vAlign w:val="bottom"/>
            <w:hideMark/>
          </w:tcPr>
          <w:p w:rsidR="00C7152D" w:rsidRPr="00DE475B" w:rsidRDefault="00C7152D" w:rsidP="00A1189F">
            <w:pPr>
              <w:jc w:val="center"/>
              <w:rPr>
                <w:rFonts w:ascii="Arial" w:hAnsi="Arial" w:cs="Arial"/>
                <w:b/>
                <w:bCs/>
                <w:sz w:val="18"/>
                <w:szCs w:val="18"/>
              </w:rPr>
            </w:pPr>
            <w:r w:rsidRPr="00DE475B">
              <w:rPr>
                <w:rFonts w:ascii="Arial" w:hAnsi="Arial" w:cs="Arial"/>
                <w:b/>
                <w:bCs/>
                <w:sz w:val="18"/>
                <w:szCs w:val="18"/>
              </w:rPr>
              <w:t>Non-Monetary Benefits</w:t>
            </w:r>
          </w:p>
        </w:tc>
        <w:tc>
          <w:tcPr>
            <w:tcW w:w="1082" w:type="dxa"/>
            <w:tcBorders>
              <w:top w:val="nil"/>
              <w:bottom w:val="nil"/>
            </w:tcBorders>
            <w:shd w:val="clear" w:color="auto" w:fill="auto"/>
            <w:tcMar>
              <w:right w:w="28" w:type="dxa"/>
            </w:tcMar>
            <w:vAlign w:val="bottom"/>
          </w:tcPr>
          <w:p w:rsidR="00C7152D" w:rsidRPr="00DE475B" w:rsidRDefault="00C7152D" w:rsidP="00A1189F">
            <w:pPr>
              <w:jc w:val="center"/>
              <w:rPr>
                <w:rFonts w:ascii="Arial" w:hAnsi="Arial" w:cs="Arial"/>
                <w:b/>
                <w:bCs/>
                <w:sz w:val="18"/>
                <w:szCs w:val="18"/>
              </w:rPr>
            </w:pPr>
          </w:p>
        </w:tc>
        <w:tc>
          <w:tcPr>
            <w:tcW w:w="1215" w:type="dxa"/>
            <w:tcBorders>
              <w:top w:val="nil"/>
              <w:bottom w:val="nil"/>
            </w:tcBorders>
            <w:shd w:val="clear" w:color="auto" w:fill="auto"/>
            <w:tcMar>
              <w:right w:w="28" w:type="dxa"/>
            </w:tcMar>
            <w:vAlign w:val="bottom"/>
          </w:tcPr>
          <w:p w:rsidR="00C7152D" w:rsidRPr="00DE475B" w:rsidRDefault="00C7152D" w:rsidP="00A1189F">
            <w:pPr>
              <w:jc w:val="center"/>
              <w:rPr>
                <w:rFonts w:ascii="Arial" w:hAnsi="Arial" w:cs="Arial"/>
                <w:b/>
                <w:bCs/>
                <w:sz w:val="18"/>
                <w:szCs w:val="18"/>
              </w:rPr>
            </w:pPr>
          </w:p>
        </w:tc>
        <w:tc>
          <w:tcPr>
            <w:tcW w:w="1108" w:type="dxa"/>
            <w:tcBorders>
              <w:top w:val="nil"/>
              <w:bottom w:val="nil"/>
            </w:tcBorders>
            <w:shd w:val="clear" w:color="auto" w:fill="auto"/>
            <w:tcMar>
              <w:right w:w="28" w:type="dxa"/>
            </w:tcMar>
            <w:vAlign w:val="bottom"/>
          </w:tcPr>
          <w:p w:rsidR="00C7152D" w:rsidRPr="00DE475B" w:rsidRDefault="00C7152D" w:rsidP="00A1189F">
            <w:pPr>
              <w:jc w:val="center"/>
              <w:rPr>
                <w:rFonts w:ascii="Arial" w:hAnsi="Arial" w:cs="Arial"/>
                <w:b/>
                <w:bCs/>
                <w:sz w:val="18"/>
                <w:szCs w:val="18"/>
              </w:rPr>
            </w:pPr>
          </w:p>
        </w:tc>
        <w:tc>
          <w:tcPr>
            <w:tcW w:w="1011" w:type="dxa"/>
            <w:tcBorders>
              <w:top w:val="nil"/>
              <w:bottom w:val="nil"/>
            </w:tcBorders>
            <w:shd w:val="clear" w:color="auto" w:fill="auto"/>
            <w:tcMar>
              <w:right w:w="28" w:type="dxa"/>
            </w:tcMar>
            <w:vAlign w:val="bottom"/>
          </w:tcPr>
          <w:p w:rsidR="00C7152D" w:rsidRPr="00DE475B" w:rsidRDefault="00C7152D" w:rsidP="00A1189F">
            <w:pPr>
              <w:jc w:val="center"/>
              <w:rPr>
                <w:rFonts w:ascii="Arial" w:hAnsi="Arial" w:cs="Arial"/>
                <w:b/>
                <w:bCs/>
                <w:sz w:val="18"/>
                <w:szCs w:val="18"/>
              </w:rPr>
            </w:pPr>
          </w:p>
        </w:tc>
      </w:tr>
      <w:tr w:rsidR="00C7152D" w:rsidRPr="00DE475B" w:rsidTr="00A1189F">
        <w:trPr>
          <w:trHeight w:val="255"/>
        </w:trPr>
        <w:tc>
          <w:tcPr>
            <w:tcW w:w="2438" w:type="dxa"/>
            <w:tcBorders>
              <w:top w:val="nil"/>
              <w:bottom w:val="single" w:sz="4" w:space="0" w:color="auto"/>
            </w:tcBorders>
            <w:shd w:val="clear" w:color="auto" w:fill="auto"/>
            <w:hideMark/>
          </w:tcPr>
          <w:p w:rsidR="00C7152D" w:rsidRPr="00DE475B" w:rsidRDefault="00C7152D" w:rsidP="00A1189F">
            <w:pPr>
              <w:rPr>
                <w:rFonts w:ascii="Arial" w:hAnsi="Arial" w:cs="Arial"/>
                <w:b/>
                <w:bCs/>
                <w:sz w:val="18"/>
                <w:szCs w:val="18"/>
              </w:rPr>
            </w:pPr>
            <w:r w:rsidRPr="00DE475B">
              <w:rPr>
                <w:rFonts w:ascii="Arial" w:hAnsi="Arial" w:cs="Arial"/>
                <w:b/>
                <w:bCs/>
                <w:sz w:val="18"/>
                <w:szCs w:val="18"/>
              </w:rPr>
              <w:t> </w:t>
            </w:r>
          </w:p>
        </w:tc>
        <w:tc>
          <w:tcPr>
            <w:tcW w:w="1032"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b/>
                <w:bCs/>
                <w:sz w:val="20"/>
                <w:szCs w:val="20"/>
              </w:rPr>
            </w:pPr>
            <w:r w:rsidRPr="00DE475B">
              <w:rPr>
                <w:rFonts w:ascii="Arial" w:hAnsi="Arial" w:cs="Arial"/>
                <w:b/>
                <w:bCs/>
                <w:sz w:val="20"/>
                <w:szCs w:val="20"/>
              </w:rPr>
              <w:t xml:space="preserve">$'000 </w:t>
            </w:r>
          </w:p>
        </w:tc>
        <w:tc>
          <w:tcPr>
            <w:tcW w:w="1011" w:type="dxa"/>
            <w:tcBorders>
              <w:top w:val="nil"/>
              <w:bottom w:val="single" w:sz="4" w:space="0" w:color="auto"/>
            </w:tcBorders>
            <w:shd w:val="clear" w:color="auto" w:fill="auto"/>
            <w:vAlign w:val="center"/>
            <w:hideMark/>
          </w:tcPr>
          <w:p w:rsidR="00C7152D" w:rsidRPr="00DE475B" w:rsidRDefault="00C7152D" w:rsidP="00A1189F">
            <w:pPr>
              <w:jc w:val="right"/>
              <w:rPr>
                <w:rFonts w:ascii="Arial" w:hAnsi="Arial" w:cs="Arial"/>
                <w:b/>
                <w:bCs/>
                <w:sz w:val="20"/>
                <w:szCs w:val="20"/>
              </w:rPr>
            </w:pPr>
            <w:r w:rsidRPr="00DE475B">
              <w:rPr>
                <w:rFonts w:ascii="Arial" w:hAnsi="Arial" w:cs="Arial"/>
                <w:b/>
                <w:bCs/>
                <w:sz w:val="20"/>
                <w:szCs w:val="20"/>
              </w:rPr>
              <w:t xml:space="preserve">$'000 </w:t>
            </w:r>
          </w:p>
        </w:tc>
        <w:tc>
          <w:tcPr>
            <w:tcW w:w="1082" w:type="dxa"/>
            <w:tcBorders>
              <w:top w:val="nil"/>
              <w:bottom w:val="single" w:sz="4" w:space="0" w:color="auto"/>
            </w:tcBorders>
            <w:shd w:val="clear" w:color="auto" w:fill="auto"/>
            <w:vAlign w:val="center"/>
            <w:hideMark/>
          </w:tcPr>
          <w:p w:rsidR="00C7152D" w:rsidRPr="00DE475B" w:rsidRDefault="00C7152D" w:rsidP="00A1189F">
            <w:pPr>
              <w:jc w:val="right"/>
              <w:rPr>
                <w:rFonts w:ascii="Arial" w:hAnsi="Arial" w:cs="Arial"/>
                <w:b/>
                <w:bCs/>
                <w:sz w:val="20"/>
                <w:szCs w:val="20"/>
              </w:rPr>
            </w:pPr>
            <w:r w:rsidRPr="00DE475B">
              <w:rPr>
                <w:rFonts w:ascii="Arial" w:hAnsi="Arial" w:cs="Arial"/>
                <w:b/>
                <w:bCs/>
                <w:sz w:val="20"/>
                <w:szCs w:val="20"/>
              </w:rPr>
              <w:t xml:space="preserve">$'000 </w:t>
            </w:r>
          </w:p>
        </w:tc>
        <w:tc>
          <w:tcPr>
            <w:tcW w:w="1215" w:type="dxa"/>
            <w:tcBorders>
              <w:top w:val="nil"/>
              <w:bottom w:val="single" w:sz="4" w:space="0" w:color="auto"/>
            </w:tcBorders>
            <w:shd w:val="clear" w:color="auto" w:fill="auto"/>
            <w:vAlign w:val="center"/>
            <w:hideMark/>
          </w:tcPr>
          <w:p w:rsidR="00C7152D" w:rsidRPr="00DE475B" w:rsidRDefault="00C7152D" w:rsidP="00A1189F">
            <w:pPr>
              <w:jc w:val="right"/>
              <w:rPr>
                <w:rFonts w:ascii="Arial" w:hAnsi="Arial" w:cs="Arial"/>
                <w:b/>
                <w:bCs/>
                <w:sz w:val="20"/>
                <w:szCs w:val="20"/>
              </w:rPr>
            </w:pPr>
            <w:r w:rsidRPr="00DE475B">
              <w:rPr>
                <w:rFonts w:ascii="Arial" w:hAnsi="Arial" w:cs="Arial"/>
                <w:b/>
                <w:bCs/>
                <w:sz w:val="20"/>
                <w:szCs w:val="20"/>
              </w:rPr>
              <w:t xml:space="preserve">$'000 </w:t>
            </w:r>
          </w:p>
        </w:tc>
        <w:tc>
          <w:tcPr>
            <w:tcW w:w="1108" w:type="dxa"/>
            <w:tcBorders>
              <w:top w:val="nil"/>
              <w:bottom w:val="single" w:sz="4" w:space="0" w:color="auto"/>
            </w:tcBorders>
            <w:shd w:val="clear" w:color="auto" w:fill="auto"/>
            <w:vAlign w:val="center"/>
            <w:hideMark/>
          </w:tcPr>
          <w:p w:rsidR="00C7152D" w:rsidRPr="00DE475B" w:rsidRDefault="00C7152D" w:rsidP="00A1189F">
            <w:pPr>
              <w:jc w:val="right"/>
              <w:rPr>
                <w:rFonts w:ascii="Arial" w:hAnsi="Arial" w:cs="Arial"/>
                <w:b/>
                <w:bCs/>
                <w:sz w:val="20"/>
                <w:szCs w:val="20"/>
              </w:rPr>
            </w:pPr>
            <w:r w:rsidRPr="00DE475B">
              <w:rPr>
                <w:rFonts w:ascii="Arial" w:hAnsi="Arial" w:cs="Arial"/>
                <w:b/>
                <w:bCs/>
                <w:sz w:val="20"/>
                <w:szCs w:val="20"/>
              </w:rPr>
              <w:t xml:space="preserve">$'000 </w:t>
            </w:r>
          </w:p>
        </w:tc>
        <w:tc>
          <w:tcPr>
            <w:tcW w:w="1011" w:type="dxa"/>
            <w:tcBorders>
              <w:top w:val="nil"/>
              <w:bottom w:val="single" w:sz="4" w:space="0" w:color="auto"/>
            </w:tcBorders>
            <w:shd w:val="clear" w:color="auto" w:fill="auto"/>
            <w:vAlign w:val="center"/>
            <w:hideMark/>
          </w:tcPr>
          <w:p w:rsidR="00C7152D" w:rsidRPr="00DE475B" w:rsidRDefault="00C7152D" w:rsidP="00A1189F">
            <w:pPr>
              <w:jc w:val="right"/>
              <w:rPr>
                <w:rFonts w:ascii="Arial" w:hAnsi="Arial" w:cs="Arial"/>
                <w:b/>
                <w:bCs/>
                <w:sz w:val="20"/>
                <w:szCs w:val="20"/>
              </w:rPr>
            </w:pPr>
            <w:r w:rsidRPr="00DE475B">
              <w:rPr>
                <w:rFonts w:ascii="Arial" w:hAnsi="Arial" w:cs="Arial"/>
                <w:b/>
                <w:bCs/>
                <w:sz w:val="20"/>
                <w:szCs w:val="20"/>
              </w:rPr>
              <w:t xml:space="preserve">$'000 </w:t>
            </w:r>
          </w:p>
        </w:tc>
      </w:tr>
      <w:tr w:rsidR="00C7152D" w:rsidRPr="00DE475B" w:rsidTr="00A1189F">
        <w:trPr>
          <w:trHeight w:val="255"/>
        </w:trPr>
        <w:tc>
          <w:tcPr>
            <w:tcW w:w="2438" w:type="dxa"/>
            <w:tcBorders>
              <w:top w:val="single" w:sz="4" w:space="0" w:color="auto"/>
              <w:bottom w:val="nil"/>
            </w:tcBorders>
            <w:shd w:val="clear" w:color="auto" w:fill="auto"/>
            <w:noWrap/>
            <w:vAlign w:val="center"/>
            <w:hideMark/>
          </w:tcPr>
          <w:p w:rsidR="00C7152D" w:rsidRPr="00DE475B" w:rsidRDefault="00C7152D" w:rsidP="00795627">
            <w:pPr>
              <w:rPr>
                <w:rFonts w:ascii="Arial" w:hAnsi="Arial" w:cs="Arial"/>
                <w:i/>
                <w:sz w:val="20"/>
                <w:szCs w:val="20"/>
              </w:rPr>
            </w:pPr>
            <w:r w:rsidRPr="00DE475B">
              <w:rPr>
                <w:rFonts w:ascii="Arial" w:hAnsi="Arial" w:cs="Arial"/>
                <w:i/>
                <w:sz w:val="20"/>
                <w:szCs w:val="20"/>
              </w:rPr>
              <w:t>State Librarian</w:t>
            </w:r>
            <w:r w:rsidR="00795627">
              <w:rPr>
                <w:rFonts w:ascii="Arial" w:hAnsi="Arial" w:cs="Arial"/>
                <w:i/>
                <w:sz w:val="20"/>
                <w:szCs w:val="20"/>
              </w:rPr>
              <w:t xml:space="preserve"> and CEO</w:t>
            </w:r>
          </w:p>
        </w:tc>
        <w:tc>
          <w:tcPr>
            <w:tcW w:w="1032" w:type="dxa"/>
            <w:tcBorders>
              <w:top w:val="single" w:sz="4" w:space="0" w:color="auto"/>
              <w:bottom w:val="nil"/>
            </w:tcBorders>
            <w:shd w:val="clear" w:color="auto" w:fill="auto"/>
            <w:noWrap/>
            <w:hideMark/>
          </w:tcPr>
          <w:p w:rsidR="00C7152D" w:rsidRPr="00DE475B" w:rsidRDefault="00C7152D" w:rsidP="00A1189F">
            <w:pPr>
              <w:rPr>
                <w:rFonts w:ascii="Arial" w:hAnsi="Arial" w:cs="Arial"/>
                <w:sz w:val="18"/>
                <w:szCs w:val="18"/>
              </w:rPr>
            </w:pPr>
            <w:r w:rsidRPr="00DE475B">
              <w:rPr>
                <w:rFonts w:ascii="Arial" w:hAnsi="Arial" w:cs="Arial"/>
                <w:sz w:val="18"/>
                <w:szCs w:val="18"/>
              </w:rPr>
              <w:t> </w:t>
            </w:r>
          </w:p>
        </w:tc>
        <w:tc>
          <w:tcPr>
            <w:tcW w:w="1011" w:type="dxa"/>
            <w:tcBorders>
              <w:top w:val="single" w:sz="4" w:space="0" w:color="auto"/>
              <w:bottom w:val="nil"/>
            </w:tcBorders>
            <w:shd w:val="clear" w:color="auto" w:fill="auto"/>
            <w:noWrap/>
            <w:hideMark/>
          </w:tcPr>
          <w:p w:rsidR="00C7152D" w:rsidRPr="00DE475B" w:rsidRDefault="00C7152D" w:rsidP="00A1189F">
            <w:pPr>
              <w:rPr>
                <w:rFonts w:ascii="Arial" w:hAnsi="Arial" w:cs="Arial"/>
                <w:sz w:val="18"/>
                <w:szCs w:val="18"/>
              </w:rPr>
            </w:pPr>
            <w:r w:rsidRPr="00DE475B">
              <w:rPr>
                <w:rFonts w:ascii="Arial" w:hAnsi="Arial" w:cs="Arial"/>
                <w:sz w:val="18"/>
                <w:szCs w:val="18"/>
              </w:rPr>
              <w:t> </w:t>
            </w:r>
          </w:p>
        </w:tc>
        <w:tc>
          <w:tcPr>
            <w:tcW w:w="1082" w:type="dxa"/>
            <w:tcBorders>
              <w:top w:val="single" w:sz="4" w:space="0" w:color="auto"/>
              <w:bottom w:val="nil"/>
            </w:tcBorders>
            <w:shd w:val="clear" w:color="auto" w:fill="auto"/>
            <w:noWrap/>
            <w:hideMark/>
          </w:tcPr>
          <w:p w:rsidR="00C7152D" w:rsidRPr="00DE475B" w:rsidRDefault="00C7152D" w:rsidP="00A1189F">
            <w:pPr>
              <w:rPr>
                <w:rFonts w:ascii="Arial" w:hAnsi="Arial" w:cs="Arial"/>
                <w:sz w:val="18"/>
                <w:szCs w:val="18"/>
              </w:rPr>
            </w:pPr>
            <w:r w:rsidRPr="00DE475B">
              <w:rPr>
                <w:rFonts w:ascii="Arial" w:hAnsi="Arial" w:cs="Arial"/>
                <w:sz w:val="18"/>
                <w:szCs w:val="18"/>
              </w:rPr>
              <w:t> </w:t>
            </w:r>
          </w:p>
        </w:tc>
        <w:tc>
          <w:tcPr>
            <w:tcW w:w="1215" w:type="dxa"/>
            <w:tcBorders>
              <w:top w:val="single" w:sz="4" w:space="0" w:color="auto"/>
              <w:bottom w:val="nil"/>
            </w:tcBorders>
            <w:shd w:val="clear" w:color="auto" w:fill="auto"/>
            <w:noWrap/>
            <w:hideMark/>
          </w:tcPr>
          <w:p w:rsidR="00C7152D" w:rsidRPr="00DE475B" w:rsidRDefault="00C7152D" w:rsidP="00A1189F">
            <w:pPr>
              <w:rPr>
                <w:rFonts w:ascii="Arial" w:hAnsi="Arial" w:cs="Arial"/>
                <w:sz w:val="18"/>
                <w:szCs w:val="18"/>
              </w:rPr>
            </w:pPr>
            <w:r w:rsidRPr="00DE475B">
              <w:rPr>
                <w:rFonts w:ascii="Arial" w:hAnsi="Arial" w:cs="Arial"/>
                <w:sz w:val="18"/>
                <w:szCs w:val="18"/>
              </w:rPr>
              <w:t> </w:t>
            </w:r>
          </w:p>
        </w:tc>
        <w:tc>
          <w:tcPr>
            <w:tcW w:w="1108" w:type="dxa"/>
            <w:tcBorders>
              <w:top w:val="single" w:sz="4" w:space="0" w:color="auto"/>
              <w:bottom w:val="nil"/>
            </w:tcBorders>
            <w:shd w:val="clear" w:color="auto" w:fill="auto"/>
            <w:noWrap/>
            <w:hideMark/>
          </w:tcPr>
          <w:p w:rsidR="00C7152D" w:rsidRPr="00DE475B" w:rsidRDefault="00C7152D" w:rsidP="00A1189F">
            <w:pPr>
              <w:rPr>
                <w:rFonts w:ascii="Arial" w:hAnsi="Arial" w:cs="Arial"/>
                <w:sz w:val="18"/>
                <w:szCs w:val="18"/>
              </w:rPr>
            </w:pPr>
            <w:r w:rsidRPr="00DE475B">
              <w:rPr>
                <w:rFonts w:ascii="Arial" w:hAnsi="Arial" w:cs="Arial"/>
                <w:sz w:val="18"/>
                <w:szCs w:val="18"/>
              </w:rPr>
              <w:t> </w:t>
            </w:r>
          </w:p>
        </w:tc>
        <w:tc>
          <w:tcPr>
            <w:tcW w:w="1011" w:type="dxa"/>
            <w:tcBorders>
              <w:top w:val="single" w:sz="4" w:space="0" w:color="auto"/>
              <w:bottom w:val="nil"/>
            </w:tcBorders>
            <w:shd w:val="clear" w:color="auto" w:fill="auto"/>
            <w:noWrap/>
            <w:hideMark/>
          </w:tcPr>
          <w:p w:rsidR="00C7152D" w:rsidRPr="00DE475B" w:rsidRDefault="00C7152D" w:rsidP="00A1189F">
            <w:pPr>
              <w:rPr>
                <w:rFonts w:ascii="Arial" w:hAnsi="Arial" w:cs="Arial"/>
                <w:sz w:val="18"/>
                <w:szCs w:val="18"/>
              </w:rPr>
            </w:pPr>
            <w:r w:rsidRPr="00DE475B">
              <w:rPr>
                <w:rFonts w:ascii="Arial" w:hAnsi="Arial" w:cs="Arial"/>
                <w:sz w:val="18"/>
                <w:szCs w:val="18"/>
              </w:rPr>
              <w:t> </w:t>
            </w:r>
          </w:p>
        </w:tc>
      </w:tr>
      <w:tr w:rsidR="00C7152D" w:rsidRPr="00DE475B" w:rsidTr="00A1189F">
        <w:trPr>
          <w:trHeight w:val="255"/>
        </w:trPr>
        <w:tc>
          <w:tcPr>
            <w:tcW w:w="2438" w:type="dxa"/>
            <w:tcBorders>
              <w:top w:val="nil"/>
              <w:bottom w:val="nil"/>
            </w:tcBorders>
            <w:shd w:val="clear" w:color="auto" w:fill="auto"/>
            <w:noWrap/>
            <w:tcMar>
              <w:right w:w="28" w:type="dxa"/>
            </w:tcMar>
            <w:vAlign w:val="center"/>
            <w:hideMark/>
          </w:tcPr>
          <w:p w:rsidR="00C7152D" w:rsidRPr="00DE475B" w:rsidRDefault="00C7152D" w:rsidP="00A1189F">
            <w:pPr>
              <w:rPr>
                <w:rFonts w:ascii="Arial" w:hAnsi="Arial" w:cs="Arial"/>
                <w:sz w:val="18"/>
                <w:szCs w:val="18"/>
              </w:rPr>
            </w:pPr>
            <w:r w:rsidRPr="00DE475B">
              <w:rPr>
                <w:rFonts w:ascii="Arial" w:hAnsi="Arial" w:cs="Arial"/>
                <w:sz w:val="18"/>
                <w:szCs w:val="18"/>
              </w:rPr>
              <w:t>Current</w:t>
            </w:r>
            <w:r w:rsidRPr="00DE475B">
              <w:rPr>
                <w:rFonts w:ascii="Arial" w:hAnsi="Arial" w:cs="Arial"/>
                <w:sz w:val="16"/>
                <w:szCs w:val="16"/>
              </w:rPr>
              <w:t xml:space="preserve"> (acting from 20/10/15 to 24/11/15; appointed from 27/11/15)</w:t>
            </w:r>
          </w:p>
        </w:tc>
        <w:tc>
          <w:tcPr>
            <w:tcW w:w="103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197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w:t>
            </w:r>
          </w:p>
        </w:tc>
        <w:tc>
          <w:tcPr>
            <w:tcW w:w="108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4 </w:t>
            </w:r>
          </w:p>
        </w:tc>
        <w:tc>
          <w:tcPr>
            <w:tcW w:w="1215"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20 </w:t>
            </w:r>
          </w:p>
        </w:tc>
        <w:tc>
          <w:tcPr>
            <w:tcW w:w="1108"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221 </w:t>
            </w:r>
          </w:p>
        </w:tc>
      </w:tr>
      <w:tr w:rsidR="00C7152D" w:rsidRPr="00DE475B" w:rsidTr="00A1189F">
        <w:trPr>
          <w:trHeight w:val="255"/>
        </w:trPr>
        <w:tc>
          <w:tcPr>
            <w:tcW w:w="2438" w:type="dxa"/>
            <w:tcBorders>
              <w:top w:val="nil"/>
              <w:bottom w:val="nil"/>
            </w:tcBorders>
            <w:shd w:val="clear" w:color="auto" w:fill="auto"/>
            <w:noWrap/>
            <w:vAlign w:val="center"/>
            <w:hideMark/>
          </w:tcPr>
          <w:p w:rsidR="00C7152D" w:rsidRPr="00DE475B" w:rsidRDefault="00C7152D" w:rsidP="00A1189F">
            <w:pPr>
              <w:rPr>
                <w:rFonts w:ascii="Arial" w:hAnsi="Arial" w:cs="Arial"/>
                <w:sz w:val="18"/>
                <w:szCs w:val="18"/>
              </w:rPr>
            </w:pPr>
            <w:r w:rsidRPr="00DE475B">
              <w:rPr>
                <w:rFonts w:ascii="Arial" w:hAnsi="Arial" w:cs="Arial"/>
                <w:sz w:val="18"/>
                <w:szCs w:val="18"/>
              </w:rPr>
              <w:t>Former</w:t>
            </w:r>
          </w:p>
        </w:tc>
        <w:tc>
          <w:tcPr>
            <w:tcW w:w="103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154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w:t>
            </w:r>
          </w:p>
        </w:tc>
        <w:tc>
          <w:tcPr>
            <w:tcW w:w="108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2 </w:t>
            </w:r>
          </w:p>
        </w:tc>
        <w:tc>
          <w:tcPr>
            <w:tcW w:w="1215"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11 </w:t>
            </w:r>
          </w:p>
        </w:tc>
        <w:tc>
          <w:tcPr>
            <w:tcW w:w="1108"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16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183</w:t>
            </w:r>
          </w:p>
        </w:tc>
      </w:tr>
      <w:tr w:rsidR="00C7152D" w:rsidRPr="00DE475B" w:rsidTr="00795627">
        <w:trPr>
          <w:trHeight w:val="255"/>
        </w:trPr>
        <w:tc>
          <w:tcPr>
            <w:tcW w:w="2438" w:type="dxa"/>
            <w:tcBorders>
              <w:top w:val="nil"/>
              <w:bottom w:val="single" w:sz="4" w:space="0" w:color="auto"/>
            </w:tcBorders>
            <w:shd w:val="clear" w:color="auto" w:fill="auto"/>
            <w:noWrap/>
            <w:vAlign w:val="center"/>
            <w:hideMark/>
          </w:tcPr>
          <w:p w:rsidR="00C7152D" w:rsidRPr="00DE475B" w:rsidRDefault="00C7152D" w:rsidP="00A1189F">
            <w:pPr>
              <w:rPr>
                <w:rFonts w:ascii="Arial" w:hAnsi="Arial" w:cs="Arial"/>
                <w:sz w:val="18"/>
                <w:szCs w:val="18"/>
              </w:rPr>
            </w:pPr>
            <w:r w:rsidRPr="00DE475B">
              <w:rPr>
                <w:rFonts w:ascii="Arial" w:hAnsi="Arial" w:cs="Arial"/>
                <w:sz w:val="18"/>
                <w:szCs w:val="18"/>
              </w:rPr>
              <w:t>Temporary Relieving </w:t>
            </w:r>
          </w:p>
        </w:tc>
        <w:tc>
          <w:tcPr>
            <w:tcW w:w="1032"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26 </w:t>
            </w:r>
          </w:p>
        </w:tc>
        <w:tc>
          <w:tcPr>
            <w:tcW w:w="1011"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w:t>
            </w:r>
          </w:p>
        </w:tc>
        <w:tc>
          <w:tcPr>
            <w:tcW w:w="1082"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1 </w:t>
            </w:r>
          </w:p>
        </w:tc>
        <w:tc>
          <w:tcPr>
            <w:tcW w:w="1215"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2 </w:t>
            </w:r>
          </w:p>
        </w:tc>
        <w:tc>
          <w:tcPr>
            <w:tcW w:w="1108"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11"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29 </w:t>
            </w:r>
          </w:p>
        </w:tc>
      </w:tr>
      <w:tr w:rsidR="00795627" w:rsidRPr="00DE475B" w:rsidTr="00795627">
        <w:trPr>
          <w:trHeight w:val="255"/>
        </w:trPr>
        <w:tc>
          <w:tcPr>
            <w:tcW w:w="5563" w:type="dxa"/>
            <w:gridSpan w:val="4"/>
            <w:tcBorders>
              <w:bottom w:val="nil"/>
            </w:tcBorders>
            <w:shd w:val="clear" w:color="auto" w:fill="auto"/>
            <w:noWrap/>
            <w:vAlign w:val="center"/>
          </w:tcPr>
          <w:p w:rsidR="00795627" w:rsidRPr="00DE475B" w:rsidRDefault="00795627" w:rsidP="00795627">
            <w:pPr>
              <w:rPr>
                <w:rFonts w:ascii="Arial" w:hAnsi="Arial" w:cs="Arial"/>
                <w:sz w:val="20"/>
                <w:szCs w:val="20"/>
              </w:rPr>
            </w:pPr>
            <w:r>
              <w:rPr>
                <w:rFonts w:ascii="Arial" w:hAnsi="Arial" w:cs="Arial"/>
                <w:i/>
                <w:sz w:val="20"/>
                <w:szCs w:val="20"/>
              </w:rPr>
              <w:t xml:space="preserve">Executive </w:t>
            </w:r>
            <w:r w:rsidRPr="00DE475B">
              <w:rPr>
                <w:rFonts w:ascii="Arial" w:hAnsi="Arial" w:cs="Arial"/>
                <w:i/>
                <w:sz w:val="20"/>
                <w:szCs w:val="20"/>
              </w:rPr>
              <w:t xml:space="preserve">Director, Corporate </w:t>
            </w:r>
            <w:r>
              <w:rPr>
                <w:rFonts w:ascii="Arial" w:hAnsi="Arial" w:cs="Arial"/>
                <w:i/>
                <w:sz w:val="20"/>
                <w:szCs w:val="20"/>
              </w:rPr>
              <w:t>Governance and Operations</w:t>
            </w:r>
          </w:p>
        </w:tc>
        <w:tc>
          <w:tcPr>
            <w:tcW w:w="1215" w:type="dxa"/>
            <w:tcBorders>
              <w:bottom w:val="nil"/>
            </w:tcBorders>
            <w:shd w:val="clear" w:color="auto" w:fill="auto"/>
            <w:noWrap/>
            <w:vAlign w:val="center"/>
          </w:tcPr>
          <w:p w:rsidR="00795627" w:rsidRPr="00DE475B" w:rsidRDefault="00795627" w:rsidP="00A1189F">
            <w:pPr>
              <w:jc w:val="right"/>
              <w:rPr>
                <w:rFonts w:ascii="Arial" w:hAnsi="Arial" w:cs="Arial"/>
                <w:sz w:val="20"/>
                <w:szCs w:val="20"/>
              </w:rPr>
            </w:pPr>
          </w:p>
        </w:tc>
        <w:tc>
          <w:tcPr>
            <w:tcW w:w="1108" w:type="dxa"/>
            <w:tcBorders>
              <w:bottom w:val="nil"/>
            </w:tcBorders>
            <w:shd w:val="clear" w:color="auto" w:fill="auto"/>
            <w:noWrap/>
            <w:vAlign w:val="center"/>
          </w:tcPr>
          <w:p w:rsidR="00795627" w:rsidRPr="00DE475B" w:rsidRDefault="00795627" w:rsidP="00A1189F">
            <w:pPr>
              <w:jc w:val="right"/>
              <w:rPr>
                <w:rFonts w:ascii="Arial" w:hAnsi="Arial" w:cs="Arial"/>
                <w:sz w:val="20"/>
                <w:szCs w:val="20"/>
              </w:rPr>
            </w:pPr>
          </w:p>
        </w:tc>
        <w:tc>
          <w:tcPr>
            <w:tcW w:w="1011" w:type="dxa"/>
            <w:tcBorders>
              <w:bottom w:val="nil"/>
            </w:tcBorders>
            <w:shd w:val="clear" w:color="auto" w:fill="auto"/>
            <w:noWrap/>
            <w:vAlign w:val="center"/>
          </w:tcPr>
          <w:p w:rsidR="00795627" w:rsidRPr="00DE475B" w:rsidRDefault="00795627" w:rsidP="00A1189F">
            <w:pPr>
              <w:jc w:val="right"/>
              <w:rPr>
                <w:rFonts w:ascii="Arial" w:hAnsi="Arial" w:cs="Arial"/>
                <w:sz w:val="20"/>
                <w:szCs w:val="20"/>
              </w:rPr>
            </w:pPr>
          </w:p>
        </w:tc>
      </w:tr>
      <w:tr w:rsidR="00C7152D" w:rsidRPr="00DE475B" w:rsidTr="00795627">
        <w:trPr>
          <w:trHeight w:val="255"/>
        </w:trPr>
        <w:tc>
          <w:tcPr>
            <w:tcW w:w="2438" w:type="dxa"/>
            <w:tcBorders>
              <w:top w:val="nil"/>
              <w:bottom w:val="single" w:sz="4" w:space="0" w:color="auto"/>
            </w:tcBorders>
            <w:shd w:val="clear" w:color="auto" w:fill="auto"/>
            <w:noWrap/>
            <w:vAlign w:val="center"/>
            <w:hideMark/>
          </w:tcPr>
          <w:p w:rsidR="00C7152D" w:rsidRPr="00DE475B" w:rsidRDefault="003A661B" w:rsidP="00A1189F">
            <w:pPr>
              <w:rPr>
                <w:rFonts w:ascii="Arial" w:hAnsi="Arial" w:cs="Arial"/>
                <w:i/>
                <w:sz w:val="20"/>
                <w:szCs w:val="20"/>
              </w:rPr>
            </w:pPr>
            <w:r w:rsidRPr="003A661B">
              <w:rPr>
                <w:rFonts w:ascii="Arial" w:hAnsi="Arial" w:cs="Arial"/>
                <w:sz w:val="18"/>
                <w:szCs w:val="18"/>
              </w:rPr>
              <w:t>Current</w:t>
            </w:r>
          </w:p>
        </w:tc>
        <w:tc>
          <w:tcPr>
            <w:tcW w:w="1032"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188 </w:t>
            </w:r>
          </w:p>
        </w:tc>
        <w:tc>
          <w:tcPr>
            <w:tcW w:w="1011"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82"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4 </w:t>
            </w:r>
          </w:p>
        </w:tc>
        <w:tc>
          <w:tcPr>
            <w:tcW w:w="1215"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18 </w:t>
            </w:r>
          </w:p>
        </w:tc>
        <w:tc>
          <w:tcPr>
            <w:tcW w:w="1108"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11"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210 </w:t>
            </w:r>
          </w:p>
        </w:tc>
      </w:tr>
      <w:tr w:rsidR="00795627" w:rsidRPr="00DE475B" w:rsidTr="00A1189F">
        <w:trPr>
          <w:trHeight w:val="255"/>
        </w:trPr>
        <w:tc>
          <w:tcPr>
            <w:tcW w:w="4481" w:type="dxa"/>
            <w:gridSpan w:val="3"/>
            <w:tcBorders>
              <w:top w:val="single" w:sz="4" w:space="0" w:color="auto"/>
              <w:bottom w:val="nil"/>
            </w:tcBorders>
            <w:shd w:val="clear" w:color="auto" w:fill="auto"/>
            <w:noWrap/>
            <w:vAlign w:val="center"/>
            <w:hideMark/>
          </w:tcPr>
          <w:p w:rsidR="00795627" w:rsidRPr="00795627" w:rsidRDefault="00795627" w:rsidP="00795627">
            <w:pPr>
              <w:rPr>
                <w:rFonts w:ascii="Arial" w:hAnsi="Arial" w:cs="Arial"/>
                <w:i/>
                <w:sz w:val="20"/>
                <w:szCs w:val="20"/>
              </w:rPr>
            </w:pPr>
            <w:r>
              <w:rPr>
                <w:rFonts w:ascii="Arial" w:hAnsi="Arial" w:cs="Arial"/>
                <w:i/>
                <w:sz w:val="20"/>
                <w:szCs w:val="20"/>
              </w:rPr>
              <w:t xml:space="preserve">Executive </w:t>
            </w:r>
            <w:r w:rsidRPr="00DE475B">
              <w:rPr>
                <w:rFonts w:ascii="Arial" w:hAnsi="Arial" w:cs="Arial"/>
                <w:i/>
                <w:sz w:val="20"/>
                <w:szCs w:val="20"/>
              </w:rPr>
              <w:t xml:space="preserve">Director, Content Development </w:t>
            </w:r>
            <w:r w:rsidRPr="00DE475B">
              <w:rPr>
                <w:rFonts w:ascii="Arial" w:hAnsi="Arial" w:cs="Arial"/>
                <w:sz w:val="20"/>
                <w:szCs w:val="20"/>
              </w:rPr>
              <w:t> </w:t>
            </w:r>
            <w:r w:rsidRPr="00DE475B">
              <w:rPr>
                <w:rFonts w:ascii="Arial" w:hAnsi="Arial" w:cs="Arial"/>
                <w:sz w:val="18"/>
                <w:szCs w:val="18"/>
              </w:rPr>
              <w:t> </w:t>
            </w:r>
          </w:p>
        </w:tc>
        <w:tc>
          <w:tcPr>
            <w:tcW w:w="1082" w:type="dxa"/>
            <w:tcBorders>
              <w:top w:val="single" w:sz="4" w:space="0" w:color="auto"/>
              <w:bottom w:val="nil"/>
            </w:tcBorders>
            <w:shd w:val="clear" w:color="auto" w:fill="auto"/>
            <w:noWrap/>
            <w:vAlign w:val="center"/>
            <w:hideMark/>
          </w:tcPr>
          <w:p w:rsidR="00795627" w:rsidRPr="00DE475B" w:rsidRDefault="00795627" w:rsidP="00A1189F">
            <w:pPr>
              <w:jc w:val="right"/>
              <w:rPr>
                <w:rFonts w:ascii="Arial" w:hAnsi="Arial" w:cs="Arial"/>
                <w:sz w:val="18"/>
                <w:szCs w:val="18"/>
              </w:rPr>
            </w:pPr>
            <w:r w:rsidRPr="00DE475B">
              <w:rPr>
                <w:rFonts w:ascii="Arial" w:hAnsi="Arial" w:cs="Arial"/>
                <w:sz w:val="18"/>
                <w:szCs w:val="18"/>
              </w:rPr>
              <w:t> </w:t>
            </w:r>
          </w:p>
        </w:tc>
        <w:tc>
          <w:tcPr>
            <w:tcW w:w="1215" w:type="dxa"/>
            <w:tcBorders>
              <w:top w:val="single" w:sz="4" w:space="0" w:color="auto"/>
              <w:bottom w:val="nil"/>
            </w:tcBorders>
            <w:shd w:val="clear" w:color="auto" w:fill="auto"/>
            <w:noWrap/>
            <w:vAlign w:val="center"/>
            <w:hideMark/>
          </w:tcPr>
          <w:p w:rsidR="00795627" w:rsidRPr="00DE475B" w:rsidRDefault="00795627" w:rsidP="00A1189F">
            <w:pPr>
              <w:jc w:val="right"/>
              <w:rPr>
                <w:rFonts w:ascii="Arial" w:hAnsi="Arial" w:cs="Arial"/>
                <w:sz w:val="18"/>
                <w:szCs w:val="18"/>
              </w:rPr>
            </w:pPr>
            <w:r w:rsidRPr="00DE475B">
              <w:rPr>
                <w:rFonts w:ascii="Arial" w:hAnsi="Arial" w:cs="Arial"/>
                <w:sz w:val="18"/>
                <w:szCs w:val="18"/>
              </w:rPr>
              <w:t> </w:t>
            </w:r>
          </w:p>
        </w:tc>
        <w:tc>
          <w:tcPr>
            <w:tcW w:w="1108" w:type="dxa"/>
            <w:tcBorders>
              <w:top w:val="single" w:sz="4" w:space="0" w:color="auto"/>
              <w:bottom w:val="nil"/>
            </w:tcBorders>
            <w:shd w:val="clear" w:color="auto" w:fill="auto"/>
            <w:noWrap/>
            <w:vAlign w:val="center"/>
            <w:hideMark/>
          </w:tcPr>
          <w:p w:rsidR="00795627" w:rsidRPr="00DE475B" w:rsidRDefault="00795627" w:rsidP="00A1189F">
            <w:pPr>
              <w:jc w:val="right"/>
              <w:rPr>
                <w:rFonts w:ascii="Arial" w:hAnsi="Arial" w:cs="Arial"/>
                <w:sz w:val="18"/>
                <w:szCs w:val="18"/>
              </w:rPr>
            </w:pPr>
            <w:r w:rsidRPr="00DE475B">
              <w:rPr>
                <w:rFonts w:ascii="Arial" w:hAnsi="Arial" w:cs="Arial"/>
                <w:sz w:val="18"/>
                <w:szCs w:val="18"/>
              </w:rPr>
              <w:t> </w:t>
            </w:r>
          </w:p>
        </w:tc>
        <w:tc>
          <w:tcPr>
            <w:tcW w:w="1011" w:type="dxa"/>
            <w:tcBorders>
              <w:top w:val="single" w:sz="4" w:space="0" w:color="auto"/>
              <w:bottom w:val="nil"/>
            </w:tcBorders>
            <w:shd w:val="clear" w:color="auto" w:fill="auto"/>
            <w:noWrap/>
            <w:vAlign w:val="center"/>
            <w:hideMark/>
          </w:tcPr>
          <w:p w:rsidR="00795627" w:rsidRPr="00DE475B" w:rsidRDefault="00795627" w:rsidP="00A1189F">
            <w:pPr>
              <w:jc w:val="right"/>
              <w:rPr>
                <w:rFonts w:ascii="Arial" w:hAnsi="Arial" w:cs="Arial"/>
                <w:sz w:val="18"/>
                <w:szCs w:val="18"/>
              </w:rPr>
            </w:pPr>
            <w:r w:rsidRPr="00DE475B">
              <w:rPr>
                <w:rFonts w:ascii="Arial" w:hAnsi="Arial" w:cs="Arial"/>
                <w:sz w:val="18"/>
                <w:szCs w:val="18"/>
              </w:rPr>
              <w:t> </w:t>
            </w:r>
          </w:p>
        </w:tc>
      </w:tr>
      <w:tr w:rsidR="00C7152D" w:rsidRPr="00DE475B" w:rsidTr="00A1189F">
        <w:trPr>
          <w:trHeight w:val="255"/>
        </w:trPr>
        <w:tc>
          <w:tcPr>
            <w:tcW w:w="2438" w:type="dxa"/>
            <w:tcBorders>
              <w:top w:val="nil"/>
              <w:bottom w:val="nil"/>
            </w:tcBorders>
            <w:shd w:val="clear" w:color="auto" w:fill="auto"/>
            <w:noWrap/>
            <w:vAlign w:val="center"/>
            <w:hideMark/>
          </w:tcPr>
          <w:p w:rsidR="00C7152D" w:rsidRPr="00DE475B" w:rsidRDefault="00C7152D" w:rsidP="00A1189F">
            <w:pPr>
              <w:rPr>
                <w:rFonts w:ascii="Arial" w:hAnsi="Arial" w:cs="Arial"/>
                <w:sz w:val="18"/>
                <w:szCs w:val="18"/>
              </w:rPr>
            </w:pPr>
            <w:r w:rsidRPr="00DE475B">
              <w:rPr>
                <w:rFonts w:ascii="Arial" w:hAnsi="Arial" w:cs="Arial"/>
                <w:sz w:val="18"/>
                <w:szCs w:val="18"/>
              </w:rPr>
              <w:t>Current</w:t>
            </w:r>
          </w:p>
        </w:tc>
        <w:tc>
          <w:tcPr>
            <w:tcW w:w="103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171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w:t>
            </w:r>
          </w:p>
        </w:tc>
        <w:tc>
          <w:tcPr>
            <w:tcW w:w="108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4 </w:t>
            </w:r>
          </w:p>
        </w:tc>
        <w:tc>
          <w:tcPr>
            <w:tcW w:w="1215"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18 </w:t>
            </w:r>
          </w:p>
        </w:tc>
        <w:tc>
          <w:tcPr>
            <w:tcW w:w="1108"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193 </w:t>
            </w:r>
          </w:p>
        </w:tc>
      </w:tr>
      <w:tr w:rsidR="00C7152D" w:rsidRPr="00DE475B" w:rsidTr="00A1189F">
        <w:trPr>
          <w:trHeight w:val="255"/>
        </w:trPr>
        <w:tc>
          <w:tcPr>
            <w:tcW w:w="2438" w:type="dxa"/>
            <w:tcBorders>
              <w:top w:val="nil"/>
              <w:bottom w:val="single" w:sz="4" w:space="0" w:color="auto"/>
            </w:tcBorders>
            <w:shd w:val="clear" w:color="auto" w:fill="auto"/>
            <w:noWrap/>
            <w:vAlign w:val="center"/>
            <w:hideMark/>
          </w:tcPr>
          <w:p w:rsidR="00C7152D" w:rsidRPr="00DE475B" w:rsidRDefault="00C7152D" w:rsidP="00A1189F">
            <w:pPr>
              <w:rPr>
                <w:rFonts w:ascii="Arial" w:hAnsi="Arial" w:cs="Arial"/>
                <w:sz w:val="18"/>
                <w:szCs w:val="18"/>
              </w:rPr>
            </w:pPr>
            <w:r w:rsidRPr="00DE475B">
              <w:rPr>
                <w:rFonts w:ascii="Arial" w:hAnsi="Arial" w:cs="Arial"/>
                <w:sz w:val="18"/>
                <w:szCs w:val="18"/>
              </w:rPr>
              <w:t>Temporary Relieving</w:t>
            </w:r>
          </w:p>
        </w:tc>
        <w:tc>
          <w:tcPr>
            <w:tcW w:w="1032"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14 </w:t>
            </w:r>
          </w:p>
        </w:tc>
        <w:tc>
          <w:tcPr>
            <w:tcW w:w="1011"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82" w:type="dxa"/>
            <w:tcBorders>
              <w:top w:val="nil"/>
              <w:bottom w:val="single" w:sz="4" w:space="0" w:color="auto"/>
            </w:tcBorders>
            <w:shd w:val="clear" w:color="auto" w:fill="auto"/>
            <w:noWrap/>
            <w:vAlign w:val="center"/>
            <w:hideMark/>
          </w:tcPr>
          <w:p w:rsidR="00C7152D" w:rsidRPr="00DE475B" w:rsidRDefault="00C7152D" w:rsidP="0065615C">
            <w:pPr>
              <w:jc w:val="right"/>
              <w:rPr>
                <w:rFonts w:ascii="Arial" w:hAnsi="Arial" w:cs="Arial"/>
                <w:sz w:val="20"/>
                <w:szCs w:val="20"/>
              </w:rPr>
            </w:pPr>
            <w:r w:rsidRPr="00DE475B">
              <w:rPr>
                <w:rFonts w:ascii="Arial" w:hAnsi="Arial" w:cs="Arial"/>
                <w:sz w:val="20"/>
                <w:szCs w:val="20"/>
              </w:rPr>
              <w:t xml:space="preserve">             </w:t>
            </w:r>
            <w:r w:rsidR="0065615C">
              <w:rPr>
                <w:rFonts w:ascii="Arial" w:hAnsi="Arial" w:cs="Arial"/>
                <w:sz w:val="20"/>
                <w:szCs w:val="20"/>
              </w:rPr>
              <w:t>-</w:t>
            </w:r>
            <w:r w:rsidRPr="00DE475B">
              <w:rPr>
                <w:rFonts w:ascii="Arial" w:hAnsi="Arial" w:cs="Arial"/>
                <w:sz w:val="20"/>
                <w:szCs w:val="20"/>
              </w:rPr>
              <w:t xml:space="preserve"> </w:t>
            </w:r>
          </w:p>
        </w:tc>
        <w:tc>
          <w:tcPr>
            <w:tcW w:w="1215"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1 </w:t>
            </w:r>
          </w:p>
        </w:tc>
        <w:tc>
          <w:tcPr>
            <w:tcW w:w="1108"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11"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15 </w:t>
            </w:r>
          </w:p>
        </w:tc>
      </w:tr>
      <w:tr w:rsidR="00795627" w:rsidRPr="00DE475B" w:rsidTr="00A1189F">
        <w:trPr>
          <w:trHeight w:val="255"/>
        </w:trPr>
        <w:tc>
          <w:tcPr>
            <w:tcW w:w="5563" w:type="dxa"/>
            <w:gridSpan w:val="4"/>
            <w:tcBorders>
              <w:bottom w:val="nil"/>
            </w:tcBorders>
            <w:shd w:val="clear" w:color="auto" w:fill="auto"/>
            <w:noWrap/>
            <w:vAlign w:val="center"/>
            <w:hideMark/>
          </w:tcPr>
          <w:p w:rsidR="00795627" w:rsidRPr="00795627" w:rsidRDefault="00795627" w:rsidP="00795627">
            <w:pPr>
              <w:rPr>
                <w:rFonts w:ascii="Arial" w:hAnsi="Arial" w:cs="Arial"/>
                <w:i/>
                <w:sz w:val="20"/>
                <w:szCs w:val="20"/>
              </w:rPr>
            </w:pPr>
            <w:r>
              <w:rPr>
                <w:rFonts w:ascii="Arial" w:hAnsi="Arial" w:cs="Arial"/>
                <w:i/>
                <w:sz w:val="20"/>
                <w:szCs w:val="20"/>
              </w:rPr>
              <w:t xml:space="preserve">Executive </w:t>
            </w:r>
            <w:r w:rsidRPr="00DE475B">
              <w:rPr>
                <w:rFonts w:ascii="Arial" w:hAnsi="Arial" w:cs="Arial"/>
                <w:i/>
                <w:sz w:val="20"/>
                <w:szCs w:val="20"/>
              </w:rPr>
              <w:t>Director, Regional Access and Public Libraries </w:t>
            </w:r>
            <w:r w:rsidRPr="00DE475B">
              <w:rPr>
                <w:rFonts w:ascii="Arial" w:hAnsi="Arial" w:cs="Arial"/>
                <w:sz w:val="18"/>
                <w:szCs w:val="18"/>
              </w:rPr>
              <w:t> </w:t>
            </w:r>
          </w:p>
        </w:tc>
        <w:tc>
          <w:tcPr>
            <w:tcW w:w="1215" w:type="dxa"/>
            <w:tcBorders>
              <w:bottom w:val="nil"/>
            </w:tcBorders>
            <w:shd w:val="clear" w:color="auto" w:fill="auto"/>
            <w:noWrap/>
            <w:vAlign w:val="center"/>
            <w:hideMark/>
          </w:tcPr>
          <w:p w:rsidR="00795627" w:rsidRPr="00DE475B" w:rsidRDefault="00795627" w:rsidP="00A1189F">
            <w:pPr>
              <w:jc w:val="right"/>
              <w:rPr>
                <w:rFonts w:ascii="Arial" w:hAnsi="Arial" w:cs="Arial"/>
                <w:sz w:val="18"/>
                <w:szCs w:val="18"/>
              </w:rPr>
            </w:pPr>
            <w:r w:rsidRPr="00DE475B">
              <w:rPr>
                <w:rFonts w:ascii="Arial" w:hAnsi="Arial" w:cs="Arial"/>
                <w:sz w:val="18"/>
                <w:szCs w:val="18"/>
              </w:rPr>
              <w:t> </w:t>
            </w:r>
          </w:p>
        </w:tc>
        <w:tc>
          <w:tcPr>
            <w:tcW w:w="1108" w:type="dxa"/>
            <w:tcBorders>
              <w:bottom w:val="nil"/>
            </w:tcBorders>
            <w:shd w:val="clear" w:color="auto" w:fill="auto"/>
            <w:noWrap/>
            <w:vAlign w:val="center"/>
            <w:hideMark/>
          </w:tcPr>
          <w:p w:rsidR="00795627" w:rsidRPr="00DE475B" w:rsidRDefault="00795627" w:rsidP="00A1189F">
            <w:pPr>
              <w:jc w:val="right"/>
              <w:rPr>
                <w:rFonts w:ascii="Arial" w:hAnsi="Arial" w:cs="Arial"/>
                <w:sz w:val="18"/>
                <w:szCs w:val="18"/>
              </w:rPr>
            </w:pPr>
            <w:r w:rsidRPr="00DE475B">
              <w:rPr>
                <w:rFonts w:ascii="Arial" w:hAnsi="Arial" w:cs="Arial"/>
                <w:sz w:val="18"/>
                <w:szCs w:val="18"/>
              </w:rPr>
              <w:t> </w:t>
            </w:r>
          </w:p>
        </w:tc>
        <w:tc>
          <w:tcPr>
            <w:tcW w:w="1011" w:type="dxa"/>
            <w:tcBorders>
              <w:bottom w:val="nil"/>
            </w:tcBorders>
            <w:shd w:val="clear" w:color="auto" w:fill="auto"/>
            <w:noWrap/>
            <w:vAlign w:val="center"/>
            <w:hideMark/>
          </w:tcPr>
          <w:p w:rsidR="00795627" w:rsidRPr="00DE475B" w:rsidRDefault="00795627" w:rsidP="00A1189F">
            <w:pPr>
              <w:jc w:val="right"/>
              <w:rPr>
                <w:rFonts w:ascii="Arial" w:hAnsi="Arial" w:cs="Arial"/>
                <w:sz w:val="18"/>
                <w:szCs w:val="18"/>
              </w:rPr>
            </w:pPr>
            <w:r w:rsidRPr="00DE475B">
              <w:rPr>
                <w:rFonts w:ascii="Arial" w:hAnsi="Arial" w:cs="Arial"/>
                <w:sz w:val="18"/>
                <w:szCs w:val="18"/>
              </w:rPr>
              <w:t> </w:t>
            </w:r>
          </w:p>
        </w:tc>
      </w:tr>
      <w:tr w:rsidR="00C7152D" w:rsidRPr="00DE475B" w:rsidTr="00A1189F">
        <w:trPr>
          <w:trHeight w:val="255"/>
        </w:trPr>
        <w:tc>
          <w:tcPr>
            <w:tcW w:w="2438" w:type="dxa"/>
            <w:tcBorders>
              <w:top w:val="nil"/>
              <w:bottom w:val="nil"/>
            </w:tcBorders>
            <w:shd w:val="clear" w:color="auto" w:fill="auto"/>
            <w:noWrap/>
            <w:vAlign w:val="center"/>
            <w:hideMark/>
          </w:tcPr>
          <w:p w:rsidR="00C7152D" w:rsidRPr="00DE475B" w:rsidRDefault="00C7152D" w:rsidP="00A1189F">
            <w:pPr>
              <w:rPr>
                <w:rFonts w:ascii="Arial" w:hAnsi="Arial" w:cs="Arial"/>
                <w:sz w:val="18"/>
                <w:szCs w:val="18"/>
              </w:rPr>
            </w:pPr>
            <w:r w:rsidRPr="00DE475B">
              <w:rPr>
                <w:rFonts w:ascii="Arial" w:hAnsi="Arial" w:cs="Arial"/>
                <w:sz w:val="18"/>
                <w:szCs w:val="18"/>
              </w:rPr>
              <w:t>Current</w:t>
            </w:r>
          </w:p>
        </w:tc>
        <w:tc>
          <w:tcPr>
            <w:tcW w:w="103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10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w:t>
            </w:r>
          </w:p>
        </w:tc>
        <w:tc>
          <w:tcPr>
            <w:tcW w:w="1082" w:type="dxa"/>
            <w:tcBorders>
              <w:top w:val="nil"/>
              <w:bottom w:val="nil"/>
            </w:tcBorders>
            <w:shd w:val="clear" w:color="auto" w:fill="auto"/>
            <w:noWrap/>
            <w:vAlign w:val="center"/>
            <w:hideMark/>
          </w:tcPr>
          <w:p w:rsidR="00C7152D" w:rsidRPr="00DE475B" w:rsidRDefault="0065615C" w:rsidP="00A1189F">
            <w:pPr>
              <w:jc w:val="right"/>
              <w:rPr>
                <w:rFonts w:ascii="Arial" w:hAnsi="Arial" w:cs="Arial"/>
                <w:sz w:val="20"/>
                <w:szCs w:val="20"/>
              </w:rPr>
            </w:pPr>
            <w:r>
              <w:rPr>
                <w:rFonts w:ascii="Arial" w:hAnsi="Arial" w:cs="Arial"/>
                <w:sz w:val="20"/>
                <w:szCs w:val="20"/>
              </w:rPr>
              <w:t>-</w:t>
            </w:r>
          </w:p>
        </w:tc>
        <w:tc>
          <w:tcPr>
            <w:tcW w:w="1215"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 </w:t>
            </w:r>
          </w:p>
        </w:tc>
        <w:tc>
          <w:tcPr>
            <w:tcW w:w="1108"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11 </w:t>
            </w:r>
          </w:p>
        </w:tc>
      </w:tr>
      <w:tr w:rsidR="00C7152D" w:rsidRPr="00DE475B" w:rsidTr="00A1189F">
        <w:trPr>
          <w:trHeight w:val="255"/>
        </w:trPr>
        <w:tc>
          <w:tcPr>
            <w:tcW w:w="2438" w:type="dxa"/>
            <w:tcBorders>
              <w:top w:val="nil"/>
              <w:bottom w:val="nil"/>
            </w:tcBorders>
            <w:shd w:val="clear" w:color="auto" w:fill="auto"/>
            <w:noWrap/>
            <w:vAlign w:val="center"/>
            <w:hideMark/>
          </w:tcPr>
          <w:p w:rsidR="00C7152D" w:rsidRPr="00DE475B" w:rsidRDefault="00C7152D" w:rsidP="00A1189F">
            <w:pPr>
              <w:rPr>
                <w:rFonts w:ascii="Arial" w:hAnsi="Arial" w:cs="Arial"/>
                <w:sz w:val="18"/>
                <w:szCs w:val="18"/>
              </w:rPr>
            </w:pPr>
            <w:r w:rsidRPr="00DE475B">
              <w:rPr>
                <w:rFonts w:ascii="Arial" w:hAnsi="Arial" w:cs="Arial"/>
                <w:sz w:val="18"/>
                <w:szCs w:val="18"/>
              </w:rPr>
              <w:t>Former</w:t>
            </w:r>
          </w:p>
        </w:tc>
        <w:tc>
          <w:tcPr>
            <w:tcW w:w="103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153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8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3 </w:t>
            </w:r>
          </w:p>
        </w:tc>
        <w:tc>
          <w:tcPr>
            <w:tcW w:w="1215"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16 </w:t>
            </w:r>
          </w:p>
        </w:tc>
        <w:tc>
          <w:tcPr>
            <w:tcW w:w="1108"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7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179 </w:t>
            </w:r>
          </w:p>
        </w:tc>
      </w:tr>
      <w:tr w:rsidR="00C7152D" w:rsidRPr="00DE475B" w:rsidTr="00A1189F">
        <w:trPr>
          <w:trHeight w:val="255"/>
        </w:trPr>
        <w:tc>
          <w:tcPr>
            <w:tcW w:w="2438" w:type="dxa"/>
            <w:tcBorders>
              <w:top w:val="nil"/>
              <w:bottom w:val="single" w:sz="4" w:space="0" w:color="auto"/>
            </w:tcBorders>
            <w:shd w:val="clear" w:color="auto" w:fill="auto"/>
            <w:noWrap/>
            <w:vAlign w:val="center"/>
            <w:hideMark/>
          </w:tcPr>
          <w:p w:rsidR="00C7152D" w:rsidRPr="00DE475B" w:rsidRDefault="00C7152D" w:rsidP="00A1189F">
            <w:pPr>
              <w:rPr>
                <w:rFonts w:ascii="Arial" w:hAnsi="Arial" w:cs="Arial"/>
                <w:sz w:val="18"/>
                <w:szCs w:val="18"/>
              </w:rPr>
            </w:pPr>
            <w:r w:rsidRPr="00DE475B">
              <w:rPr>
                <w:rFonts w:ascii="Arial" w:hAnsi="Arial" w:cs="Arial"/>
                <w:sz w:val="18"/>
                <w:szCs w:val="18"/>
              </w:rPr>
              <w:t>Temporary Relieving</w:t>
            </w:r>
          </w:p>
        </w:tc>
        <w:tc>
          <w:tcPr>
            <w:tcW w:w="1032"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10 </w:t>
            </w:r>
          </w:p>
        </w:tc>
        <w:tc>
          <w:tcPr>
            <w:tcW w:w="1011"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w:t>
            </w:r>
          </w:p>
        </w:tc>
        <w:tc>
          <w:tcPr>
            <w:tcW w:w="1082" w:type="dxa"/>
            <w:tcBorders>
              <w:top w:val="nil"/>
              <w:bottom w:val="single" w:sz="4" w:space="0" w:color="auto"/>
            </w:tcBorders>
            <w:shd w:val="clear" w:color="auto" w:fill="auto"/>
            <w:noWrap/>
            <w:vAlign w:val="center"/>
            <w:hideMark/>
          </w:tcPr>
          <w:p w:rsidR="00C7152D" w:rsidRPr="00DE475B" w:rsidRDefault="0065615C" w:rsidP="00A1189F">
            <w:pPr>
              <w:jc w:val="right"/>
              <w:rPr>
                <w:rFonts w:ascii="Arial" w:hAnsi="Arial" w:cs="Arial"/>
                <w:sz w:val="20"/>
                <w:szCs w:val="20"/>
              </w:rPr>
            </w:pPr>
            <w:r>
              <w:rPr>
                <w:rFonts w:ascii="Arial" w:hAnsi="Arial" w:cs="Arial"/>
                <w:sz w:val="20"/>
                <w:szCs w:val="20"/>
              </w:rPr>
              <w:t>-</w:t>
            </w:r>
            <w:r w:rsidR="00C7152D" w:rsidRPr="00DE475B">
              <w:rPr>
                <w:rFonts w:ascii="Arial" w:hAnsi="Arial" w:cs="Arial"/>
                <w:sz w:val="20"/>
                <w:szCs w:val="20"/>
              </w:rPr>
              <w:t xml:space="preserve"> </w:t>
            </w:r>
          </w:p>
        </w:tc>
        <w:tc>
          <w:tcPr>
            <w:tcW w:w="1215"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 </w:t>
            </w:r>
          </w:p>
        </w:tc>
        <w:tc>
          <w:tcPr>
            <w:tcW w:w="1108"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w:t>
            </w:r>
          </w:p>
        </w:tc>
        <w:tc>
          <w:tcPr>
            <w:tcW w:w="1011"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11 </w:t>
            </w:r>
          </w:p>
        </w:tc>
      </w:tr>
      <w:tr w:rsidR="00795627" w:rsidRPr="00DE475B" w:rsidTr="00A1189F">
        <w:trPr>
          <w:trHeight w:val="255"/>
        </w:trPr>
        <w:tc>
          <w:tcPr>
            <w:tcW w:w="5563" w:type="dxa"/>
            <w:gridSpan w:val="4"/>
            <w:tcBorders>
              <w:bottom w:val="nil"/>
            </w:tcBorders>
            <w:shd w:val="clear" w:color="auto" w:fill="auto"/>
            <w:vAlign w:val="center"/>
            <w:hideMark/>
          </w:tcPr>
          <w:p w:rsidR="00795627" w:rsidRPr="00795627" w:rsidRDefault="00795627" w:rsidP="00795627">
            <w:pPr>
              <w:rPr>
                <w:rFonts w:ascii="Arial" w:hAnsi="Arial" w:cs="Arial"/>
                <w:i/>
                <w:sz w:val="20"/>
                <w:szCs w:val="20"/>
              </w:rPr>
            </w:pPr>
            <w:r>
              <w:rPr>
                <w:rFonts w:ascii="Arial" w:hAnsi="Arial" w:cs="Arial"/>
                <w:i/>
                <w:sz w:val="20"/>
                <w:szCs w:val="20"/>
              </w:rPr>
              <w:t xml:space="preserve">Executive </w:t>
            </w:r>
            <w:r w:rsidRPr="00DE475B">
              <w:rPr>
                <w:rFonts w:ascii="Arial" w:hAnsi="Arial" w:cs="Arial"/>
                <w:i/>
                <w:sz w:val="20"/>
                <w:szCs w:val="20"/>
              </w:rPr>
              <w:t>Director, Engagement and Partnerships </w:t>
            </w:r>
            <w:r w:rsidRPr="00DE475B">
              <w:rPr>
                <w:rFonts w:ascii="Arial" w:hAnsi="Arial" w:cs="Arial"/>
                <w:sz w:val="18"/>
                <w:szCs w:val="18"/>
              </w:rPr>
              <w:t> </w:t>
            </w:r>
          </w:p>
        </w:tc>
        <w:tc>
          <w:tcPr>
            <w:tcW w:w="1215" w:type="dxa"/>
            <w:tcBorders>
              <w:bottom w:val="nil"/>
            </w:tcBorders>
            <w:shd w:val="clear" w:color="auto" w:fill="auto"/>
            <w:noWrap/>
            <w:vAlign w:val="center"/>
            <w:hideMark/>
          </w:tcPr>
          <w:p w:rsidR="00795627" w:rsidRPr="00DE475B" w:rsidRDefault="00795627" w:rsidP="00A1189F">
            <w:pPr>
              <w:jc w:val="right"/>
              <w:rPr>
                <w:rFonts w:ascii="Arial" w:hAnsi="Arial" w:cs="Arial"/>
                <w:sz w:val="18"/>
                <w:szCs w:val="18"/>
              </w:rPr>
            </w:pPr>
            <w:r w:rsidRPr="00DE475B">
              <w:rPr>
                <w:rFonts w:ascii="Arial" w:hAnsi="Arial" w:cs="Arial"/>
                <w:sz w:val="18"/>
                <w:szCs w:val="18"/>
              </w:rPr>
              <w:t> </w:t>
            </w:r>
          </w:p>
        </w:tc>
        <w:tc>
          <w:tcPr>
            <w:tcW w:w="1108" w:type="dxa"/>
            <w:tcBorders>
              <w:bottom w:val="nil"/>
            </w:tcBorders>
            <w:shd w:val="clear" w:color="auto" w:fill="auto"/>
            <w:noWrap/>
            <w:vAlign w:val="center"/>
            <w:hideMark/>
          </w:tcPr>
          <w:p w:rsidR="00795627" w:rsidRPr="00DE475B" w:rsidRDefault="00795627" w:rsidP="00A1189F">
            <w:pPr>
              <w:jc w:val="right"/>
              <w:rPr>
                <w:rFonts w:ascii="Arial" w:hAnsi="Arial" w:cs="Arial"/>
                <w:sz w:val="18"/>
                <w:szCs w:val="18"/>
              </w:rPr>
            </w:pPr>
            <w:r w:rsidRPr="00DE475B">
              <w:rPr>
                <w:rFonts w:ascii="Arial" w:hAnsi="Arial" w:cs="Arial"/>
                <w:sz w:val="18"/>
                <w:szCs w:val="18"/>
              </w:rPr>
              <w:t> </w:t>
            </w:r>
          </w:p>
        </w:tc>
        <w:tc>
          <w:tcPr>
            <w:tcW w:w="1011" w:type="dxa"/>
            <w:tcBorders>
              <w:bottom w:val="nil"/>
            </w:tcBorders>
            <w:shd w:val="clear" w:color="auto" w:fill="auto"/>
            <w:noWrap/>
            <w:vAlign w:val="center"/>
            <w:hideMark/>
          </w:tcPr>
          <w:p w:rsidR="00795627" w:rsidRPr="00DE475B" w:rsidRDefault="00795627" w:rsidP="00A1189F">
            <w:pPr>
              <w:jc w:val="right"/>
              <w:rPr>
                <w:rFonts w:ascii="Arial" w:hAnsi="Arial" w:cs="Arial"/>
                <w:sz w:val="18"/>
                <w:szCs w:val="18"/>
              </w:rPr>
            </w:pPr>
            <w:r w:rsidRPr="00DE475B">
              <w:rPr>
                <w:rFonts w:ascii="Arial" w:hAnsi="Arial" w:cs="Arial"/>
                <w:sz w:val="18"/>
                <w:szCs w:val="18"/>
              </w:rPr>
              <w:t> </w:t>
            </w:r>
          </w:p>
        </w:tc>
      </w:tr>
      <w:tr w:rsidR="00C7152D" w:rsidRPr="00DE475B" w:rsidTr="00A1189F">
        <w:trPr>
          <w:trHeight w:val="255"/>
        </w:trPr>
        <w:tc>
          <w:tcPr>
            <w:tcW w:w="2438" w:type="dxa"/>
            <w:tcBorders>
              <w:top w:val="nil"/>
              <w:bottom w:val="nil"/>
            </w:tcBorders>
            <w:shd w:val="clear" w:color="auto" w:fill="auto"/>
            <w:noWrap/>
            <w:vAlign w:val="center"/>
            <w:hideMark/>
          </w:tcPr>
          <w:p w:rsidR="00C7152D" w:rsidRPr="00DE475B" w:rsidRDefault="00C7152D" w:rsidP="00A1189F">
            <w:pPr>
              <w:rPr>
                <w:rFonts w:ascii="Arial" w:hAnsi="Arial" w:cs="Arial"/>
                <w:sz w:val="18"/>
                <w:szCs w:val="18"/>
              </w:rPr>
            </w:pPr>
            <w:r w:rsidRPr="00DE475B">
              <w:rPr>
                <w:rFonts w:ascii="Arial" w:hAnsi="Arial" w:cs="Arial"/>
                <w:sz w:val="18"/>
                <w:szCs w:val="18"/>
              </w:rPr>
              <w:t>Current</w:t>
            </w:r>
          </w:p>
        </w:tc>
        <w:tc>
          <w:tcPr>
            <w:tcW w:w="103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152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8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3 </w:t>
            </w:r>
          </w:p>
        </w:tc>
        <w:tc>
          <w:tcPr>
            <w:tcW w:w="1215"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16 </w:t>
            </w:r>
          </w:p>
        </w:tc>
        <w:tc>
          <w:tcPr>
            <w:tcW w:w="1108"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171</w:t>
            </w:r>
          </w:p>
        </w:tc>
      </w:tr>
      <w:tr w:rsidR="00C7152D" w:rsidRPr="00DE475B" w:rsidTr="00A1189F">
        <w:trPr>
          <w:trHeight w:val="255"/>
        </w:trPr>
        <w:tc>
          <w:tcPr>
            <w:tcW w:w="2438" w:type="dxa"/>
            <w:tcBorders>
              <w:top w:val="nil"/>
              <w:bottom w:val="single" w:sz="4" w:space="0" w:color="auto"/>
            </w:tcBorders>
            <w:shd w:val="clear" w:color="auto" w:fill="auto"/>
            <w:noWrap/>
            <w:vAlign w:val="center"/>
            <w:hideMark/>
          </w:tcPr>
          <w:p w:rsidR="00C7152D" w:rsidRPr="00DE475B" w:rsidRDefault="00C7152D" w:rsidP="00A1189F">
            <w:pPr>
              <w:rPr>
                <w:rFonts w:ascii="Arial" w:hAnsi="Arial" w:cs="Arial"/>
                <w:sz w:val="18"/>
                <w:szCs w:val="18"/>
              </w:rPr>
            </w:pPr>
            <w:r w:rsidRPr="00DE475B">
              <w:rPr>
                <w:rFonts w:ascii="Arial" w:hAnsi="Arial" w:cs="Arial"/>
                <w:sz w:val="18"/>
                <w:szCs w:val="18"/>
              </w:rPr>
              <w:t>Temporary Relieving</w:t>
            </w:r>
          </w:p>
        </w:tc>
        <w:tc>
          <w:tcPr>
            <w:tcW w:w="1032"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6 </w:t>
            </w:r>
          </w:p>
        </w:tc>
        <w:tc>
          <w:tcPr>
            <w:tcW w:w="1011"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82" w:type="dxa"/>
            <w:tcBorders>
              <w:top w:val="nil"/>
              <w:bottom w:val="single" w:sz="4" w:space="0" w:color="auto"/>
            </w:tcBorders>
            <w:shd w:val="clear" w:color="auto" w:fill="auto"/>
            <w:noWrap/>
            <w:vAlign w:val="center"/>
            <w:hideMark/>
          </w:tcPr>
          <w:p w:rsidR="00C7152D" w:rsidRPr="00DE475B" w:rsidRDefault="0065615C" w:rsidP="00A1189F">
            <w:pPr>
              <w:jc w:val="right"/>
              <w:rPr>
                <w:rFonts w:ascii="Arial" w:hAnsi="Arial" w:cs="Arial"/>
                <w:sz w:val="20"/>
                <w:szCs w:val="20"/>
              </w:rPr>
            </w:pPr>
            <w:r>
              <w:rPr>
                <w:rFonts w:ascii="Arial" w:hAnsi="Arial" w:cs="Arial"/>
                <w:sz w:val="20"/>
                <w:szCs w:val="20"/>
              </w:rPr>
              <w:t>-</w:t>
            </w:r>
          </w:p>
        </w:tc>
        <w:tc>
          <w:tcPr>
            <w:tcW w:w="1215"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 </w:t>
            </w:r>
          </w:p>
        </w:tc>
        <w:tc>
          <w:tcPr>
            <w:tcW w:w="1108"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11"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7 </w:t>
            </w:r>
          </w:p>
        </w:tc>
      </w:tr>
      <w:tr w:rsidR="00C7152D" w:rsidRPr="00DE475B" w:rsidTr="00A1189F">
        <w:trPr>
          <w:trHeight w:val="255"/>
        </w:trPr>
        <w:tc>
          <w:tcPr>
            <w:tcW w:w="4481" w:type="dxa"/>
            <w:gridSpan w:val="3"/>
            <w:tcBorders>
              <w:bottom w:val="nil"/>
            </w:tcBorders>
            <w:shd w:val="clear" w:color="auto" w:fill="auto"/>
            <w:noWrap/>
            <w:vAlign w:val="center"/>
            <w:hideMark/>
          </w:tcPr>
          <w:p w:rsidR="00C7152D" w:rsidRPr="00DE475B" w:rsidRDefault="00C7152D" w:rsidP="00A1189F">
            <w:pPr>
              <w:rPr>
                <w:rFonts w:ascii="Arial" w:hAnsi="Arial" w:cs="Arial"/>
                <w:i/>
                <w:sz w:val="20"/>
                <w:szCs w:val="20"/>
              </w:rPr>
            </w:pPr>
            <w:r w:rsidRPr="00DE475B">
              <w:rPr>
                <w:rFonts w:ascii="Arial" w:hAnsi="Arial" w:cs="Arial"/>
                <w:i/>
                <w:sz w:val="20"/>
                <w:szCs w:val="20"/>
              </w:rPr>
              <w:t>Executive Manager, Communications </w:t>
            </w:r>
            <w:r w:rsidRPr="00DE475B">
              <w:rPr>
                <w:rFonts w:ascii="Arial" w:hAnsi="Arial" w:cs="Arial"/>
                <w:sz w:val="18"/>
                <w:szCs w:val="18"/>
              </w:rPr>
              <w:t> </w:t>
            </w:r>
          </w:p>
        </w:tc>
        <w:tc>
          <w:tcPr>
            <w:tcW w:w="1082" w:type="dxa"/>
            <w:tcBorders>
              <w:bottom w:val="nil"/>
            </w:tcBorders>
            <w:shd w:val="clear" w:color="auto" w:fill="auto"/>
            <w:noWrap/>
            <w:vAlign w:val="center"/>
            <w:hideMark/>
          </w:tcPr>
          <w:p w:rsidR="00C7152D" w:rsidRPr="00DE475B" w:rsidRDefault="00C7152D" w:rsidP="00A1189F">
            <w:pPr>
              <w:jc w:val="right"/>
              <w:rPr>
                <w:rFonts w:ascii="Arial" w:hAnsi="Arial" w:cs="Arial"/>
                <w:sz w:val="18"/>
                <w:szCs w:val="18"/>
              </w:rPr>
            </w:pPr>
            <w:r w:rsidRPr="00DE475B">
              <w:rPr>
                <w:rFonts w:ascii="Arial" w:hAnsi="Arial" w:cs="Arial"/>
                <w:sz w:val="18"/>
                <w:szCs w:val="18"/>
              </w:rPr>
              <w:t> </w:t>
            </w:r>
          </w:p>
        </w:tc>
        <w:tc>
          <w:tcPr>
            <w:tcW w:w="1215" w:type="dxa"/>
            <w:tcBorders>
              <w:bottom w:val="nil"/>
            </w:tcBorders>
            <w:shd w:val="clear" w:color="auto" w:fill="auto"/>
            <w:noWrap/>
            <w:vAlign w:val="center"/>
            <w:hideMark/>
          </w:tcPr>
          <w:p w:rsidR="00C7152D" w:rsidRPr="00DE475B" w:rsidRDefault="00C7152D" w:rsidP="00A1189F">
            <w:pPr>
              <w:jc w:val="right"/>
              <w:rPr>
                <w:rFonts w:ascii="Arial" w:hAnsi="Arial" w:cs="Arial"/>
                <w:sz w:val="18"/>
                <w:szCs w:val="18"/>
              </w:rPr>
            </w:pPr>
            <w:r w:rsidRPr="00DE475B">
              <w:rPr>
                <w:rFonts w:ascii="Arial" w:hAnsi="Arial" w:cs="Arial"/>
                <w:sz w:val="18"/>
                <w:szCs w:val="18"/>
              </w:rPr>
              <w:t> </w:t>
            </w:r>
          </w:p>
        </w:tc>
        <w:tc>
          <w:tcPr>
            <w:tcW w:w="1108" w:type="dxa"/>
            <w:tcBorders>
              <w:bottom w:val="nil"/>
            </w:tcBorders>
            <w:shd w:val="clear" w:color="auto" w:fill="auto"/>
            <w:noWrap/>
            <w:vAlign w:val="center"/>
            <w:hideMark/>
          </w:tcPr>
          <w:p w:rsidR="00C7152D" w:rsidRPr="00DE475B" w:rsidRDefault="00C7152D" w:rsidP="00A1189F">
            <w:pPr>
              <w:jc w:val="right"/>
              <w:rPr>
                <w:rFonts w:ascii="Arial" w:hAnsi="Arial" w:cs="Arial"/>
                <w:sz w:val="18"/>
                <w:szCs w:val="18"/>
              </w:rPr>
            </w:pPr>
            <w:r w:rsidRPr="00DE475B">
              <w:rPr>
                <w:rFonts w:ascii="Arial" w:hAnsi="Arial" w:cs="Arial"/>
                <w:sz w:val="18"/>
                <w:szCs w:val="18"/>
              </w:rPr>
              <w:t> </w:t>
            </w:r>
          </w:p>
        </w:tc>
        <w:tc>
          <w:tcPr>
            <w:tcW w:w="1011" w:type="dxa"/>
            <w:tcBorders>
              <w:bottom w:val="nil"/>
            </w:tcBorders>
            <w:shd w:val="clear" w:color="auto" w:fill="auto"/>
            <w:noWrap/>
            <w:vAlign w:val="center"/>
            <w:hideMark/>
          </w:tcPr>
          <w:p w:rsidR="00C7152D" w:rsidRPr="00DE475B" w:rsidRDefault="00C7152D" w:rsidP="00A1189F">
            <w:pPr>
              <w:jc w:val="right"/>
              <w:rPr>
                <w:rFonts w:ascii="Arial" w:hAnsi="Arial" w:cs="Arial"/>
                <w:sz w:val="18"/>
                <w:szCs w:val="18"/>
              </w:rPr>
            </w:pPr>
            <w:r w:rsidRPr="00DE475B">
              <w:rPr>
                <w:rFonts w:ascii="Arial" w:hAnsi="Arial" w:cs="Arial"/>
                <w:sz w:val="18"/>
                <w:szCs w:val="18"/>
              </w:rPr>
              <w:t> </w:t>
            </w:r>
          </w:p>
        </w:tc>
      </w:tr>
      <w:tr w:rsidR="00C7152D" w:rsidRPr="00DE475B" w:rsidTr="00A1189F">
        <w:trPr>
          <w:trHeight w:val="255"/>
        </w:trPr>
        <w:tc>
          <w:tcPr>
            <w:tcW w:w="2438" w:type="dxa"/>
            <w:tcBorders>
              <w:top w:val="nil"/>
              <w:bottom w:val="nil"/>
            </w:tcBorders>
            <w:shd w:val="clear" w:color="auto" w:fill="auto"/>
            <w:noWrap/>
            <w:vAlign w:val="center"/>
            <w:hideMark/>
          </w:tcPr>
          <w:p w:rsidR="00C7152D" w:rsidRPr="00DE475B" w:rsidRDefault="00C7152D" w:rsidP="00A1189F">
            <w:pPr>
              <w:rPr>
                <w:rFonts w:ascii="Arial" w:hAnsi="Arial" w:cs="Arial"/>
                <w:sz w:val="18"/>
                <w:szCs w:val="18"/>
              </w:rPr>
            </w:pPr>
            <w:r w:rsidRPr="00DE475B">
              <w:rPr>
                <w:rFonts w:ascii="Arial" w:hAnsi="Arial" w:cs="Arial"/>
                <w:sz w:val="18"/>
                <w:szCs w:val="18"/>
              </w:rPr>
              <w:t>Current</w:t>
            </w:r>
          </w:p>
        </w:tc>
        <w:tc>
          <w:tcPr>
            <w:tcW w:w="103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73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8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2 </w:t>
            </w:r>
          </w:p>
        </w:tc>
        <w:tc>
          <w:tcPr>
            <w:tcW w:w="1215"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8 </w:t>
            </w:r>
          </w:p>
        </w:tc>
        <w:tc>
          <w:tcPr>
            <w:tcW w:w="1108"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83 </w:t>
            </w:r>
          </w:p>
        </w:tc>
      </w:tr>
      <w:tr w:rsidR="00C7152D" w:rsidRPr="00DE475B" w:rsidTr="00A1189F">
        <w:trPr>
          <w:trHeight w:val="255"/>
        </w:trPr>
        <w:tc>
          <w:tcPr>
            <w:tcW w:w="2438" w:type="dxa"/>
            <w:tcBorders>
              <w:top w:val="nil"/>
              <w:bottom w:val="nil"/>
            </w:tcBorders>
            <w:shd w:val="clear" w:color="auto" w:fill="auto"/>
            <w:noWrap/>
            <w:vAlign w:val="center"/>
            <w:hideMark/>
          </w:tcPr>
          <w:p w:rsidR="00C7152D" w:rsidRPr="00DE475B" w:rsidRDefault="00C7152D" w:rsidP="00A1189F">
            <w:pPr>
              <w:rPr>
                <w:rFonts w:ascii="Arial" w:hAnsi="Arial" w:cs="Arial"/>
                <w:sz w:val="18"/>
                <w:szCs w:val="18"/>
              </w:rPr>
            </w:pPr>
            <w:r w:rsidRPr="00DE475B">
              <w:rPr>
                <w:rFonts w:ascii="Arial" w:hAnsi="Arial" w:cs="Arial"/>
                <w:sz w:val="18"/>
                <w:szCs w:val="18"/>
              </w:rPr>
              <w:t>Former</w:t>
            </w:r>
          </w:p>
        </w:tc>
        <w:tc>
          <w:tcPr>
            <w:tcW w:w="103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45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8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 </w:t>
            </w:r>
          </w:p>
        </w:tc>
        <w:tc>
          <w:tcPr>
            <w:tcW w:w="1215"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4 </w:t>
            </w:r>
          </w:p>
        </w:tc>
        <w:tc>
          <w:tcPr>
            <w:tcW w:w="1108"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16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66 </w:t>
            </w:r>
          </w:p>
        </w:tc>
      </w:tr>
      <w:tr w:rsidR="00C7152D" w:rsidRPr="00DE475B" w:rsidTr="00A1189F">
        <w:trPr>
          <w:trHeight w:val="255"/>
        </w:trPr>
        <w:tc>
          <w:tcPr>
            <w:tcW w:w="2438" w:type="dxa"/>
            <w:tcBorders>
              <w:top w:val="nil"/>
              <w:bottom w:val="single" w:sz="4" w:space="0" w:color="auto"/>
            </w:tcBorders>
            <w:shd w:val="clear" w:color="auto" w:fill="auto"/>
            <w:noWrap/>
            <w:vAlign w:val="center"/>
            <w:hideMark/>
          </w:tcPr>
          <w:p w:rsidR="00C7152D" w:rsidRPr="00DE475B" w:rsidRDefault="00C7152D" w:rsidP="00A1189F">
            <w:pPr>
              <w:rPr>
                <w:rFonts w:ascii="Arial" w:hAnsi="Arial" w:cs="Arial"/>
                <w:sz w:val="18"/>
                <w:szCs w:val="18"/>
              </w:rPr>
            </w:pPr>
            <w:r w:rsidRPr="00DE475B">
              <w:rPr>
                <w:rFonts w:ascii="Arial" w:hAnsi="Arial" w:cs="Arial"/>
                <w:sz w:val="18"/>
                <w:szCs w:val="18"/>
              </w:rPr>
              <w:t>Temporary Relieving</w:t>
            </w:r>
          </w:p>
        </w:tc>
        <w:tc>
          <w:tcPr>
            <w:tcW w:w="1032"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16 </w:t>
            </w:r>
          </w:p>
        </w:tc>
        <w:tc>
          <w:tcPr>
            <w:tcW w:w="1011"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w:t>
            </w:r>
          </w:p>
        </w:tc>
        <w:tc>
          <w:tcPr>
            <w:tcW w:w="1082" w:type="dxa"/>
            <w:tcBorders>
              <w:top w:val="nil"/>
              <w:bottom w:val="single" w:sz="4" w:space="0" w:color="auto"/>
            </w:tcBorders>
            <w:shd w:val="clear" w:color="auto" w:fill="auto"/>
            <w:noWrap/>
            <w:vAlign w:val="center"/>
            <w:hideMark/>
          </w:tcPr>
          <w:p w:rsidR="00C7152D" w:rsidRPr="00DE475B" w:rsidRDefault="0065615C" w:rsidP="00A1189F">
            <w:pPr>
              <w:jc w:val="right"/>
              <w:rPr>
                <w:rFonts w:ascii="Arial" w:hAnsi="Arial" w:cs="Arial"/>
                <w:sz w:val="20"/>
                <w:szCs w:val="20"/>
              </w:rPr>
            </w:pPr>
            <w:r>
              <w:rPr>
                <w:rFonts w:ascii="Arial" w:hAnsi="Arial" w:cs="Arial"/>
                <w:sz w:val="20"/>
                <w:szCs w:val="20"/>
              </w:rPr>
              <w:t>-</w:t>
            </w:r>
            <w:r w:rsidR="00C7152D" w:rsidRPr="00DE475B">
              <w:rPr>
                <w:rFonts w:ascii="Arial" w:hAnsi="Arial" w:cs="Arial"/>
                <w:sz w:val="20"/>
                <w:szCs w:val="20"/>
              </w:rPr>
              <w:t xml:space="preserve"> </w:t>
            </w:r>
          </w:p>
        </w:tc>
        <w:tc>
          <w:tcPr>
            <w:tcW w:w="1215"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2 </w:t>
            </w:r>
          </w:p>
        </w:tc>
        <w:tc>
          <w:tcPr>
            <w:tcW w:w="1108"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w:t>
            </w:r>
          </w:p>
        </w:tc>
        <w:tc>
          <w:tcPr>
            <w:tcW w:w="1011"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18 </w:t>
            </w:r>
          </w:p>
        </w:tc>
      </w:tr>
      <w:tr w:rsidR="00C7152D" w:rsidRPr="00DE475B" w:rsidTr="00A1189F">
        <w:trPr>
          <w:trHeight w:val="255"/>
        </w:trPr>
        <w:tc>
          <w:tcPr>
            <w:tcW w:w="4481" w:type="dxa"/>
            <w:gridSpan w:val="3"/>
            <w:tcBorders>
              <w:bottom w:val="nil"/>
            </w:tcBorders>
            <w:shd w:val="clear" w:color="auto" w:fill="auto"/>
            <w:noWrap/>
            <w:vAlign w:val="center"/>
            <w:hideMark/>
          </w:tcPr>
          <w:p w:rsidR="00C7152D" w:rsidRPr="00DE475B" w:rsidRDefault="00C7152D" w:rsidP="00A1189F">
            <w:pPr>
              <w:rPr>
                <w:rFonts w:ascii="Arial" w:hAnsi="Arial" w:cs="Arial"/>
                <w:i/>
                <w:sz w:val="20"/>
                <w:szCs w:val="20"/>
              </w:rPr>
            </w:pPr>
            <w:r w:rsidRPr="00DE475B">
              <w:rPr>
                <w:rFonts w:ascii="Arial" w:hAnsi="Arial" w:cs="Arial"/>
                <w:i/>
                <w:sz w:val="20"/>
                <w:szCs w:val="20"/>
              </w:rPr>
              <w:t>Executive Manager, People and Planning </w:t>
            </w:r>
            <w:r w:rsidRPr="00DE475B">
              <w:rPr>
                <w:rFonts w:ascii="Arial" w:hAnsi="Arial" w:cs="Arial"/>
                <w:sz w:val="20"/>
                <w:szCs w:val="20"/>
              </w:rPr>
              <w:t> </w:t>
            </w:r>
          </w:p>
        </w:tc>
        <w:tc>
          <w:tcPr>
            <w:tcW w:w="1082" w:type="dxa"/>
            <w:tcBorders>
              <w:bottom w:val="nil"/>
            </w:tcBorders>
            <w:shd w:val="clear" w:color="auto" w:fill="auto"/>
            <w:noWrap/>
            <w:vAlign w:val="center"/>
            <w:hideMark/>
          </w:tcPr>
          <w:p w:rsidR="00C7152D" w:rsidRPr="00DE475B" w:rsidRDefault="00C7152D" w:rsidP="00A1189F">
            <w:pPr>
              <w:jc w:val="right"/>
              <w:rPr>
                <w:rFonts w:ascii="Arial" w:hAnsi="Arial" w:cs="Arial"/>
                <w:sz w:val="18"/>
                <w:szCs w:val="18"/>
              </w:rPr>
            </w:pPr>
            <w:r w:rsidRPr="00DE475B">
              <w:rPr>
                <w:rFonts w:ascii="Arial" w:hAnsi="Arial" w:cs="Arial"/>
                <w:sz w:val="18"/>
                <w:szCs w:val="18"/>
              </w:rPr>
              <w:t> </w:t>
            </w:r>
          </w:p>
        </w:tc>
        <w:tc>
          <w:tcPr>
            <w:tcW w:w="1215" w:type="dxa"/>
            <w:tcBorders>
              <w:bottom w:val="nil"/>
            </w:tcBorders>
            <w:shd w:val="clear" w:color="auto" w:fill="auto"/>
            <w:noWrap/>
            <w:vAlign w:val="center"/>
            <w:hideMark/>
          </w:tcPr>
          <w:p w:rsidR="00C7152D" w:rsidRPr="00DE475B" w:rsidRDefault="00C7152D" w:rsidP="00A1189F">
            <w:pPr>
              <w:jc w:val="right"/>
              <w:rPr>
                <w:rFonts w:ascii="Arial" w:hAnsi="Arial" w:cs="Arial"/>
                <w:sz w:val="18"/>
                <w:szCs w:val="18"/>
              </w:rPr>
            </w:pPr>
            <w:r w:rsidRPr="00DE475B">
              <w:rPr>
                <w:rFonts w:ascii="Arial" w:hAnsi="Arial" w:cs="Arial"/>
                <w:sz w:val="18"/>
                <w:szCs w:val="18"/>
              </w:rPr>
              <w:t> </w:t>
            </w:r>
          </w:p>
        </w:tc>
        <w:tc>
          <w:tcPr>
            <w:tcW w:w="1108" w:type="dxa"/>
            <w:tcBorders>
              <w:bottom w:val="nil"/>
            </w:tcBorders>
            <w:shd w:val="clear" w:color="auto" w:fill="auto"/>
            <w:noWrap/>
            <w:vAlign w:val="center"/>
            <w:hideMark/>
          </w:tcPr>
          <w:p w:rsidR="00C7152D" w:rsidRPr="00DE475B" w:rsidRDefault="00C7152D" w:rsidP="00A1189F">
            <w:pPr>
              <w:jc w:val="right"/>
              <w:rPr>
                <w:rFonts w:ascii="Arial" w:hAnsi="Arial" w:cs="Arial"/>
                <w:sz w:val="18"/>
                <w:szCs w:val="18"/>
              </w:rPr>
            </w:pPr>
            <w:r w:rsidRPr="00DE475B">
              <w:rPr>
                <w:rFonts w:ascii="Arial" w:hAnsi="Arial" w:cs="Arial"/>
                <w:sz w:val="18"/>
                <w:szCs w:val="18"/>
              </w:rPr>
              <w:t> </w:t>
            </w:r>
          </w:p>
        </w:tc>
        <w:tc>
          <w:tcPr>
            <w:tcW w:w="1011" w:type="dxa"/>
            <w:tcBorders>
              <w:bottom w:val="nil"/>
            </w:tcBorders>
            <w:shd w:val="clear" w:color="auto" w:fill="auto"/>
            <w:noWrap/>
            <w:vAlign w:val="center"/>
            <w:hideMark/>
          </w:tcPr>
          <w:p w:rsidR="00C7152D" w:rsidRPr="00DE475B" w:rsidRDefault="00C7152D" w:rsidP="00A1189F">
            <w:pPr>
              <w:jc w:val="right"/>
              <w:rPr>
                <w:rFonts w:ascii="Arial" w:hAnsi="Arial" w:cs="Arial"/>
                <w:sz w:val="18"/>
                <w:szCs w:val="18"/>
              </w:rPr>
            </w:pPr>
            <w:r w:rsidRPr="00DE475B">
              <w:rPr>
                <w:rFonts w:ascii="Arial" w:hAnsi="Arial" w:cs="Arial"/>
                <w:sz w:val="18"/>
                <w:szCs w:val="18"/>
              </w:rPr>
              <w:t> </w:t>
            </w:r>
          </w:p>
        </w:tc>
      </w:tr>
      <w:tr w:rsidR="00C7152D" w:rsidRPr="00DE475B" w:rsidTr="00A1189F">
        <w:trPr>
          <w:trHeight w:val="255"/>
        </w:trPr>
        <w:tc>
          <w:tcPr>
            <w:tcW w:w="2438" w:type="dxa"/>
            <w:tcBorders>
              <w:top w:val="nil"/>
              <w:bottom w:val="nil"/>
            </w:tcBorders>
            <w:shd w:val="clear" w:color="auto" w:fill="auto"/>
            <w:noWrap/>
            <w:vAlign w:val="center"/>
            <w:hideMark/>
          </w:tcPr>
          <w:p w:rsidR="00C7152D" w:rsidRPr="00DE475B" w:rsidRDefault="00C7152D" w:rsidP="00A1189F">
            <w:pPr>
              <w:rPr>
                <w:rFonts w:ascii="Arial" w:hAnsi="Arial" w:cs="Arial"/>
                <w:sz w:val="18"/>
                <w:szCs w:val="18"/>
              </w:rPr>
            </w:pPr>
            <w:r w:rsidRPr="00DE475B">
              <w:rPr>
                <w:rFonts w:ascii="Arial" w:hAnsi="Arial" w:cs="Arial"/>
                <w:sz w:val="18"/>
                <w:szCs w:val="18"/>
              </w:rPr>
              <w:t>Current</w:t>
            </w:r>
          </w:p>
        </w:tc>
        <w:tc>
          <w:tcPr>
            <w:tcW w:w="103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121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8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2 </w:t>
            </w:r>
          </w:p>
        </w:tc>
        <w:tc>
          <w:tcPr>
            <w:tcW w:w="1215"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15 </w:t>
            </w:r>
          </w:p>
        </w:tc>
        <w:tc>
          <w:tcPr>
            <w:tcW w:w="1108"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138 </w:t>
            </w:r>
          </w:p>
        </w:tc>
      </w:tr>
      <w:tr w:rsidR="00C7152D" w:rsidRPr="00DE475B" w:rsidTr="00A1189F">
        <w:trPr>
          <w:trHeight w:val="255"/>
        </w:trPr>
        <w:tc>
          <w:tcPr>
            <w:tcW w:w="2438" w:type="dxa"/>
            <w:tcBorders>
              <w:top w:val="nil"/>
              <w:bottom w:val="single" w:sz="4" w:space="0" w:color="auto"/>
            </w:tcBorders>
            <w:shd w:val="clear" w:color="auto" w:fill="auto"/>
            <w:noWrap/>
            <w:vAlign w:val="center"/>
            <w:hideMark/>
          </w:tcPr>
          <w:p w:rsidR="00C7152D" w:rsidRPr="00DE475B" w:rsidRDefault="00C7152D" w:rsidP="00A1189F">
            <w:pPr>
              <w:rPr>
                <w:rFonts w:ascii="Arial" w:hAnsi="Arial" w:cs="Arial"/>
                <w:sz w:val="18"/>
                <w:szCs w:val="18"/>
              </w:rPr>
            </w:pPr>
            <w:r w:rsidRPr="00DE475B">
              <w:rPr>
                <w:rFonts w:ascii="Arial" w:hAnsi="Arial" w:cs="Arial"/>
                <w:sz w:val="18"/>
                <w:szCs w:val="18"/>
              </w:rPr>
              <w:t>Temporary Relieving</w:t>
            </w:r>
          </w:p>
        </w:tc>
        <w:tc>
          <w:tcPr>
            <w:tcW w:w="1032"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85</w:t>
            </w:r>
          </w:p>
        </w:tc>
        <w:tc>
          <w:tcPr>
            <w:tcW w:w="1011"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w:t>
            </w:r>
          </w:p>
        </w:tc>
        <w:tc>
          <w:tcPr>
            <w:tcW w:w="1082"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2 </w:t>
            </w:r>
          </w:p>
        </w:tc>
        <w:tc>
          <w:tcPr>
            <w:tcW w:w="1215"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8</w:t>
            </w:r>
          </w:p>
        </w:tc>
        <w:tc>
          <w:tcPr>
            <w:tcW w:w="1108"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w:t>
            </w:r>
          </w:p>
        </w:tc>
        <w:tc>
          <w:tcPr>
            <w:tcW w:w="1011" w:type="dxa"/>
            <w:tcBorders>
              <w:top w:val="nil"/>
              <w:bottom w:val="single" w:sz="4" w:space="0" w:color="auto"/>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95</w:t>
            </w:r>
          </w:p>
        </w:tc>
      </w:tr>
      <w:tr w:rsidR="00C7152D" w:rsidRPr="00DE475B" w:rsidTr="00A1189F">
        <w:trPr>
          <w:trHeight w:val="255"/>
        </w:trPr>
        <w:tc>
          <w:tcPr>
            <w:tcW w:w="5563" w:type="dxa"/>
            <w:gridSpan w:val="4"/>
            <w:tcBorders>
              <w:bottom w:val="nil"/>
            </w:tcBorders>
            <w:shd w:val="clear" w:color="auto" w:fill="auto"/>
            <w:noWrap/>
            <w:vAlign w:val="center"/>
            <w:hideMark/>
          </w:tcPr>
          <w:p w:rsidR="00C7152D" w:rsidRPr="00DE475B" w:rsidRDefault="00C7152D" w:rsidP="00A1189F">
            <w:pPr>
              <w:rPr>
                <w:rFonts w:ascii="Arial" w:hAnsi="Arial" w:cs="Arial"/>
                <w:i/>
                <w:sz w:val="20"/>
                <w:szCs w:val="20"/>
              </w:rPr>
            </w:pPr>
            <w:r w:rsidRPr="00DE475B">
              <w:rPr>
                <w:rFonts w:ascii="Arial" w:hAnsi="Arial" w:cs="Arial"/>
                <w:i/>
                <w:sz w:val="20"/>
                <w:szCs w:val="20"/>
              </w:rPr>
              <w:t>Director, Queensland Library Foundation</w:t>
            </w:r>
          </w:p>
        </w:tc>
        <w:tc>
          <w:tcPr>
            <w:tcW w:w="1215" w:type="dxa"/>
            <w:tcBorders>
              <w:bottom w:val="nil"/>
            </w:tcBorders>
            <w:shd w:val="clear" w:color="auto" w:fill="auto"/>
            <w:noWrap/>
            <w:vAlign w:val="center"/>
            <w:hideMark/>
          </w:tcPr>
          <w:p w:rsidR="00C7152D" w:rsidRPr="00DE475B" w:rsidRDefault="00C7152D" w:rsidP="00A1189F">
            <w:pPr>
              <w:jc w:val="right"/>
              <w:rPr>
                <w:rFonts w:ascii="Arial" w:hAnsi="Arial" w:cs="Arial"/>
                <w:sz w:val="18"/>
                <w:szCs w:val="18"/>
              </w:rPr>
            </w:pPr>
            <w:r w:rsidRPr="00DE475B">
              <w:rPr>
                <w:rFonts w:ascii="Arial" w:hAnsi="Arial" w:cs="Arial"/>
                <w:sz w:val="18"/>
                <w:szCs w:val="18"/>
              </w:rPr>
              <w:t> </w:t>
            </w:r>
          </w:p>
        </w:tc>
        <w:tc>
          <w:tcPr>
            <w:tcW w:w="1108" w:type="dxa"/>
            <w:tcBorders>
              <w:bottom w:val="nil"/>
            </w:tcBorders>
            <w:shd w:val="clear" w:color="auto" w:fill="auto"/>
            <w:noWrap/>
            <w:vAlign w:val="center"/>
            <w:hideMark/>
          </w:tcPr>
          <w:p w:rsidR="00C7152D" w:rsidRPr="00DE475B" w:rsidRDefault="00C7152D" w:rsidP="00A1189F">
            <w:pPr>
              <w:jc w:val="right"/>
              <w:rPr>
                <w:rFonts w:ascii="Arial" w:hAnsi="Arial" w:cs="Arial"/>
                <w:sz w:val="18"/>
                <w:szCs w:val="18"/>
              </w:rPr>
            </w:pPr>
            <w:r w:rsidRPr="00DE475B">
              <w:rPr>
                <w:rFonts w:ascii="Arial" w:hAnsi="Arial" w:cs="Arial"/>
                <w:sz w:val="18"/>
                <w:szCs w:val="18"/>
              </w:rPr>
              <w:t> </w:t>
            </w:r>
          </w:p>
        </w:tc>
        <w:tc>
          <w:tcPr>
            <w:tcW w:w="1011" w:type="dxa"/>
            <w:tcBorders>
              <w:bottom w:val="nil"/>
            </w:tcBorders>
            <w:shd w:val="clear" w:color="auto" w:fill="auto"/>
            <w:noWrap/>
            <w:vAlign w:val="center"/>
            <w:hideMark/>
          </w:tcPr>
          <w:p w:rsidR="00C7152D" w:rsidRPr="00DE475B" w:rsidRDefault="00C7152D" w:rsidP="00A1189F">
            <w:pPr>
              <w:jc w:val="right"/>
              <w:rPr>
                <w:rFonts w:ascii="Arial" w:hAnsi="Arial" w:cs="Arial"/>
                <w:sz w:val="18"/>
                <w:szCs w:val="18"/>
              </w:rPr>
            </w:pPr>
            <w:r w:rsidRPr="00DE475B">
              <w:rPr>
                <w:rFonts w:ascii="Arial" w:hAnsi="Arial" w:cs="Arial"/>
                <w:sz w:val="18"/>
                <w:szCs w:val="18"/>
              </w:rPr>
              <w:t> </w:t>
            </w:r>
          </w:p>
        </w:tc>
      </w:tr>
      <w:tr w:rsidR="00C7152D" w:rsidRPr="00DE475B" w:rsidTr="00A1189F">
        <w:trPr>
          <w:trHeight w:val="255"/>
        </w:trPr>
        <w:tc>
          <w:tcPr>
            <w:tcW w:w="2438" w:type="dxa"/>
            <w:tcBorders>
              <w:top w:val="nil"/>
              <w:bottom w:val="nil"/>
            </w:tcBorders>
            <w:shd w:val="clear" w:color="auto" w:fill="auto"/>
            <w:noWrap/>
            <w:vAlign w:val="center"/>
            <w:hideMark/>
          </w:tcPr>
          <w:p w:rsidR="00C7152D" w:rsidRPr="00DE475B" w:rsidRDefault="00C7152D" w:rsidP="00A1189F">
            <w:pPr>
              <w:rPr>
                <w:rFonts w:ascii="Arial" w:hAnsi="Arial" w:cs="Arial"/>
                <w:sz w:val="18"/>
                <w:szCs w:val="18"/>
              </w:rPr>
            </w:pPr>
            <w:r w:rsidRPr="00DE475B">
              <w:rPr>
                <w:rFonts w:ascii="Arial" w:hAnsi="Arial" w:cs="Arial"/>
                <w:sz w:val="18"/>
                <w:szCs w:val="18"/>
              </w:rPr>
              <w:t>Current</w:t>
            </w:r>
          </w:p>
        </w:tc>
        <w:tc>
          <w:tcPr>
            <w:tcW w:w="103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98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82"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2 </w:t>
            </w:r>
          </w:p>
        </w:tc>
        <w:tc>
          <w:tcPr>
            <w:tcW w:w="1215"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12 </w:t>
            </w:r>
          </w:p>
        </w:tc>
        <w:tc>
          <w:tcPr>
            <w:tcW w:w="1108"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11" w:type="dxa"/>
            <w:tcBorders>
              <w:top w:val="nil"/>
              <w:bottom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112 </w:t>
            </w:r>
          </w:p>
        </w:tc>
      </w:tr>
      <w:tr w:rsidR="00C7152D" w:rsidRPr="00DE475B" w:rsidTr="00A1189F">
        <w:trPr>
          <w:trHeight w:val="255"/>
        </w:trPr>
        <w:tc>
          <w:tcPr>
            <w:tcW w:w="2438" w:type="dxa"/>
            <w:tcBorders>
              <w:top w:val="nil"/>
            </w:tcBorders>
            <w:shd w:val="clear" w:color="auto" w:fill="auto"/>
            <w:noWrap/>
            <w:vAlign w:val="center"/>
            <w:hideMark/>
          </w:tcPr>
          <w:p w:rsidR="00C7152D" w:rsidRPr="00DE475B" w:rsidRDefault="00C7152D" w:rsidP="00A1189F">
            <w:pPr>
              <w:rPr>
                <w:rFonts w:ascii="Arial" w:hAnsi="Arial" w:cs="Arial"/>
                <w:sz w:val="18"/>
                <w:szCs w:val="18"/>
              </w:rPr>
            </w:pPr>
            <w:r w:rsidRPr="00DE475B">
              <w:rPr>
                <w:rFonts w:ascii="Arial" w:hAnsi="Arial" w:cs="Arial"/>
                <w:sz w:val="18"/>
                <w:szCs w:val="18"/>
              </w:rPr>
              <w:t>Temporary Relieving</w:t>
            </w:r>
          </w:p>
        </w:tc>
        <w:tc>
          <w:tcPr>
            <w:tcW w:w="1032" w:type="dxa"/>
            <w:tcBorders>
              <w:top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19 </w:t>
            </w:r>
          </w:p>
        </w:tc>
        <w:tc>
          <w:tcPr>
            <w:tcW w:w="1011" w:type="dxa"/>
            <w:tcBorders>
              <w:top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82" w:type="dxa"/>
            <w:tcBorders>
              <w:top w:val="nil"/>
            </w:tcBorders>
            <w:shd w:val="clear" w:color="auto" w:fill="auto"/>
            <w:noWrap/>
            <w:vAlign w:val="center"/>
            <w:hideMark/>
          </w:tcPr>
          <w:p w:rsidR="00C7152D" w:rsidRPr="00DE475B" w:rsidRDefault="0065615C" w:rsidP="00A1189F">
            <w:pPr>
              <w:jc w:val="right"/>
              <w:rPr>
                <w:rFonts w:ascii="Arial" w:hAnsi="Arial" w:cs="Arial"/>
                <w:sz w:val="20"/>
                <w:szCs w:val="20"/>
              </w:rPr>
            </w:pPr>
            <w:r>
              <w:rPr>
                <w:rFonts w:ascii="Arial" w:hAnsi="Arial" w:cs="Arial"/>
                <w:sz w:val="20"/>
                <w:szCs w:val="20"/>
              </w:rPr>
              <w:t>-</w:t>
            </w:r>
            <w:r w:rsidR="00C7152D" w:rsidRPr="00DE475B">
              <w:rPr>
                <w:rFonts w:ascii="Arial" w:hAnsi="Arial" w:cs="Arial"/>
                <w:sz w:val="20"/>
                <w:szCs w:val="20"/>
              </w:rPr>
              <w:t xml:space="preserve"> </w:t>
            </w:r>
          </w:p>
        </w:tc>
        <w:tc>
          <w:tcPr>
            <w:tcW w:w="1215" w:type="dxa"/>
            <w:tcBorders>
              <w:top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2 </w:t>
            </w:r>
          </w:p>
        </w:tc>
        <w:tc>
          <w:tcPr>
            <w:tcW w:w="1108" w:type="dxa"/>
            <w:tcBorders>
              <w:top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11" w:type="dxa"/>
            <w:tcBorders>
              <w:top w:val="nil"/>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21 </w:t>
            </w:r>
          </w:p>
        </w:tc>
      </w:tr>
      <w:tr w:rsidR="00C7152D" w:rsidRPr="00DE475B" w:rsidTr="00A578A6">
        <w:trPr>
          <w:trHeight w:val="255"/>
        </w:trPr>
        <w:tc>
          <w:tcPr>
            <w:tcW w:w="2438" w:type="dxa"/>
            <w:tcBorders>
              <w:bottom w:val="single" w:sz="8" w:space="0" w:color="000000"/>
            </w:tcBorders>
            <w:shd w:val="clear" w:color="auto" w:fill="auto"/>
            <w:noWrap/>
            <w:vAlign w:val="center"/>
            <w:hideMark/>
          </w:tcPr>
          <w:p w:rsidR="00C7152D" w:rsidRDefault="00C7152D" w:rsidP="00A1189F">
            <w:pPr>
              <w:rPr>
                <w:rFonts w:ascii="Arial" w:hAnsi="Arial" w:cs="Arial"/>
                <w:i/>
                <w:sz w:val="20"/>
                <w:szCs w:val="20"/>
              </w:rPr>
            </w:pPr>
            <w:r w:rsidRPr="00DE475B">
              <w:rPr>
                <w:rFonts w:ascii="Arial" w:hAnsi="Arial" w:cs="Arial"/>
                <w:i/>
                <w:sz w:val="20"/>
                <w:szCs w:val="20"/>
              </w:rPr>
              <w:t>Executive Adviser</w:t>
            </w:r>
          </w:p>
          <w:p w:rsidR="00795627" w:rsidRPr="00795627" w:rsidRDefault="00795627" w:rsidP="00A1189F">
            <w:pPr>
              <w:rPr>
                <w:rFonts w:ascii="Arial" w:hAnsi="Arial" w:cs="Arial"/>
                <w:i/>
                <w:sz w:val="16"/>
                <w:szCs w:val="16"/>
              </w:rPr>
            </w:pPr>
            <w:r w:rsidRPr="00795627">
              <w:rPr>
                <w:rFonts w:ascii="Arial" w:hAnsi="Arial" w:cs="Arial"/>
                <w:i/>
                <w:sz w:val="16"/>
                <w:szCs w:val="16"/>
              </w:rPr>
              <w:t>(resigned 11/03/2016)</w:t>
            </w:r>
          </w:p>
        </w:tc>
        <w:tc>
          <w:tcPr>
            <w:tcW w:w="1032" w:type="dxa"/>
            <w:tcBorders>
              <w:bottom w:val="single" w:sz="8" w:space="0" w:color="000000"/>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89 </w:t>
            </w:r>
          </w:p>
        </w:tc>
        <w:tc>
          <w:tcPr>
            <w:tcW w:w="1011" w:type="dxa"/>
            <w:tcBorders>
              <w:bottom w:val="single" w:sz="8" w:space="0" w:color="000000"/>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             -   </w:t>
            </w:r>
          </w:p>
        </w:tc>
        <w:tc>
          <w:tcPr>
            <w:tcW w:w="1082" w:type="dxa"/>
            <w:tcBorders>
              <w:bottom w:val="single" w:sz="8" w:space="0" w:color="000000"/>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2 </w:t>
            </w:r>
          </w:p>
        </w:tc>
        <w:tc>
          <w:tcPr>
            <w:tcW w:w="1215" w:type="dxa"/>
            <w:tcBorders>
              <w:bottom w:val="single" w:sz="8" w:space="0" w:color="000000"/>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11 </w:t>
            </w:r>
          </w:p>
        </w:tc>
        <w:tc>
          <w:tcPr>
            <w:tcW w:w="1108" w:type="dxa"/>
            <w:tcBorders>
              <w:bottom w:val="single" w:sz="8" w:space="0" w:color="000000"/>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 xml:space="preserve">27 </w:t>
            </w:r>
          </w:p>
        </w:tc>
        <w:tc>
          <w:tcPr>
            <w:tcW w:w="1011" w:type="dxa"/>
            <w:tcBorders>
              <w:bottom w:val="single" w:sz="8" w:space="0" w:color="000000"/>
            </w:tcBorders>
            <w:shd w:val="clear" w:color="auto" w:fill="auto"/>
            <w:noWrap/>
            <w:vAlign w:val="center"/>
            <w:hideMark/>
          </w:tcPr>
          <w:p w:rsidR="00C7152D" w:rsidRPr="00DE475B" w:rsidRDefault="00C7152D" w:rsidP="00A1189F">
            <w:pPr>
              <w:jc w:val="right"/>
              <w:rPr>
                <w:rFonts w:ascii="Arial" w:hAnsi="Arial" w:cs="Arial"/>
                <w:sz w:val="20"/>
                <w:szCs w:val="20"/>
              </w:rPr>
            </w:pPr>
            <w:r w:rsidRPr="00DE475B">
              <w:rPr>
                <w:rFonts w:ascii="Arial" w:hAnsi="Arial" w:cs="Arial"/>
                <w:sz w:val="20"/>
                <w:szCs w:val="20"/>
              </w:rPr>
              <w:t>129</w:t>
            </w:r>
          </w:p>
        </w:tc>
      </w:tr>
      <w:tr w:rsidR="00C7152D" w:rsidRPr="00DE475B" w:rsidTr="00A578A6">
        <w:trPr>
          <w:trHeight w:val="255"/>
        </w:trPr>
        <w:tc>
          <w:tcPr>
            <w:tcW w:w="2438" w:type="dxa"/>
            <w:tcBorders>
              <w:top w:val="single" w:sz="8" w:space="0" w:color="000000"/>
              <w:bottom w:val="single" w:sz="8" w:space="0" w:color="000000"/>
            </w:tcBorders>
            <w:shd w:val="clear" w:color="auto" w:fill="auto"/>
            <w:vAlign w:val="center"/>
            <w:hideMark/>
          </w:tcPr>
          <w:p w:rsidR="00C7152D" w:rsidRPr="00DE475B" w:rsidRDefault="00C7152D" w:rsidP="00A1189F">
            <w:pPr>
              <w:rPr>
                <w:rFonts w:ascii="Arial" w:hAnsi="Arial" w:cs="Arial"/>
                <w:b/>
                <w:bCs/>
                <w:sz w:val="20"/>
                <w:szCs w:val="20"/>
              </w:rPr>
            </w:pPr>
            <w:r w:rsidRPr="00DE475B">
              <w:rPr>
                <w:rFonts w:ascii="Arial" w:hAnsi="Arial" w:cs="Arial"/>
                <w:b/>
                <w:bCs/>
                <w:sz w:val="20"/>
                <w:szCs w:val="20"/>
              </w:rPr>
              <w:t xml:space="preserve">Total Remuneration </w:t>
            </w:r>
          </w:p>
        </w:tc>
        <w:tc>
          <w:tcPr>
            <w:tcW w:w="1032" w:type="dxa"/>
            <w:tcBorders>
              <w:top w:val="single" w:sz="8" w:space="0" w:color="000000"/>
              <w:bottom w:val="single" w:sz="8" w:space="0" w:color="000000"/>
            </w:tcBorders>
            <w:shd w:val="clear" w:color="auto" w:fill="auto"/>
            <w:noWrap/>
            <w:vAlign w:val="center"/>
            <w:hideMark/>
          </w:tcPr>
          <w:p w:rsidR="00C7152D" w:rsidRPr="00DE475B" w:rsidRDefault="00C7152D" w:rsidP="00A1189F">
            <w:pPr>
              <w:jc w:val="right"/>
              <w:rPr>
                <w:rFonts w:ascii="Arial" w:hAnsi="Arial" w:cs="Arial"/>
                <w:b/>
                <w:sz w:val="20"/>
                <w:szCs w:val="20"/>
              </w:rPr>
            </w:pPr>
            <w:r w:rsidRPr="00DE475B">
              <w:rPr>
                <w:rFonts w:ascii="Arial" w:hAnsi="Arial" w:cs="Arial"/>
                <w:b/>
                <w:sz w:val="20"/>
                <w:szCs w:val="20"/>
              </w:rPr>
              <w:t xml:space="preserve">1,627 </w:t>
            </w:r>
          </w:p>
        </w:tc>
        <w:tc>
          <w:tcPr>
            <w:tcW w:w="1011" w:type="dxa"/>
            <w:tcBorders>
              <w:top w:val="single" w:sz="8" w:space="0" w:color="000000"/>
              <w:bottom w:val="single" w:sz="8" w:space="0" w:color="000000"/>
            </w:tcBorders>
            <w:shd w:val="clear" w:color="auto" w:fill="auto"/>
            <w:noWrap/>
            <w:vAlign w:val="center"/>
            <w:hideMark/>
          </w:tcPr>
          <w:p w:rsidR="00C7152D" w:rsidRPr="00DE475B" w:rsidRDefault="00C7152D" w:rsidP="00A1189F">
            <w:pPr>
              <w:jc w:val="right"/>
              <w:rPr>
                <w:rFonts w:ascii="Arial" w:hAnsi="Arial" w:cs="Arial"/>
                <w:b/>
                <w:sz w:val="20"/>
                <w:szCs w:val="20"/>
              </w:rPr>
            </w:pPr>
            <w:r w:rsidRPr="00DE475B">
              <w:rPr>
                <w:rFonts w:ascii="Arial" w:hAnsi="Arial" w:cs="Arial"/>
                <w:b/>
                <w:sz w:val="20"/>
                <w:szCs w:val="20"/>
              </w:rPr>
              <w:t xml:space="preserve">- </w:t>
            </w:r>
          </w:p>
        </w:tc>
        <w:tc>
          <w:tcPr>
            <w:tcW w:w="1082" w:type="dxa"/>
            <w:tcBorders>
              <w:top w:val="single" w:sz="8" w:space="0" w:color="000000"/>
              <w:bottom w:val="single" w:sz="8" w:space="0" w:color="000000"/>
            </w:tcBorders>
            <w:shd w:val="clear" w:color="auto" w:fill="auto"/>
            <w:noWrap/>
            <w:vAlign w:val="center"/>
            <w:hideMark/>
          </w:tcPr>
          <w:p w:rsidR="00C7152D" w:rsidRPr="00DE475B" w:rsidRDefault="00C7152D" w:rsidP="00A1189F">
            <w:pPr>
              <w:jc w:val="right"/>
              <w:rPr>
                <w:rFonts w:ascii="Arial" w:hAnsi="Arial" w:cs="Arial"/>
                <w:b/>
                <w:sz w:val="20"/>
                <w:szCs w:val="20"/>
              </w:rPr>
            </w:pPr>
            <w:r w:rsidRPr="00DE475B">
              <w:rPr>
                <w:rFonts w:ascii="Arial" w:hAnsi="Arial" w:cs="Arial"/>
                <w:b/>
                <w:sz w:val="20"/>
                <w:szCs w:val="20"/>
              </w:rPr>
              <w:t xml:space="preserve">32 </w:t>
            </w:r>
          </w:p>
        </w:tc>
        <w:tc>
          <w:tcPr>
            <w:tcW w:w="1215" w:type="dxa"/>
            <w:tcBorders>
              <w:top w:val="single" w:sz="8" w:space="0" w:color="000000"/>
              <w:bottom w:val="single" w:sz="8" w:space="0" w:color="000000"/>
            </w:tcBorders>
            <w:shd w:val="clear" w:color="auto" w:fill="auto"/>
            <w:noWrap/>
            <w:vAlign w:val="center"/>
            <w:hideMark/>
          </w:tcPr>
          <w:p w:rsidR="00C7152D" w:rsidRPr="00DE475B" w:rsidRDefault="00C7152D" w:rsidP="00A1189F">
            <w:pPr>
              <w:jc w:val="right"/>
              <w:rPr>
                <w:rFonts w:ascii="Arial" w:hAnsi="Arial" w:cs="Arial"/>
                <w:b/>
                <w:sz w:val="20"/>
                <w:szCs w:val="20"/>
              </w:rPr>
            </w:pPr>
            <w:r w:rsidRPr="00DE475B">
              <w:rPr>
                <w:rFonts w:ascii="Arial" w:hAnsi="Arial" w:cs="Arial"/>
                <w:b/>
                <w:sz w:val="20"/>
                <w:szCs w:val="20"/>
              </w:rPr>
              <w:t xml:space="preserve">167 </w:t>
            </w:r>
          </w:p>
        </w:tc>
        <w:tc>
          <w:tcPr>
            <w:tcW w:w="1108" w:type="dxa"/>
            <w:tcBorders>
              <w:top w:val="single" w:sz="8" w:space="0" w:color="000000"/>
              <w:bottom w:val="single" w:sz="8" w:space="0" w:color="000000"/>
            </w:tcBorders>
            <w:shd w:val="clear" w:color="auto" w:fill="auto"/>
            <w:noWrap/>
            <w:vAlign w:val="center"/>
            <w:hideMark/>
          </w:tcPr>
          <w:p w:rsidR="00C7152D" w:rsidRPr="00DE475B" w:rsidRDefault="00C7152D" w:rsidP="00A1189F">
            <w:pPr>
              <w:jc w:val="right"/>
              <w:rPr>
                <w:rFonts w:ascii="Arial" w:hAnsi="Arial" w:cs="Arial"/>
                <w:b/>
                <w:sz w:val="20"/>
                <w:szCs w:val="20"/>
              </w:rPr>
            </w:pPr>
            <w:r w:rsidRPr="00DE475B">
              <w:rPr>
                <w:rFonts w:ascii="Arial" w:hAnsi="Arial" w:cs="Arial"/>
                <w:b/>
                <w:sz w:val="20"/>
                <w:szCs w:val="20"/>
              </w:rPr>
              <w:t>66</w:t>
            </w:r>
          </w:p>
        </w:tc>
        <w:tc>
          <w:tcPr>
            <w:tcW w:w="1011" w:type="dxa"/>
            <w:tcBorders>
              <w:top w:val="single" w:sz="8" w:space="0" w:color="000000"/>
              <w:bottom w:val="single" w:sz="8" w:space="0" w:color="000000"/>
            </w:tcBorders>
            <w:shd w:val="clear" w:color="auto" w:fill="auto"/>
            <w:noWrap/>
            <w:vAlign w:val="center"/>
            <w:hideMark/>
          </w:tcPr>
          <w:p w:rsidR="00C7152D" w:rsidRPr="00DE475B" w:rsidRDefault="00C7152D" w:rsidP="00A1189F">
            <w:pPr>
              <w:jc w:val="right"/>
              <w:rPr>
                <w:rFonts w:ascii="Arial" w:hAnsi="Arial" w:cs="Arial"/>
                <w:b/>
                <w:sz w:val="20"/>
                <w:szCs w:val="20"/>
              </w:rPr>
            </w:pPr>
            <w:r w:rsidRPr="00DE475B">
              <w:rPr>
                <w:rFonts w:ascii="Arial" w:hAnsi="Arial" w:cs="Arial"/>
                <w:b/>
                <w:sz w:val="20"/>
                <w:szCs w:val="20"/>
              </w:rPr>
              <w:t xml:space="preserve">1,891 </w:t>
            </w:r>
          </w:p>
        </w:tc>
      </w:tr>
    </w:tbl>
    <w:p w:rsidR="00C7152D" w:rsidRPr="00DE475B" w:rsidRDefault="00C7152D" w:rsidP="00C7152D">
      <w:pPr>
        <w:pStyle w:val="ARbodytext"/>
      </w:pPr>
    </w:p>
    <w:p w:rsidR="008A2DA8" w:rsidRPr="00DE475B" w:rsidRDefault="008A2DA8" w:rsidP="00C7152D">
      <w:pPr>
        <w:pStyle w:val="ARbodytext"/>
        <w:rPr>
          <w:b/>
          <w:bCs/>
        </w:rPr>
      </w:pPr>
      <w:r w:rsidRPr="00DE475B">
        <w:rPr>
          <w:b/>
          <w:bCs/>
        </w:rPr>
        <w:br w:type="page"/>
      </w:r>
      <w:r w:rsidRPr="00DE475B">
        <w:rPr>
          <w:b/>
          <w:bCs/>
          <w:i/>
          <w:iCs/>
        </w:rPr>
        <w:lastRenderedPageBreak/>
        <w:t>Library Board of Queensland and controlled entities</w:t>
      </w:r>
    </w:p>
    <w:p w:rsidR="008A2DA8" w:rsidRPr="00DE475B" w:rsidRDefault="00373FFE" w:rsidP="008A2DA8">
      <w:pPr>
        <w:rPr>
          <w:rFonts w:ascii="Arial" w:hAnsi="Arial" w:cs="Arial"/>
          <w:b/>
          <w:bCs/>
          <w:sz w:val="20"/>
          <w:szCs w:val="20"/>
        </w:rPr>
      </w:pPr>
      <w:r w:rsidRPr="00DE475B">
        <w:rPr>
          <w:noProof/>
          <w:lang w:eastAsia="en-AU"/>
        </w:rPr>
        <mc:AlternateContent>
          <mc:Choice Requires="wps">
            <w:drawing>
              <wp:anchor distT="0" distB="0" distL="114300" distR="114300" simplePos="0" relativeHeight="251694080" behindDoc="0" locked="0" layoutInCell="1" allowOverlap="1" wp14:anchorId="2949F8AC" wp14:editId="15D5B195">
                <wp:simplePos x="0" y="0"/>
                <wp:positionH relativeFrom="column">
                  <wp:posOffset>-66040</wp:posOffset>
                </wp:positionH>
                <wp:positionV relativeFrom="paragraph">
                  <wp:posOffset>-222250</wp:posOffset>
                </wp:positionV>
                <wp:extent cx="5573395" cy="0"/>
                <wp:effectExtent l="13970" t="9525" r="13335" b="9525"/>
                <wp:wrapNone/>
                <wp:docPr id="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7YmwIAAHkFAAAOAAAAZHJzL2Uyb0RvYy54bWysVF1vmzAUfZ+0/2D5nQKBhASVVC0he+m2&#10;Su20Z8c2wRrYzHZDoqn/fddOwpruZZqaSMgf18fn3nOur2/2XYt2XBuhZIHjqwgjLqliQm4L/O1p&#10;HcwxMpZIRloleYEP3OCb5ccP10Of84lqVMu4RgAiTT70BW6s7fMwNLThHTFXqucSNmulO2Jhqrch&#10;02QA9K4NJ1E0CwelWa8V5cbA6uq4iZcev645tV/r2nCL2gIDN+u/2n837hsur0m+1aRvBD3RIP/B&#10;oiNCwqUj1IpYgp61+AuqE1Qro2p7RVUXqroWlPscIJs4epPNY0N67nOB4ph+LJN5P1j6ZfegkWAF&#10;zjCSpAOJ7oXkaLLwtRl6k0NIKR+0y47u5WN/r+gPg6QqGyK33HN8OvRwMHbVDC+OuInp4YbN8Fkx&#10;iCHPVvlC7WvdOUgoAdp7PQ6jHnxvEYXF6TRLksUUI3reC0l+PthrYz9x1SE3KHALrD0w2d0b64iQ&#10;/Bzi7pFqLdrWy91KNBR4kczAEJSA6cxPf9KoVjAX5eKN3m7KVqMdcc7xP58e7LwO64QF/7aiK/B8&#10;DCJ5wwmrJPPXWSLa4xgotdKBc+/MI0+Y7S0M/Tok7l3zaxEtqnk1T4N0MquCNFqtgtt1mQazdZxN&#10;V8mqLFfxi2Mdp3kjGOPSET87OE7/zSGnXjp6b/TwWKrwEt3XFMheMr1dT6MsTeZBlk2TIE2qKLib&#10;r8vgtoxns6y6K++qN0wrn715H7JjKR0r9QxqPDZsQEw4UyTTxSTGMIGOn2RHfRBpt/BUUasx0sp+&#10;F7bxHnbucxgXws8j9z8JP6IfC3HW0M1GFU65/SkVaH7W17eG6wb3Opl8o9jhQZ9bBvrbHzq9Re4B&#10;eT2H8esXc/kbAAD//wMAUEsDBBQABgAIAAAAIQDe2Ktn4AAAAAsBAAAPAAAAZHJzL2Rvd25yZXYu&#10;eG1sTI9BS8NAEIXvgv9hGcGLtJuaWEvMpoggHgRpqyjettkxG8zOht1tE/+9Iwh6m5n3ePO9aj25&#10;XhwxxM6TgsU8A4HUeNNRq+Dl+X62AhGTJqN7T6jgCyOs69OTSpfGj7TF4y61gkMollqBTWkopYyN&#10;Rafj3A9IrH344HTiNbTSBD1yuOvlZZYtpdMd8QerB7yz2HzuDk7BUxi7mPKi2GB6f314fLObC7dV&#10;6vxsur0BkXBKf2b4wWd0qJlp7w9kougVzBZZwVYe8isuxY7V8joHsf+9yLqS/zvU3wAAAP//AwBQ&#10;SwECLQAUAAYACAAAACEAtoM4kv4AAADhAQAAEwAAAAAAAAAAAAAAAAAAAAAAW0NvbnRlbnRfVHlw&#10;ZXNdLnhtbFBLAQItABQABgAIAAAAIQA4/SH/1gAAAJQBAAALAAAAAAAAAAAAAAAAAC8BAABfcmVs&#10;cy8ucmVsc1BLAQItABQABgAIAAAAIQAYD67YmwIAAHkFAAAOAAAAAAAAAAAAAAAAAC4CAABkcnMv&#10;ZTJvRG9jLnhtbFBLAQItABQABgAIAAAAIQDe2Ktn4AAAAAsBAAAPAAAAAAAAAAAAAAAAAPUEAABk&#10;cnMvZG93bnJldi54bWxQSwUGAAAAAAQABADzAAAAAgYAAAAA&#10;" strokeweight=".26mm">
                <v:stroke joinstyle="miter" endcap="square"/>
              </v:line>
            </w:pict>
          </mc:Fallback>
        </mc:AlternateContent>
      </w:r>
      <w:r w:rsidR="008A2DA8" w:rsidRPr="00DE475B">
        <w:rPr>
          <w:rFonts w:ascii="Arial" w:hAnsi="Arial" w:cs="Arial"/>
          <w:b/>
          <w:bCs/>
          <w:sz w:val="20"/>
          <w:szCs w:val="20"/>
        </w:rPr>
        <w:t>NOTES TO THE FINANCIAL STATEMENTS</w:t>
      </w:r>
    </w:p>
    <w:p w:rsidR="008A2DA8" w:rsidRPr="00DE475B" w:rsidRDefault="00D77FB1" w:rsidP="008A2DA8">
      <w:r>
        <w:rPr>
          <w:rFonts w:ascii="Arial" w:hAnsi="Arial" w:cs="Arial"/>
          <w:b/>
          <w:bCs/>
          <w:sz w:val="20"/>
          <w:szCs w:val="20"/>
        </w:rPr>
        <w:t>For the year ended 30 June 2017</w:t>
      </w:r>
    </w:p>
    <w:p w:rsidR="001B7FB6" w:rsidRPr="00DE475B" w:rsidRDefault="00373FFE" w:rsidP="00D77FB1">
      <w:pPr>
        <w:pStyle w:val="ARheading3"/>
        <w:widowControl w:val="0"/>
        <w:tabs>
          <w:tab w:val="left" w:pos="851"/>
        </w:tabs>
        <w:spacing w:before="240" w:after="120"/>
        <w:rPr>
          <w:color w:val="808080"/>
        </w:rPr>
      </w:pPr>
      <w:r w:rsidRPr="00DE475B">
        <w:rPr>
          <w:noProof/>
          <w:color w:val="808080"/>
          <w:lang w:eastAsia="en-AU"/>
        </w:rPr>
        <mc:AlternateContent>
          <mc:Choice Requires="wps">
            <w:drawing>
              <wp:anchor distT="0" distB="0" distL="114300" distR="114300" simplePos="0" relativeHeight="251693056" behindDoc="0" locked="0" layoutInCell="1" allowOverlap="1" wp14:anchorId="420A6577" wp14:editId="23E352E2">
                <wp:simplePos x="0" y="0"/>
                <wp:positionH relativeFrom="column">
                  <wp:posOffset>-66040</wp:posOffset>
                </wp:positionH>
                <wp:positionV relativeFrom="paragraph">
                  <wp:posOffset>29210</wp:posOffset>
                </wp:positionV>
                <wp:extent cx="5573395" cy="0"/>
                <wp:effectExtent l="13970" t="10160" r="13335" b="8890"/>
                <wp:wrapNone/>
                <wp:docPr id="3"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3pt" to="433.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LvmwIAAHkFAAAOAAAAZHJzL2Uyb0RvYy54bWysVFFvmzAQfp+0/2D5nQKBJASVVC0he+m2&#10;Su20Z8c2wRrYzHZDoqn/fWcnYU33Mk1NJOSz787f3fedr2/2XYt2XBuhZIHjqwgjLqliQm4L/O1p&#10;HWQYGUskI62SvMAHbvDN8uOH66HP+UQ1qmVcI0giTT70BW6s7fMwNLThHTFXqucSDmulO2LB1NuQ&#10;aTJA9q4NJ1E0CwelWa8V5cbA7up4iJc+f11zar/WteEWtQUGbNZ/tf9u3DdcXpN8q0nfCHqCQf4D&#10;RUeEhEvHVCtiCXrW4q9UnaBaGVXbK6q6UNW1oNzXANXE0ZtqHhvSc18LNMf0Y5vM+6WlX3YPGglW&#10;4AQjSTqg6F5IjibZwvVm6E0OLqV80K46upeP/b2iPwySqmyI3HKP8enQQ2DsIsKLEGeYHm7YDJ8V&#10;Ax/ybJVv1L7WnUsJLUB7z8dh5IPvLaKwOZ3Ok2QxxYiez0KSnwN7bewnrjrkFgVuAbVPTHb3xjog&#10;JD+7uHukWou29XS3Eg0FXiQzEAQlIDrz00ca1QrmvJy/0dtN2Wq0I045/ufLg5PXbp2woN9WdAXO&#10;RieSN5ywSjJ/nSWiPa4BUitdcu6VecQJ1t7C0u9D4V41vxbRosqqLA3SyawK0mi1Cm7XZRrM1vF8&#10;ukpWZbmKXxzqOM0bwRiXDvhZwXH6bwo5zdJRe6OGx1aFl9l9TwHsJdLb9TSap0kWzOfTJEiTKgru&#10;snUZ3JbxbDav7sq76g3Syldv3gfs2EqHSj0DG48NGxATThTJdDGJMRgw8ZP5kR9E2i08VdRqjLSy&#10;34VtvIad+lyOC+KzyP1PxI/Zj404c+iskYVTbX9aBZyf+fWj4abhOFcbxQ4P+jwyMN8+6PQWuQfk&#10;tQ3r1y/m8jcAAAD//wMAUEsDBBQABgAIAAAAIQD9Hr3L3QAAAAcBAAAPAAAAZHJzL2Rvd25yZXYu&#10;eG1sTI5RS8MwFIXfBf9DuIIvsqVzpY7adIggPgiyTVF8y5prU2xuSpKt9d973Ys+Hs7hO1+1nlwv&#10;jhhi50nBYp6BQGq86ahV8PryMFuBiEmT0b0nVPCNEdb1+VmlS+NH2uJxl1rBEIqlVmBTGkopY2PR&#10;6Tj3AxJ3nz44nTiGVpqgR4a7Xl5nWSGd7ogfrB7w3mLztTs4Bc9h7GJa5vkG08fb49O73Vy5rVKX&#10;F9PdLYiEU/obw68+q0PNTnt/IBNFr2C2yHKeKsgLENyvipsliP0py7qS//3rHwAAAP//AwBQSwEC&#10;LQAUAAYACAAAACEAtoM4kv4AAADhAQAAEwAAAAAAAAAAAAAAAAAAAAAAW0NvbnRlbnRfVHlwZXNd&#10;LnhtbFBLAQItABQABgAIAAAAIQA4/SH/1gAAAJQBAAALAAAAAAAAAAAAAAAAAC8BAABfcmVscy8u&#10;cmVsc1BLAQItABQABgAIAAAAIQAU0fLvmwIAAHkFAAAOAAAAAAAAAAAAAAAAAC4CAABkcnMvZTJv&#10;RG9jLnhtbFBLAQItABQABgAIAAAAIQD9Hr3L3QAAAAcBAAAPAAAAAAAAAAAAAAAAAPUEAABkcnMv&#10;ZG93bnJldi54bWxQSwUGAAAAAAQABADzAAAA/wUAAAAA&#10;" strokeweight=".26mm">
                <v:stroke joinstyle="miter" endcap="square"/>
              </v:line>
            </w:pict>
          </mc:Fallback>
        </mc:AlternateContent>
      </w:r>
      <w:proofErr w:type="gramStart"/>
      <w:r w:rsidR="008A2DA8" w:rsidRPr="00DE475B">
        <w:rPr>
          <w:color w:val="808080"/>
        </w:rPr>
        <w:t>F</w:t>
      </w:r>
      <w:r w:rsidR="001B7FB6" w:rsidRPr="00DE475B">
        <w:rPr>
          <w:color w:val="808080"/>
        </w:rPr>
        <w:t>1  Key</w:t>
      </w:r>
      <w:proofErr w:type="gramEnd"/>
      <w:r w:rsidR="001B7FB6" w:rsidRPr="00DE475B">
        <w:rPr>
          <w:color w:val="808080"/>
        </w:rPr>
        <w:t xml:space="preserve"> management personnel disclosures (continued)</w:t>
      </w:r>
    </w:p>
    <w:p w:rsidR="009C477C" w:rsidRPr="00DE475B" w:rsidRDefault="001B7FB6" w:rsidP="00652F6C">
      <w:pPr>
        <w:pStyle w:val="ARbodytext"/>
        <w:spacing w:before="120"/>
        <w:rPr>
          <w:b/>
          <w:bCs/>
        </w:rPr>
      </w:pPr>
      <w:r w:rsidRPr="00DE475B">
        <w:rPr>
          <w:b/>
          <w:bCs/>
        </w:rPr>
        <w:t>F</w:t>
      </w:r>
      <w:r w:rsidR="00D77FB1">
        <w:rPr>
          <w:b/>
          <w:bCs/>
        </w:rPr>
        <w:t>1-</w:t>
      </w:r>
      <w:proofErr w:type="gramStart"/>
      <w:r w:rsidR="00D77FB1">
        <w:rPr>
          <w:b/>
          <w:bCs/>
        </w:rPr>
        <w:t>4</w:t>
      </w:r>
      <w:r w:rsidR="009C477C" w:rsidRPr="00DE475B">
        <w:rPr>
          <w:b/>
          <w:bCs/>
        </w:rPr>
        <w:t xml:space="preserve">  Library</w:t>
      </w:r>
      <w:proofErr w:type="gramEnd"/>
      <w:r w:rsidR="009C477C" w:rsidRPr="00DE475B">
        <w:rPr>
          <w:b/>
          <w:bCs/>
        </w:rPr>
        <w:t xml:space="preserve"> board remuneration</w:t>
      </w:r>
    </w:p>
    <w:p w:rsidR="009C477C" w:rsidRPr="00DE475B" w:rsidRDefault="009C477C" w:rsidP="009C477C">
      <w:pPr>
        <w:spacing w:after="120"/>
        <w:rPr>
          <w:rFonts w:ascii="Arial" w:hAnsi="Arial" w:cs="Arial"/>
          <w:spacing w:val="-2"/>
          <w:sz w:val="20"/>
          <w:szCs w:val="20"/>
        </w:rPr>
      </w:pPr>
      <w:r w:rsidRPr="00DE475B">
        <w:rPr>
          <w:rFonts w:ascii="Arial" w:hAnsi="Arial" w:cs="Arial"/>
          <w:spacing w:val="-2"/>
          <w:sz w:val="20"/>
          <w:szCs w:val="20"/>
        </w:rPr>
        <w:t>Library Board Fees, including both sitting fees and special assign</w:t>
      </w:r>
      <w:r w:rsidR="00D77FB1">
        <w:rPr>
          <w:rFonts w:ascii="Arial" w:hAnsi="Arial" w:cs="Arial"/>
          <w:spacing w:val="-2"/>
          <w:sz w:val="20"/>
          <w:szCs w:val="20"/>
        </w:rPr>
        <w:t>ment fees totalled $36,666 (2016</w:t>
      </w:r>
      <w:r w:rsidRPr="00DE475B">
        <w:rPr>
          <w:rFonts w:ascii="Arial" w:hAnsi="Arial" w:cs="Arial"/>
          <w:spacing w:val="-2"/>
          <w:sz w:val="20"/>
          <w:szCs w:val="20"/>
        </w:rPr>
        <w:t>: $</w:t>
      </w:r>
      <w:r w:rsidR="00D77FB1" w:rsidRPr="00DE475B">
        <w:rPr>
          <w:rFonts w:ascii="Arial" w:hAnsi="Arial" w:cs="Arial"/>
          <w:spacing w:val="-2"/>
          <w:sz w:val="20"/>
          <w:szCs w:val="20"/>
        </w:rPr>
        <w:t>33,091</w:t>
      </w:r>
      <w:r w:rsidRPr="00DE475B">
        <w:rPr>
          <w:rFonts w:ascii="Arial" w:hAnsi="Arial" w:cs="Arial"/>
          <w:spacing w:val="-2"/>
          <w:sz w:val="20"/>
          <w:szCs w:val="20"/>
        </w:rPr>
        <w:t>). Other fees such as fringe benefits tax, payroll tax, travel, catering and</w:t>
      </w:r>
      <w:r w:rsidR="00D77FB1">
        <w:rPr>
          <w:rFonts w:ascii="Arial" w:hAnsi="Arial" w:cs="Arial"/>
          <w:spacing w:val="-2"/>
          <w:sz w:val="20"/>
          <w:szCs w:val="20"/>
        </w:rPr>
        <w:t xml:space="preserve"> printing totalled $27,609 (2016</w:t>
      </w:r>
      <w:r w:rsidRPr="00DE475B">
        <w:rPr>
          <w:rFonts w:ascii="Arial" w:hAnsi="Arial" w:cs="Arial"/>
          <w:spacing w:val="-2"/>
          <w:sz w:val="20"/>
          <w:szCs w:val="20"/>
        </w:rPr>
        <w:t>: $</w:t>
      </w:r>
      <w:r w:rsidR="00D77FB1" w:rsidRPr="00DE475B">
        <w:rPr>
          <w:rFonts w:ascii="Arial" w:hAnsi="Arial" w:cs="Arial"/>
          <w:spacing w:val="-2"/>
          <w:sz w:val="20"/>
          <w:szCs w:val="20"/>
        </w:rPr>
        <w:t>28,628</w:t>
      </w:r>
      <w:r w:rsidRPr="00DE475B">
        <w:rPr>
          <w:rFonts w:ascii="Arial" w:hAnsi="Arial" w:cs="Arial"/>
          <w:spacing w:val="-2"/>
          <w:sz w:val="20"/>
          <w:szCs w:val="20"/>
        </w:rPr>
        <w:t>). The total cost of Library Board operat</w:t>
      </w:r>
      <w:r w:rsidR="00D77FB1">
        <w:rPr>
          <w:rFonts w:ascii="Arial" w:hAnsi="Arial" w:cs="Arial"/>
          <w:spacing w:val="-2"/>
          <w:sz w:val="20"/>
          <w:szCs w:val="20"/>
        </w:rPr>
        <w:t>ions was therefore $64,275 (2016</w:t>
      </w:r>
      <w:r w:rsidRPr="00DE475B">
        <w:rPr>
          <w:rFonts w:ascii="Arial" w:hAnsi="Arial" w:cs="Arial"/>
          <w:spacing w:val="-2"/>
          <w:sz w:val="20"/>
          <w:szCs w:val="20"/>
        </w:rPr>
        <w:t>: $</w:t>
      </w:r>
      <w:r w:rsidR="00D77FB1" w:rsidRPr="00DE475B">
        <w:rPr>
          <w:rFonts w:ascii="Arial" w:hAnsi="Arial" w:cs="Arial"/>
          <w:spacing w:val="-2"/>
          <w:sz w:val="20"/>
          <w:szCs w:val="20"/>
        </w:rPr>
        <w:t>61,719</w:t>
      </w:r>
      <w:r w:rsidRPr="00DE475B">
        <w:rPr>
          <w:rFonts w:ascii="Arial" w:hAnsi="Arial" w:cs="Arial"/>
          <w:spacing w:val="-2"/>
          <w:sz w:val="20"/>
          <w:szCs w:val="20"/>
        </w:rPr>
        <w:t>).</w:t>
      </w:r>
    </w:p>
    <w:p w:rsidR="009C477C" w:rsidRPr="00DE475B" w:rsidRDefault="009C477C" w:rsidP="009C477C">
      <w:pPr>
        <w:spacing w:after="120"/>
        <w:rPr>
          <w:rFonts w:ascii="Arial" w:hAnsi="Arial" w:cs="Arial"/>
          <w:spacing w:val="-2"/>
          <w:sz w:val="20"/>
          <w:szCs w:val="20"/>
        </w:rPr>
      </w:pPr>
      <w:r w:rsidRPr="00DE475B">
        <w:rPr>
          <w:rFonts w:ascii="Arial" w:hAnsi="Arial" w:cs="Arial"/>
          <w:spacing w:val="-2"/>
          <w:sz w:val="20"/>
          <w:szCs w:val="20"/>
        </w:rPr>
        <w:t xml:space="preserve">Fees paid to members of the Library Board are in accordance with the guidelines provided for the </w:t>
      </w:r>
      <w:r w:rsidRPr="00DE475B">
        <w:rPr>
          <w:rFonts w:ascii="Arial" w:hAnsi="Arial" w:cs="Arial"/>
          <w:i/>
          <w:iCs/>
          <w:spacing w:val="-2"/>
          <w:sz w:val="20"/>
          <w:szCs w:val="20"/>
        </w:rPr>
        <w:t>Remuneration Procedures for Part-time Chairs and Members of Queensland Government Bodies</w:t>
      </w:r>
      <w:r w:rsidRPr="00DE475B">
        <w:rPr>
          <w:rFonts w:ascii="Arial" w:hAnsi="Arial" w:cs="Arial"/>
          <w:spacing w:val="-2"/>
          <w:sz w:val="20"/>
          <w:szCs w:val="20"/>
        </w:rPr>
        <w:t>. These amounts exclude expenses associated with the hosting and transport to meetings.</w:t>
      </w:r>
    </w:p>
    <w:p w:rsidR="009C477C" w:rsidRPr="00DE475B" w:rsidRDefault="009C477C" w:rsidP="008A2DA8">
      <w:pPr>
        <w:spacing w:after="80"/>
      </w:pPr>
      <w:r w:rsidRPr="00DE475B">
        <w:rPr>
          <w:rFonts w:ascii="Arial" w:hAnsi="Arial" w:cs="Arial"/>
          <w:sz w:val="20"/>
          <w:szCs w:val="20"/>
        </w:rPr>
        <w:t>Remuneration of the Board was as follows:</w:t>
      </w:r>
    </w:p>
    <w:tbl>
      <w:tblPr>
        <w:tblW w:w="8647" w:type="dxa"/>
        <w:tblInd w:w="108" w:type="dxa"/>
        <w:tblLayout w:type="fixed"/>
        <w:tblLook w:val="0000" w:firstRow="0" w:lastRow="0" w:firstColumn="0" w:lastColumn="0" w:noHBand="0" w:noVBand="0"/>
      </w:tblPr>
      <w:tblGrid>
        <w:gridCol w:w="2977"/>
        <w:gridCol w:w="1843"/>
        <w:gridCol w:w="1559"/>
        <w:gridCol w:w="1276"/>
        <w:gridCol w:w="992"/>
      </w:tblGrid>
      <w:tr w:rsidR="007273E3" w:rsidRPr="00DE475B" w:rsidTr="007273E3">
        <w:trPr>
          <w:trHeight w:val="303"/>
        </w:trPr>
        <w:tc>
          <w:tcPr>
            <w:tcW w:w="2977" w:type="dxa"/>
            <w:shd w:val="clear" w:color="auto" w:fill="BFBFBF"/>
            <w:vAlign w:val="bottom"/>
          </w:tcPr>
          <w:p w:rsidR="007273E3" w:rsidRPr="00DE475B" w:rsidRDefault="007273E3" w:rsidP="005554A8">
            <w:pPr>
              <w:jc w:val="center"/>
              <w:rPr>
                <w:rFonts w:ascii="Arial" w:hAnsi="Arial" w:cs="Arial"/>
                <w:b/>
                <w:bCs/>
                <w:sz w:val="20"/>
                <w:szCs w:val="20"/>
              </w:rPr>
            </w:pPr>
            <w:r w:rsidRPr="00DE475B">
              <w:rPr>
                <w:rFonts w:ascii="Arial" w:hAnsi="Arial" w:cs="Arial"/>
                <w:b/>
                <w:bCs/>
                <w:sz w:val="20"/>
                <w:szCs w:val="20"/>
              </w:rPr>
              <w:t>Name</w:t>
            </w:r>
          </w:p>
        </w:tc>
        <w:tc>
          <w:tcPr>
            <w:tcW w:w="1843" w:type="dxa"/>
            <w:shd w:val="clear" w:color="auto" w:fill="BFBFBF"/>
            <w:vAlign w:val="bottom"/>
          </w:tcPr>
          <w:p w:rsidR="007273E3" w:rsidRPr="00DE475B" w:rsidRDefault="007273E3" w:rsidP="005554A8">
            <w:pPr>
              <w:jc w:val="center"/>
              <w:rPr>
                <w:rFonts w:ascii="Arial" w:hAnsi="Arial" w:cs="Arial"/>
                <w:b/>
                <w:bCs/>
                <w:sz w:val="20"/>
                <w:szCs w:val="20"/>
              </w:rPr>
            </w:pPr>
            <w:r w:rsidRPr="00DE475B">
              <w:rPr>
                <w:rFonts w:ascii="Arial" w:hAnsi="Arial" w:cs="Arial"/>
                <w:b/>
                <w:bCs/>
                <w:sz w:val="20"/>
                <w:szCs w:val="20"/>
              </w:rPr>
              <w:t>Appointment date</w:t>
            </w:r>
          </w:p>
        </w:tc>
        <w:tc>
          <w:tcPr>
            <w:tcW w:w="1559" w:type="dxa"/>
            <w:shd w:val="clear" w:color="auto" w:fill="BFBFBF"/>
            <w:vAlign w:val="bottom"/>
          </w:tcPr>
          <w:p w:rsidR="007273E3" w:rsidRPr="00DE475B" w:rsidRDefault="007273E3" w:rsidP="007273E3">
            <w:pPr>
              <w:jc w:val="center"/>
              <w:rPr>
                <w:rFonts w:ascii="Arial" w:hAnsi="Arial" w:cs="Arial"/>
                <w:b/>
                <w:bCs/>
                <w:sz w:val="20"/>
                <w:szCs w:val="20"/>
              </w:rPr>
            </w:pPr>
            <w:r>
              <w:rPr>
                <w:rFonts w:ascii="Arial" w:hAnsi="Arial" w:cs="Arial"/>
                <w:b/>
                <w:bCs/>
                <w:sz w:val="20"/>
                <w:szCs w:val="20"/>
              </w:rPr>
              <w:t>Member to</w:t>
            </w:r>
          </w:p>
        </w:tc>
        <w:tc>
          <w:tcPr>
            <w:tcW w:w="1276" w:type="dxa"/>
            <w:shd w:val="clear" w:color="auto" w:fill="BFBFBF"/>
            <w:vAlign w:val="bottom"/>
          </w:tcPr>
          <w:p w:rsidR="007273E3" w:rsidRPr="00DE475B" w:rsidRDefault="007273E3" w:rsidP="007273E3">
            <w:pPr>
              <w:jc w:val="right"/>
              <w:rPr>
                <w:rFonts w:ascii="Arial" w:hAnsi="Arial" w:cs="Arial"/>
                <w:b/>
                <w:bCs/>
                <w:sz w:val="20"/>
                <w:szCs w:val="20"/>
              </w:rPr>
            </w:pPr>
            <w:r w:rsidRPr="00DE475B">
              <w:rPr>
                <w:rFonts w:ascii="Arial" w:hAnsi="Arial" w:cs="Arial"/>
                <w:b/>
                <w:bCs/>
                <w:sz w:val="20"/>
                <w:szCs w:val="20"/>
              </w:rPr>
              <w:t>201</w:t>
            </w:r>
            <w:r>
              <w:rPr>
                <w:rFonts w:ascii="Arial" w:hAnsi="Arial" w:cs="Arial"/>
                <w:b/>
                <w:bCs/>
                <w:sz w:val="20"/>
                <w:szCs w:val="20"/>
              </w:rPr>
              <w:t>7</w:t>
            </w:r>
          </w:p>
        </w:tc>
        <w:tc>
          <w:tcPr>
            <w:tcW w:w="992" w:type="dxa"/>
            <w:shd w:val="clear" w:color="auto" w:fill="BFBFBF"/>
            <w:vAlign w:val="bottom"/>
          </w:tcPr>
          <w:p w:rsidR="007273E3" w:rsidRPr="00DE475B" w:rsidRDefault="007273E3" w:rsidP="009C477C">
            <w:pPr>
              <w:jc w:val="right"/>
              <w:rPr>
                <w:rFonts w:ascii="Arial" w:hAnsi="Arial" w:cs="Arial"/>
                <w:sz w:val="20"/>
                <w:szCs w:val="20"/>
              </w:rPr>
            </w:pPr>
            <w:r>
              <w:rPr>
                <w:rFonts w:ascii="Arial" w:hAnsi="Arial" w:cs="Arial"/>
                <w:b/>
                <w:bCs/>
                <w:sz w:val="20"/>
                <w:szCs w:val="20"/>
              </w:rPr>
              <w:t>2016</w:t>
            </w:r>
          </w:p>
        </w:tc>
      </w:tr>
      <w:tr w:rsidR="007273E3" w:rsidRPr="00DE475B" w:rsidTr="007273E3">
        <w:trPr>
          <w:trHeight w:val="355"/>
        </w:trPr>
        <w:tc>
          <w:tcPr>
            <w:tcW w:w="2977" w:type="dxa"/>
            <w:tcBorders>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 xml:space="preserve">Professor </w:t>
            </w:r>
            <w:r w:rsidRPr="00DE475B">
              <w:rPr>
                <w:rFonts w:ascii="Arial" w:hAnsi="Arial" w:cs="Arial"/>
                <w:sz w:val="20"/>
                <w:szCs w:val="20"/>
              </w:rPr>
              <w:t xml:space="preserve">Jan Thomas </w:t>
            </w:r>
            <w:r>
              <w:rPr>
                <w:rFonts w:ascii="Arial" w:hAnsi="Arial" w:cs="Arial"/>
                <w:sz w:val="20"/>
                <w:szCs w:val="20"/>
              </w:rPr>
              <w:br/>
            </w:r>
            <w:r w:rsidRPr="007273E3">
              <w:rPr>
                <w:rFonts w:ascii="Arial" w:hAnsi="Arial" w:cs="Arial"/>
                <w:sz w:val="16"/>
                <w:szCs w:val="16"/>
              </w:rPr>
              <w:t>(Chairperson until 28/02/2017)*</w:t>
            </w:r>
          </w:p>
        </w:tc>
        <w:tc>
          <w:tcPr>
            <w:tcW w:w="1843" w:type="dxa"/>
            <w:tcBorders>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sidRPr="00DE475B">
              <w:rPr>
                <w:rFonts w:ascii="Arial" w:hAnsi="Arial" w:cs="Arial"/>
                <w:sz w:val="20"/>
                <w:szCs w:val="20"/>
              </w:rPr>
              <w:t>March 2014</w:t>
            </w:r>
          </w:p>
        </w:tc>
        <w:tc>
          <w:tcPr>
            <w:tcW w:w="1559" w:type="dxa"/>
            <w:tcBorders>
              <w:bottom w:val="single" w:sz="4" w:space="0" w:color="000000"/>
            </w:tcBorders>
            <w:vAlign w:val="center"/>
          </w:tcPr>
          <w:p w:rsidR="007273E3" w:rsidRPr="00DE475B" w:rsidRDefault="007273E3" w:rsidP="007273E3">
            <w:pPr>
              <w:jc w:val="center"/>
              <w:rPr>
                <w:rFonts w:ascii="Arial" w:hAnsi="Arial" w:cs="Arial"/>
                <w:sz w:val="20"/>
                <w:szCs w:val="20"/>
              </w:rPr>
            </w:pPr>
            <w:r>
              <w:rPr>
                <w:rFonts w:ascii="Arial" w:hAnsi="Arial" w:cs="Arial"/>
                <w:sz w:val="20"/>
                <w:szCs w:val="20"/>
              </w:rPr>
              <w:t>February 2017</w:t>
            </w:r>
          </w:p>
        </w:tc>
        <w:tc>
          <w:tcPr>
            <w:tcW w:w="1276" w:type="dxa"/>
            <w:tcBorders>
              <w:bottom w:val="single" w:sz="4" w:space="0" w:color="000000"/>
            </w:tcBorders>
            <w:shd w:val="clear" w:color="auto" w:fill="auto"/>
            <w:vAlign w:val="center"/>
          </w:tcPr>
          <w:p w:rsidR="007273E3" w:rsidRPr="00DE475B" w:rsidRDefault="007273E3" w:rsidP="00D61056">
            <w:pPr>
              <w:jc w:val="right"/>
              <w:rPr>
                <w:rFonts w:ascii="Arial" w:hAnsi="Arial" w:cs="Arial"/>
                <w:sz w:val="20"/>
                <w:szCs w:val="20"/>
              </w:rPr>
            </w:pPr>
            <w:r w:rsidRPr="00DE475B">
              <w:rPr>
                <w:rFonts w:ascii="Arial" w:hAnsi="Arial" w:cs="Arial"/>
                <w:sz w:val="20"/>
                <w:szCs w:val="20"/>
              </w:rPr>
              <w:t>-</w:t>
            </w:r>
          </w:p>
        </w:tc>
        <w:tc>
          <w:tcPr>
            <w:tcW w:w="992" w:type="dxa"/>
            <w:tcBorders>
              <w:bottom w:val="single" w:sz="4" w:space="0" w:color="000000"/>
            </w:tcBorders>
            <w:shd w:val="clear" w:color="auto" w:fill="auto"/>
            <w:vAlign w:val="center"/>
          </w:tcPr>
          <w:p w:rsidR="007273E3" w:rsidRPr="00DE475B" w:rsidRDefault="007273E3" w:rsidP="00D61056">
            <w:pPr>
              <w:jc w:val="right"/>
              <w:rPr>
                <w:rFonts w:ascii="Arial" w:hAnsi="Arial" w:cs="Arial"/>
                <w:sz w:val="20"/>
                <w:szCs w:val="20"/>
              </w:rPr>
            </w:pPr>
            <w:r w:rsidRPr="00DE475B">
              <w:rPr>
                <w:rFonts w:ascii="Arial" w:hAnsi="Arial" w:cs="Arial"/>
                <w:sz w:val="20"/>
                <w:szCs w:val="20"/>
              </w:rPr>
              <w:t>-</w:t>
            </w:r>
          </w:p>
        </w:tc>
      </w:tr>
      <w:tr w:rsidR="007273E3" w:rsidRPr="00DE475B" w:rsidTr="007273E3">
        <w:trPr>
          <w:trHeight w:val="303"/>
        </w:trPr>
        <w:tc>
          <w:tcPr>
            <w:tcW w:w="2977" w:type="dxa"/>
            <w:tcBorders>
              <w:top w:val="single" w:sz="4" w:space="0" w:color="000000"/>
              <w:bottom w:val="single" w:sz="4" w:space="0" w:color="000000"/>
            </w:tcBorders>
            <w:shd w:val="clear" w:color="auto" w:fill="auto"/>
            <w:vAlign w:val="center"/>
          </w:tcPr>
          <w:p w:rsidR="007273E3" w:rsidRPr="00DE475B" w:rsidRDefault="007273E3" w:rsidP="007273E3">
            <w:pPr>
              <w:rPr>
                <w:rFonts w:ascii="Arial" w:hAnsi="Arial" w:cs="Arial"/>
                <w:sz w:val="20"/>
                <w:szCs w:val="20"/>
              </w:rPr>
            </w:pPr>
            <w:r>
              <w:rPr>
                <w:rFonts w:ascii="Arial" w:hAnsi="Arial" w:cs="Arial"/>
                <w:sz w:val="20"/>
                <w:szCs w:val="20"/>
              </w:rPr>
              <w:t xml:space="preserve">Emeritus Professor </w:t>
            </w:r>
            <w:r w:rsidRPr="00DE475B">
              <w:rPr>
                <w:rFonts w:ascii="Arial" w:hAnsi="Arial" w:cs="Arial"/>
                <w:sz w:val="20"/>
                <w:szCs w:val="20"/>
              </w:rPr>
              <w:t xml:space="preserve">Roland Sussex </w:t>
            </w:r>
            <w:proofErr w:type="spellStart"/>
            <w:r w:rsidRPr="00DE475B">
              <w:rPr>
                <w:rFonts w:ascii="Arial" w:hAnsi="Arial" w:cs="Arial"/>
                <w:smallCaps/>
                <w:sz w:val="20"/>
                <w:szCs w:val="20"/>
              </w:rPr>
              <w:t>oam</w:t>
            </w:r>
            <w:proofErr w:type="spellEnd"/>
          </w:p>
        </w:tc>
        <w:tc>
          <w:tcPr>
            <w:tcW w:w="1843"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sidRPr="00DE475B">
              <w:rPr>
                <w:rFonts w:ascii="Arial" w:hAnsi="Arial" w:cs="Arial"/>
                <w:sz w:val="20"/>
                <w:szCs w:val="20"/>
              </w:rPr>
              <w:t>November 2009</w:t>
            </w:r>
          </w:p>
        </w:tc>
        <w:tc>
          <w:tcPr>
            <w:tcW w:w="1559" w:type="dxa"/>
            <w:tcBorders>
              <w:top w:val="single" w:sz="4" w:space="0" w:color="000000"/>
              <w:bottom w:val="single" w:sz="4" w:space="0" w:color="000000"/>
            </w:tcBorders>
            <w:vAlign w:val="center"/>
          </w:tcPr>
          <w:p w:rsidR="007273E3" w:rsidRPr="00DE475B" w:rsidRDefault="007273E3" w:rsidP="007273E3">
            <w:pPr>
              <w:jc w:val="center"/>
              <w:rPr>
                <w:rFonts w:ascii="Arial" w:hAnsi="Arial" w:cs="Arial"/>
                <w:sz w:val="20"/>
                <w:szCs w:val="20"/>
              </w:rPr>
            </w:pPr>
            <w:r>
              <w:rPr>
                <w:rFonts w:ascii="Arial" w:hAnsi="Arial" w:cs="Arial"/>
                <w:sz w:val="20"/>
                <w:szCs w:val="20"/>
              </w:rPr>
              <w:t>February 2017</w:t>
            </w:r>
          </w:p>
        </w:tc>
        <w:tc>
          <w:tcPr>
            <w:tcW w:w="1276" w:type="dxa"/>
            <w:tcBorders>
              <w:top w:val="single" w:sz="4" w:space="0" w:color="000000"/>
              <w:bottom w:val="single" w:sz="4" w:space="0" w:color="000000"/>
            </w:tcBorders>
            <w:shd w:val="clear" w:color="auto" w:fill="auto"/>
            <w:vAlign w:val="center"/>
          </w:tcPr>
          <w:p w:rsidR="007273E3" w:rsidRPr="00DE475B" w:rsidRDefault="005B15B4" w:rsidP="00D61056">
            <w:pPr>
              <w:jc w:val="right"/>
              <w:rPr>
                <w:rFonts w:ascii="Arial" w:hAnsi="Arial" w:cs="Arial"/>
                <w:sz w:val="20"/>
                <w:szCs w:val="20"/>
              </w:rPr>
            </w:pPr>
            <w:r>
              <w:rPr>
                <w:rFonts w:ascii="Arial" w:hAnsi="Arial" w:cs="Arial"/>
                <w:sz w:val="20"/>
                <w:szCs w:val="20"/>
              </w:rPr>
              <w:t>$3,333</w:t>
            </w:r>
          </w:p>
        </w:tc>
        <w:tc>
          <w:tcPr>
            <w:tcW w:w="992" w:type="dxa"/>
            <w:tcBorders>
              <w:top w:val="single" w:sz="4" w:space="0" w:color="000000"/>
              <w:bottom w:val="single" w:sz="4" w:space="0" w:color="000000"/>
            </w:tcBorders>
            <w:shd w:val="clear" w:color="auto" w:fill="auto"/>
            <w:vAlign w:val="center"/>
          </w:tcPr>
          <w:p w:rsidR="007273E3" w:rsidRPr="00DE475B" w:rsidRDefault="007273E3" w:rsidP="00A1189F">
            <w:pPr>
              <w:jc w:val="right"/>
              <w:rPr>
                <w:rFonts w:ascii="Arial" w:hAnsi="Arial" w:cs="Arial"/>
                <w:sz w:val="20"/>
                <w:szCs w:val="20"/>
              </w:rPr>
            </w:pPr>
            <w:r w:rsidRPr="00DE475B">
              <w:rPr>
                <w:rFonts w:ascii="Arial" w:hAnsi="Arial" w:cs="Arial"/>
                <w:sz w:val="20"/>
                <w:szCs w:val="20"/>
              </w:rPr>
              <w:t>$5,000</w:t>
            </w:r>
          </w:p>
        </w:tc>
      </w:tr>
      <w:tr w:rsidR="007273E3" w:rsidRPr="00DE475B" w:rsidTr="007273E3">
        <w:trPr>
          <w:trHeight w:val="303"/>
        </w:trPr>
        <w:tc>
          <w:tcPr>
            <w:tcW w:w="2977"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sidRPr="00DE475B">
              <w:rPr>
                <w:rFonts w:ascii="Arial" w:hAnsi="Arial" w:cs="Arial"/>
                <w:sz w:val="20"/>
                <w:szCs w:val="20"/>
              </w:rPr>
              <w:t>Heather Linaker</w:t>
            </w:r>
          </w:p>
        </w:tc>
        <w:tc>
          <w:tcPr>
            <w:tcW w:w="1843"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sidRPr="00DE475B">
              <w:rPr>
                <w:rFonts w:ascii="Arial" w:hAnsi="Arial" w:cs="Arial"/>
                <w:sz w:val="20"/>
                <w:szCs w:val="20"/>
              </w:rPr>
              <w:t>March 2014</w:t>
            </w:r>
          </w:p>
        </w:tc>
        <w:tc>
          <w:tcPr>
            <w:tcW w:w="1559" w:type="dxa"/>
            <w:tcBorders>
              <w:top w:val="single" w:sz="4" w:space="0" w:color="000000"/>
              <w:bottom w:val="single" w:sz="4" w:space="0" w:color="000000"/>
            </w:tcBorders>
            <w:vAlign w:val="center"/>
          </w:tcPr>
          <w:p w:rsidR="007273E3" w:rsidRPr="00DE475B" w:rsidRDefault="007273E3" w:rsidP="007273E3">
            <w:pPr>
              <w:jc w:val="center"/>
              <w:rPr>
                <w:rFonts w:ascii="Arial" w:hAnsi="Arial" w:cs="Arial"/>
                <w:sz w:val="20"/>
                <w:szCs w:val="20"/>
              </w:rPr>
            </w:pPr>
            <w:r>
              <w:rPr>
                <w:rFonts w:ascii="Arial" w:hAnsi="Arial" w:cs="Arial"/>
                <w:sz w:val="20"/>
                <w:szCs w:val="20"/>
              </w:rPr>
              <w:t>February 2017</w:t>
            </w:r>
          </w:p>
        </w:tc>
        <w:tc>
          <w:tcPr>
            <w:tcW w:w="1276" w:type="dxa"/>
            <w:tcBorders>
              <w:top w:val="single" w:sz="4" w:space="0" w:color="000000"/>
              <w:bottom w:val="single" w:sz="4" w:space="0" w:color="000000"/>
            </w:tcBorders>
            <w:shd w:val="clear" w:color="auto" w:fill="auto"/>
            <w:vAlign w:val="center"/>
          </w:tcPr>
          <w:p w:rsidR="007273E3" w:rsidRPr="00DE475B" w:rsidRDefault="005B15B4" w:rsidP="00D61056">
            <w:pPr>
              <w:jc w:val="right"/>
              <w:rPr>
                <w:rFonts w:ascii="Arial" w:hAnsi="Arial" w:cs="Arial"/>
                <w:sz w:val="20"/>
                <w:szCs w:val="20"/>
              </w:rPr>
            </w:pPr>
            <w:r>
              <w:rPr>
                <w:rFonts w:ascii="Arial" w:hAnsi="Arial" w:cs="Arial"/>
                <w:sz w:val="20"/>
                <w:szCs w:val="20"/>
              </w:rPr>
              <w:t>$3,333</w:t>
            </w:r>
          </w:p>
        </w:tc>
        <w:tc>
          <w:tcPr>
            <w:tcW w:w="992" w:type="dxa"/>
            <w:tcBorders>
              <w:top w:val="single" w:sz="4" w:space="0" w:color="000000"/>
              <w:bottom w:val="single" w:sz="4" w:space="0" w:color="000000"/>
            </w:tcBorders>
            <w:shd w:val="clear" w:color="auto" w:fill="auto"/>
            <w:vAlign w:val="center"/>
          </w:tcPr>
          <w:p w:rsidR="007273E3" w:rsidRPr="00DE475B" w:rsidRDefault="007273E3" w:rsidP="00A1189F">
            <w:pPr>
              <w:jc w:val="right"/>
              <w:rPr>
                <w:rFonts w:ascii="Arial" w:hAnsi="Arial" w:cs="Arial"/>
                <w:sz w:val="20"/>
                <w:szCs w:val="20"/>
              </w:rPr>
            </w:pPr>
            <w:r w:rsidRPr="00DE475B">
              <w:rPr>
                <w:rFonts w:ascii="Arial" w:hAnsi="Arial" w:cs="Arial"/>
                <w:sz w:val="20"/>
                <w:szCs w:val="20"/>
              </w:rPr>
              <w:t>$5,000</w:t>
            </w:r>
          </w:p>
        </w:tc>
      </w:tr>
      <w:tr w:rsidR="007273E3" w:rsidRPr="00DE475B" w:rsidTr="007273E3">
        <w:trPr>
          <w:trHeight w:val="303"/>
        </w:trPr>
        <w:tc>
          <w:tcPr>
            <w:tcW w:w="2977"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 xml:space="preserve">Adjunct Professor </w:t>
            </w:r>
            <w:r w:rsidRPr="00DE475B">
              <w:rPr>
                <w:rFonts w:ascii="Arial" w:hAnsi="Arial" w:cs="Arial"/>
                <w:sz w:val="20"/>
                <w:szCs w:val="20"/>
              </w:rPr>
              <w:t>Joan Sheldon</w:t>
            </w:r>
            <w:r>
              <w:rPr>
                <w:rFonts w:ascii="Arial" w:hAnsi="Arial" w:cs="Arial"/>
                <w:sz w:val="20"/>
                <w:szCs w:val="20"/>
              </w:rPr>
              <w:t xml:space="preserve"> </w:t>
            </w:r>
            <w:r w:rsidRPr="007273E3">
              <w:rPr>
                <w:rFonts w:ascii="Arial" w:hAnsi="Arial" w:cs="Arial"/>
                <w:smallCaps/>
                <w:sz w:val="20"/>
                <w:szCs w:val="20"/>
              </w:rPr>
              <w:t>am</w:t>
            </w:r>
          </w:p>
        </w:tc>
        <w:tc>
          <w:tcPr>
            <w:tcW w:w="1843"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sidRPr="00DE475B">
              <w:rPr>
                <w:rFonts w:ascii="Arial" w:hAnsi="Arial" w:cs="Arial"/>
                <w:sz w:val="20"/>
                <w:szCs w:val="20"/>
              </w:rPr>
              <w:t>March 2014</w:t>
            </w:r>
          </w:p>
        </w:tc>
        <w:tc>
          <w:tcPr>
            <w:tcW w:w="1559" w:type="dxa"/>
            <w:tcBorders>
              <w:top w:val="single" w:sz="4" w:space="0" w:color="000000"/>
              <w:bottom w:val="single" w:sz="4" w:space="0" w:color="000000"/>
            </w:tcBorders>
            <w:vAlign w:val="center"/>
          </w:tcPr>
          <w:p w:rsidR="007273E3" w:rsidRPr="00DE475B" w:rsidRDefault="007273E3" w:rsidP="007273E3">
            <w:pPr>
              <w:jc w:val="center"/>
              <w:rPr>
                <w:rFonts w:ascii="Arial" w:hAnsi="Arial" w:cs="Arial"/>
                <w:sz w:val="20"/>
                <w:szCs w:val="20"/>
              </w:rPr>
            </w:pPr>
            <w:r>
              <w:rPr>
                <w:rFonts w:ascii="Arial" w:hAnsi="Arial" w:cs="Arial"/>
                <w:sz w:val="20"/>
                <w:szCs w:val="20"/>
              </w:rPr>
              <w:t>February 2017</w:t>
            </w:r>
          </w:p>
        </w:tc>
        <w:tc>
          <w:tcPr>
            <w:tcW w:w="1276" w:type="dxa"/>
            <w:tcBorders>
              <w:top w:val="single" w:sz="4" w:space="0" w:color="000000"/>
              <w:bottom w:val="single" w:sz="4" w:space="0" w:color="000000"/>
            </w:tcBorders>
            <w:shd w:val="clear" w:color="auto" w:fill="auto"/>
            <w:vAlign w:val="center"/>
          </w:tcPr>
          <w:p w:rsidR="007273E3" w:rsidRPr="00DE475B" w:rsidRDefault="005B15B4" w:rsidP="00D61056">
            <w:pPr>
              <w:jc w:val="right"/>
              <w:rPr>
                <w:rFonts w:ascii="Arial" w:hAnsi="Arial" w:cs="Arial"/>
                <w:sz w:val="20"/>
                <w:szCs w:val="20"/>
              </w:rPr>
            </w:pPr>
            <w:r>
              <w:rPr>
                <w:rFonts w:ascii="Arial" w:hAnsi="Arial" w:cs="Arial"/>
                <w:sz w:val="20"/>
                <w:szCs w:val="20"/>
              </w:rPr>
              <w:t>$2,667</w:t>
            </w:r>
          </w:p>
        </w:tc>
        <w:tc>
          <w:tcPr>
            <w:tcW w:w="992" w:type="dxa"/>
            <w:tcBorders>
              <w:top w:val="single" w:sz="4" w:space="0" w:color="000000"/>
              <w:bottom w:val="single" w:sz="4" w:space="0" w:color="000000"/>
            </w:tcBorders>
            <w:shd w:val="clear" w:color="auto" w:fill="auto"/>
            <w:vAlign w:val="center"/>
          </w:tcPr>
          <w:p w:rsidR="007273E3" w:rsidRPr="00DE475B" w:rsidRDefault="007273E3" w:rsidP="00A1189F">
            <w:pPr>
              <w:jc w:val="right"/>
              <w:rPr>
                <w:rFonts w:ascii="Arial" w:hAnsi="Arial" w:cs="Arial"/>
                <w:sz w:val="20"/>
                <w:szCs w:val="20"/>
              </w:rPr>
            </w:pPr>
            <w:r w:rsidRPr="00DE475B">
              <w:rPr>
                <w:rFonts w:ascii="Arial" w:hAnsi="Arial" w:cs="Arial"/>
                <w:sz w:val="20"/>
                <w:szCs w:val="20"/>
              </w:rPr>
              <w:t>$4,091</w:t>
            </w:r>
          </w:p>
        </w:tc>
      </w:tr>
      <w:tr w:rsidR="007273E3" w:rsidRPr="00DE475B" w:rsidTr="007273E3">
        <w:trPr>
          <w:trHeight w:val="303"/>
        </w:trPr>
        <w:tc>
          <w:tcPr>
            <w:tcW w:w="2977"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sidRPr="00DE475B">
              <w:rPr>
                <w:rFonts w:ascii="Arial" w:hAnsi="Arial" w:cs="Arial"/>
                <w:sz w:val="20"/>
                <w:szCs w:val="20"/>
              </w:rPr>
              <w:t>Matthew McDonnell</w:t>
            </w:r>
          </w:p>
        </w:tc>
        <w:tc>
          <w:tcPr>
            <w:tcW w:w="1843"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sidRPr="00DE475B">
              <w:rPr>
                <w:rFonts w:ascii="Arial" w:hAnsi="Arial" w:cs="Arial"/>
                <w:sz w:val="20"/>
                <w:szCs w:val="20"/>
              </w:rPr>
              <w:t>April 2008</w:t>
            </w:r>
          </w:p>
        </w:tc>
        <w:tc>
          <w:tcPr>
            <w:tcW w:w="1559" w:type="dxa"/>
            <w:tcBorders>
              <w:top w:val="single" w:sz="4" w:space="0" w:color="000000"/>
              <w:bottom w:val="single" w:sz="4" w:space="0" w:color="000000"/>
            </w:tcBorders>
            <w:vAlign w:val="center"/>
          </w:tcPr>
          <w:p w:rsidR="007273E3" w:rsidRPr="00DE475B" w:rsidRDefault="007273E3" w:rsidP="007273E3">
            <w:pPr>
              <w:jc w:val="center"/>
              <w:rPr>
                <w:rFonts w:ascii="Arial" w:hAnsi="Arial" w:cs="Arial"/>
                <w:sz w:val="20"/>
                <w:szCs w:val="20"/>
              </w:rPr>
            </w:pPr>
            <w:r>
              <w:rPr>
                <w:rFonts w:ascii="Arial" w:hAnsi="Arial" w:cs="Arial"/>
                <w:sz w:val="20"/>
                <w:szCs w:val="20"/>
              </w:rPr>
              <w:t>February 2017</w:t>
            </w:r>
          </w:p>
        </w:tc>
        <w:tc>
          <w:tcPr>
            <w:tcW w:w="1276" w:type="dxa"/>
            <w:tcBorders>
              <w:top w:val="single" w:sz="4" w:space="0" w:color="000000"/>
              <w:bottom w:val="single" w:sz="4" w:space="0" w:color="000000"/>
            </w:tcBorders>
            <w:shd w:val="clear" w:color="auto" w:fill="auto"/>
            <w:vAlign w:val="center"/>
          </w:tcPr>
          <w:p w:rsidR="007273E3" w:rsidRPr="00DE475B" w:rsidRDefault="005B15B4" w:rsidP="00D61056">
            <w:pPr>
              <w:jc w:val="right"/>
              <w:rPr>
                <w:rFonts w:ascii="Arial" w:hAnsi="Arial" w:cs="Arial"/>
                <w:sz w:val="20"/>
                <w:szCs w:val="20"/>
              </w:rPr>
            </w:pPr>
            <w:r>
              <w:rPr>
                <w:rFonts w:ascii="Arial" w:hAnsi="Arial" w:cs="Arial"/>
                <w:sz w:val="20"/>
                <w:szCs w:val="20"/>
              </w:rPr>
              <w:t>$4,000</w:t>
            </w:r>
          </w:p>
        </w:tc>
        <w:tc>
          <w:tcPr>
            <w:tcW w:w="992" w:type="dxa"/>
            <w:tcBorders>
              <w:top w:val="single" w:sz="4" w:space="0" w:color="000000"/>
              <w:bottom w:val="single" w:sz="4" w:space="0" w:color="000000"/>
            </w:tcBorders>
            <w:shd w:val="clear" w:color="auto" w:fill="auto"/>
            <w:vAlign w:val="center"/>
          </w:tcPr>
          <w:p w:rsidR="007273E3" w:rsidRPr="00DE475B" w:rsidRDefault="007273E3" w:rsidP="00A1189F">
            <w:pPr>
              <w:jc w:val="right"/>
              <w:rPr>
                <w:rFonts w:ascii="Arial" w:hAnsi="Arial" w:cs="Arial"/>
                <w:sz w:val="20"/>
                <w:szCs w:val="20"/>
              </w:rPr>
            </w:pPr>
            <w:r w:rsidRPr="00DE475B">
              <w:rPr>
                <w:rFonts w:ascii="Arial" w:hAnsi="Arial" w:cs="Arial"/>
                <w:sz w:val="20"/>
                <w:szCs w:val="20"/>
              </w:rPr>
              <w:t>$6,000</w:t>
            </w:r>
          </w:p>
        </w:tc>
      </w:tr>
      <w:tr w:rsidR="007273E3" w:rsidRPr="00DE475B" w:rsidTr="00661892">
        <w:trPr>
          <w:trHeight w:val="303"/>
        </w:trPr>
        <w:tc>
          <w:tcPr>
            <w:tcW w:w="2977"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sidRPr="00DE475B">
              <w:rPr>
                <w:rFonts w:ascii="Arial" w:hAnsi="Arial" w:cs="Arial"/>
                <w:sz w:val="20"/>
                <w:szCs w:val="20"/>
              </w:rPr>
              <w:t>Scott Reid</w:t>
            </w:r>
          </w:p>
        </w:tc>
        <w:tc>
          <w:tcPr>
            <w:tcW w:w="1843"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sidRPr="00DE475B">
              <w:rPr>
                <w:rFonts w:ascii="Arial" w:hAnsi="Arial" w:cs="Arial"/>
                <w:sz w:val="20"/>
                <w:szCs w:val="20"/>
              </w:rPr>
              <w:t>February 2011</w:t>
            </w:r>
          </w:p>
        </w:tc>
        <w:tc>
          <w:tcPr>
            <w:tcW w:w="1559" w:type="dxa"/>
            <w:tcBorders>
              <w:top w:val="single" w:sz="4" w:space="0" w:color="000000"/>
              <w:bottom w:val="single" w:sz="4" w:space="0" w:color="000000"/>
            </w:tcBorders>
            <w:vAlign w:val="center"/>
          </w:tcPr>
          <w:p w:rsidR="007273E3" w:rsidRPr="00DE475B" w:rsidRDefault="007273E3" w:rsidP="007273E3">
            <w:pPr>
              <w:jc w:val="center"/>
              <w:rPr>
                <w:rFonts w:ascii="Arial" w:hAnsi="Arial" w:cs="Arial"/>
                <w:sz w:val="20"/>
                <w:szCs w:val="20"/>
              </w:rPr>
            </w:pPr>
            <w:r>
              <w:rPr>
                <w:rFonts w:ascii="Arial" w:hAnsi="Arial" w:cs="Arial"/>
                <w:sz w:val="20"/>
                <w:szCs w:val="20"/>
              </w:rPr>
              <w:t>February 2017</w:t>
            </w:r>
          </w:p>
        </w:tc>
        <w:tc>
          <w:tcPr>
            <w:tcW w:w="1276" w:type="dxa"/>
            <w:tcBorders>
              <w:top w:val="single" w:sz="4" w:space="0" w:color="000000"/>
              <w:bottom w:val="single" w:sz="4" w:space="0" w:color="000000"/>
            </w:tcBorders>
            <w:shd w:val="clear" w:color="auto" w:fill="auto"/>
            <w:vAlign w:val="center"/>
          </w:tcPr>
          <w:p w:rsidR="007273E3" w:rsidRPr="00DE475B" w:rsidRDefault="005B15B4" w:rsidP="00D61056">
            <w:pPr>
              <w:jc w:val="right"/>
              <w:rPr>
                <w:rFonts w:ascii="Arial" w:hAnsi="Arial" w:cs="Arial"/>
                <w:sz w:val="20"/>
                <w:szCs w:val="20"/>
              </w:rPr>
            </w:pPr>
            <w:r>
              <w:rPr>
                <w:rFonts w:ascii="Arial" w:hAnsi="Arial" w:cs="Arial"/>
                <w:sz w:val="20"/>
                <w:szCs w:val="20"/>
              </w:rPr>
              <w:t>$3,333</w:t>
            </w:r>
          </w:p>
        </w:tc>
        <w:tc>
          <w:tcPr>
            <w:tcW w:w="992" w:type="dxa"/>
            <w:tcBorders>
              <w:top w:val="single" w:sz="4" w:space="0" w:color="000000"/>
              <w:bottom w:val="single" w:sz="4" w:space="0" w:color="000000"/>
            </w:tcBorders>
            <w:shd w:val="clear" w:color="auto" w:fill="auto"/>
            <w:vAlign w:val="center"/>
          </w:tcPr>
          <w:p w:rsidR="007273E3" w:rsidRPr="00DE475B" w:rsidRDefault="007273E3" w:rsidP="00A1189F">
            <w:pPr>
              <w:jc w:val="right"/>
              <w:rPr>
                <w:rFonts w:ascii="Arial" w:hAnsi="Arial" w:cs="Arial"/>
                <w:sz w:val="20"/>
                <w:szCs w:val="20"/>
              </w:rPr>
            </w:pPr>
            <w:r w:rsidRPr="00DE475B">
              <w:rPr>
                <w:rFonts w:ascii="Arial" w:hAnsi="Arial" w:cs="Arial"/>
                <w:sz w:val="20"/>
                <w:szCs w:val="20"/>
              </w:rPr>
              <w:t>$5,000</w:t>
            </w:r>
          </w:p>
        </w:tc>
      </w:tr>
      <w:tr w:rsidR="007273E3" w:rsidRPr="00DE475B" w:rsidTr="00661892">
        <w:trPr>
          <w:trHeight w:val="303"/>
        </w:trPr>
        <w:tc>
          <w:tcPr>
            <w:tcW w:w="2977"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 xml:space="preserve">Associate Professor </w:t>
            </w:r>
            <w:r w:rsidRPr="00DE475B">
              <w:rPr>
                <w:rFonts w:ascii="Arial" w:hAnsi="Arial" w:cs="Arial"/>
                <w:sz w:val="20"/>
                <w:szCs w:val="20"/>
              </w:rPr>
              <w:t xml:space="preserve">Grace </w:t>
            </w:r>
            <w:proofErr w:type="spellStart"/>
            <w:r w:rsidRPr="00DE475B">
              <w:rPr>
                <w:rFonts w:ascii="Arial" w:hAnsi="Arial" w:cs="Arial"/>
                <w:sz w:val="20"/>
                <w:szCs w:val="20"/>
              </w:rPr>
              <w:t>Sarra</w:t>
            </w:r>
            <w:proofErr w:type="spellEnd"/>
          </w:p>
        </w:tc>
        <w:tc>
          <w:tcPr>
            <w:tcW w:w="1843"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sidRPr="00DE475B">
              <w:rPr>
                <w:rFonts w:ascii="Arial" w:hAnsi="Arial" w:cs="Arial"/>
                <w:sz w:val="20"/>
                <w:szCs w:val="20"/>
              </w:rPr>
              <w:t>February 2008</w:t>
            </w:r>
          </w:p>
        </w:tc>
        <w:tc>
          <w:tcPr>
            <w:tcW w:w="1559" w:type="dxa"/>
            <w:tcBorders>
              <w:top w:val="single" w:sz="4" w:space="0" w:color="000000"/>
              <w:bottom w:val="single" w:sz="4" w:space="0" w:color="000000"/>
            </w:tcBorders>
            <w:vAlign w:val="center"/>
          </w:tcPr>
          <w:p w:rsidR="007273E3" w:rsidRPr="00DE475B" w:rsidRDefault="007273E3" w:rsidP="007273E3">
            <w:pPr>
              <w:jc w:val="center"/>
              <w:rPr>
                <w:rFonts w:ascii="Arial" w:hAnsi="Arial" w:cs="Arial"/>
                <w:sz w:val="20"/>
                <w:szCs w:val="20"/>
              </w:rPr>
            </w:pPr>
            <w:r>
              <w:rPr>
                <w:rFonts w:ascii="Arial" w:hAnsi="Arial" w:cs="Arial"/>
                <w:sz w:val="20"/>
                <w:szCs w:val="20"/>
              </w:rPr>
              <w:t>February 2017</w:t>
            </w:r>
          </w:p>
        </w:tc>
        <w:tc>
          <w:tcPr>
            <w:tcW w:w="1276" w:type="dxa"/>
            <w:tcBorders>
              <w:top w:val="single" w:sz="4" w:space="0" w:color="000000"/>
              <w:bottom w:val="single" w:sz="4" w:space="0" w:color="000000"/>
            </w:tcBorders>
            <w:shd w:val="clear" w:color="auto" w:fill="auto"/>
            <w:vAlign w:val="center"/>
          </w:tcPr>
          <w:p w:rsidR="007273E3" w:rsidRPr="00DE475B" w:rsidRDefault="005B15B4" w:rsidP="00D61056">
            <w:pPr>
              <w:jc w:val="right"/>
              <w:rPr>
                <w:rFonts w:ascii="Arial" w:hAnsi="Arial" w:cs="Arial"/>
                <w:sz w:val="20"/>
                <w:szCs w:val="20"/>
              </w:rPr>
            </w:pPr>
            <w:r>
              <w:rPr>
                <w:rFonts w:ascii="Arial" w:hAnsi="Arial" w:cs="Arial"/>
                <w:sz w:val="20"/>
                <w:szCs w:val="20"/>
              </w:rPr>
              <w:t>$2,667</w:t>
            </w:r>
          </w:p>
        </w:tc>
        <w:tc>
          <w:tcPr>
            <w:tcW w:w="992" w:type="dxa"/>
            <w:tcBorders>
              <w:top w:val="single" w:sz="4" w:space="0" w:color="000000"/>
              <w:bottom w:val="single" w:sz="4" w:space="0" w:color="000000"/>
            </w:tcBorders>
            <w:shd w:val="clear" w:color="auto" w:fill="auto"/>
            <w:vAlign w:val="center"/>
          </w:tcPr>
          <w:p w:rsidR="007273E3" w:rsidRPr="00DE475B" w:rsidRDefault="007273E3" w:rsidP="00A1189F">
            <w:pPr>
              <w:jc w:val="right"/>
              <w:rPr>
                <w:rFonts w:ascii="Arial" w:hAnsi="Arial" w:cs="Arial"/>
                <w:sz w:val="20"/>
                <w:szCs w:val="20"/>
              </w:rPr>
            </w:pPr>
            <w:r w:rsidRPr="00DE475B">
              <w:rPr>
                <w:rFonts w:ascii="Arial" w:hAnsi="Arial" w:cs="Arial"/>
                <w:sz w:val="20"/>
                <w:szCs w:val="20"/>
              </w:rPr>
              <w:t>$4,000</w:t>
            </w:r>
          </w:p>
        </w:tc>
      </w:tr>
      <w:tr w:rsidR="007273E3" w:rsidRPr="00DE475B" w:rsidTr="00661892">
        <w:trPr>
          <w:trHeight w:val="303"/>
        </w:trPr>
        <w:tc>
          <w:tcPr>
            <w:tcW w:w="2977" w:type="dxa"/>
            <w:tcBorders>
              <w:top w:val="single" w:sz="4" w:space="0" w:color="000000"/>
              <w:bottom w:val="single" w:sz="4" w:space="0" w:color="000000"/>
            </w:tcBorders>
            <w:shd w:val="clear" w:color="auto" w:fill="auto"/>
            <w:vAlign w:val="center"/>
          </w:tcPr>
          <w:p w:rsidR="007273E3" w:rsidRPr="00DE475B" w:rsidRDefault="007273E3" w:rsidP="00A1189F">
            <w:pPr>
              <w:rPr>
                <w:rFonts w:ascii="Arial" w:hAnsi="Arial" w:cs="Arial"/>
                <w:sz w:val="20"/>
                <w:szCs w:val="20"/>
              </w:rPr>
            </w:pPr>
            <w:r>
              <w:rPr>
                <w:rFonts w:ascii="Arial" w:hAnsi="Arial" w:cs="Arial"/>
                <w:sz w:val="20"/>
                <w:szCs w:val="20"/>
              </w:rPr>
              <w:t xml:space="preserve">Professor </w:t>
            </w:r>
            <w:r w:rsidRPr="00DE475B">
              <w:rPr>
                <w:rFonts w:ascii="Arial" w:hAnsi="Arial" w:cs="Arial"/>
                <w:sz w:val="20"/>
                <w:szCs w:val="20"/>
              </w:rPr>
              <w:t>Andrew Griffiths</w:t>
            </w:r>
            <w:r w:rsidRPr="007273E3">
              <w:rPr>
                <w:rFonts w:ascii="Arial" w:hAnsi="Arial" w:cs="Arial"/>
                <w:sz w:val="16"/>
                <w:szCs w:val="16"/>
              </w:rPr>
              <w:t xml:space="preserve"> </w:t>
            </w:r>
            <w:r>
              <w:rPr>
                <w:rFonts w:ascii="Arial" w:hAnsi="Arial" w:cs="Arial"/>
                <w:sz w:val="16"/>
                <w:szCs w:val="16"/>
              </w:rPr>
              <w:br/>
            </w:r>
            <w:r w:rsidRPr="007273E3">
              <w:rPr>
                <w:rFonts w:ascii="Arial" w:hAnsi="Arial" w:cs="Arial"/>
                <w:sz w:val="16"/>
                <w:szCs w:val="16"/>
              </w:rPr>
              <w:t>(Chairperson from 01/03/2017)</w:t>
            </w:r>
          </w:p>
        </w:tc>
        <w:tc>
          <w:tcPr>
            <w:tcW w:w="1843" w:type="dxa"/>
            <w:tcBorders>
              <w:top w:val="single" w:sz="4" w:space="0" w:color="000000"/>
              <w:bottom w:val="single" w:sz="4" w:space="0" w:color="000000"/>
            </w:tcBorders>
            <w:shd w:val="clear" w:color="auto" w:fill="auto"/>
            <w:vAlign w:val="center"/>
          </w:tcPr>
          <w:p w:rsidR="007273E3" w:rsidRPr="00DE475B" w:rsidRDefault="007273E3" w:rsidP="00A1189F">
            <w:pPr>
              <w:rPr>
                <w:rFonts w:ascii="Arial" w:hAnsi="Arial" w:cs="Arial"/>
                <w:sz w:val="20"/>
                <w:szCs w:val="20"/>
              </w:rPr>
            </w:pPr>
            <w:r w:rsidRPr="00DE475B">
              <w:rPr>
                <w:rFonts w:ascii="Arial" w:hAnsi="Arial" w:cs="Arial"/>
                <w:sz w:val="20"/>
                <w:szCs w:val="20"/>
              </w:rPr>
              <w:t>March 2014</w:t>
            </w:r>
          </w:p>
        </w:tc>
        <w:tc>
          <w:tcPr>
            <w:tcW w:w="1559" w:type="dxa"/>
            <w:tcBorders>
              <w:top w:val="single" w:sz="4" w:space="0" w:color="000000"/>
              <w:bottom w:val="single" w:sz="4" w:space="0" w:color="000000"/>
            </w:tcBorders>
            <w:vAlign w:val="center"/>
          </w:tcPr>
          <w:p w:rsidR="007273E3" w:rsidRPr="00DE475B" w:rsidRDefault="007273E3" w:rsidP="007273E3">
            <w:pPr>
              <w:jc w:val="center"/>
              <w:rPr>
                <w:rFonts w:ascii="Arial" w:hAnsi="Arial" w:cs="Arial"/>
                <w:sz w:val="20"/>
                <w:szCs w:val="20"/>
              </w:rPr>
            </w:pPr>
          </w:p>
        </w:tc>
        <w:tc>
          <w:tcPr>
            <w:tcW w:w="1276" w:type="dxa"/>
            <w:tcBorders>
              <w:top w:val="single" w:sz="4" w:space="0" w:color="000000"/>
              <w:bottom w:val="single" w:sz="4" w:space="0" w:color="000000"/>
            </w:tcBorders>
            <w:shd w:val="clear" w:color="auto" w:fill="auto"/>
            <w:vAlign w:val="center"/>
          </w:tcPr>
          <w:p w:rsidR="007273E3" w:rsidRPr="00DE475B" w:rsidRDefault="005B15B4" w:rsidP="00A1189F">
            <w:pPr>
              <w:jc w:val="right"/>
              <w:rPr>
                <w:rFonts w:ascii="Arial" w:hAnsi="Arial" w:cs="Arial"/>
                <w:sz w:val="20"/>
                <w:szCs w:val="20"/>
              </w:rPr>
            </w:pPr>
            <w:r>
              <w:rPr>
                <w:rFonts w:ascii="Arial" w:hAnsi="Arial" w:cs="Arial"/>
                <w:sz w:val="20"/>
                <w:szCs w:val="20"/>
              </w:rPr>
              <w:t>$6,667</w:t>
            </w:r>
          </w:p>
        </w:tc>
        <w:tc>
          <w:tcPr>
            <w:tcW w:w="992" w:type="dxa"/>
            <w:tcBorders>
              <w:top w:val="single" w:sz="4" w:space="0" w:color="000000"/>
              <w:bottom w:val="single" w:sz="4" w:space="0" w:color="000000"/>
            </w:tcBorders>
            <w:shd w:val="clear" w:color="auto" w:fill="auto"/>
            <w:vAlign w:val="center"/>
          </w:tcPr>
          <w:p w:rsidR="007273E3" w:rsidRPr="00DE475B" w:rsidRDefault="007273E3" w:rsidP="00A1189F">
            <w:pPr>
              <w:jc w:val="right"/>
              <w:rPr>
                <w:rFonts w:ascii="Arial" w:hAnsi="Arial" w:cs="Arial"/>
                <w:sz w:val="20"/>
                <w:szCs w:val="20"/>
              </w:rPr>
            </w:pPr>
            <w:r w:rsidRPr="00DE475B">
              <w:rPr>
                <w:rFonts w:ascii="Arial" w:hAnsi="Arial" w:cs="Arial"/>
                <w:sz w:val="20"/>
                <w:szCs w:val="20"/>
              </w:rPr>
              <w:t>$4,000</w:t>
            </w:r>
          </w:p>
        </w:tc>
      </w:tr>
      <w:tr w:rsidR="007273E3" w:rsidRPr="00DE475B" w:rsidTr="00661892">
        <w:trPr>
          <w:trHeight w:val="303"/>
        </w:trPr>
        <w:tc>
          <w:tcPr>
            <w:tcW w:w="2977"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 xml:space="preserve">Cr Julia </w:t>
            </w:r>
            <w:proofErr w:type="spellStart"/>
            <w:r>
              <w:rPr>
                <w:rFonts w:ascii="Arial" w:hAnsi="Arial" w:cs="Arial"/>
                <w:sz w:val="20"/>
                <w:szCs w:val="20"/>
              </w:rPr>
              <w:t>Leu</w:t>
            </w:r>
            <w:proofErr w:type="spellEnd"/>
          </w:p>
        </w:tc>
        <w:tc>
          <w:tcPr>
            <w:tcW w:w="1843"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September 2016</w:t>
            </w:r>
          </w:p>
        </w:tc>
        <w:tc>
          <w:tcPr>
            <w:tcW w:w="1559" w:type="dxa"/>
            <w:tcBorders>
              <w:top w:val="single" w:sz="4" w:space="0" w:color="000000"/>
              <w:bottom w:val="single" w:sz="4" w:space="0" w:color="000000"/>
            </w:tcBorders>
            <w:vAlign w:val="center"/>
          </w:tcPr>
          <w:p w:rsidR="007273E3" w:rsidRPr="00DE475B" w:rsidRDefault="007273E3" w:rsidP="007273E3">
            <w:pPr>
              <w:jc w:val="center"/>
              <w:rPr>
                <w:rFonts w:ascii="Arial" w:hAnsi="Arial" w:cs="Arial"/>
                <w:sz w:val="20"/>
                <w:szCs w:val="20"/>
              </w:rPr>
            </w:pPr>
          </w:p>
        </w:tc>
        <w:tc>
          <w:tcPr>
            <w:tcW w:w="1276" w:type="dxa"/>
            <w:tcBorders>
              <w:top w:val="single" w:sz="4" w:space="0" w:color="000000"/>
              <w:bottom w:val="single" w:sz="4" w:space="0" w:color="000000"/>
            </w:tcBorders>
            <w:shd w:val="clear" w:color="auto" w:fill="auto"/>
            <w:vAlign w:val="center"/>
          </w:tcPr>
          <w:p w:rsidR="007273E3" w:rsidRPr="00DE475B" w:rsidRDefault="00526985" w:rsidP="00D61056">
            <w:pPr>
              <w:jc w:val="right"/>
              <w:rPr>
                <w:rFonts w:ascii="Arial" w:hAnsi="Arial" w:cs="Arial"/>
                <w:sz w:val="20"/>
                <w:szCs w:val="20"/>
              </w:rPr>
            </w:pPr>
            <w:r w:rsidRPr="00DE475B">
              <w:rPr>
                <w:rFonts w:ascii="Arial" w:hAnsi="Arial" w:cs="Arial"/>
                <w:sz w:val="20"/>
                <w:szCs w:val="20"/>
              </w:rPr>
              <w:t>-</w:t>
            </w:r>
          </w:p>
        </w:tc>
        <w:tc>
          <w:tcPr>
            <w:tcW w:w="992" w:type="dxa"/>
            <w:tcBorders>
              <w:top w:val="single" w:sz="4" w:space="0" w:color="000000"/>
              <w:bottom w:val="single" w:sz="4" w:space="0" w:color="000000"/>
            </w:tcBorders>
            <w:shd w:val="clear" w:color="auto" w:fill="auto"/>
            <w:vAlign w:val="center"/>
          </w:tcPr>
          <w:p w:rsidR="007273E3" w:rsidRPr="00DE475B" w:rsidRDefault="00526985" w:rsidP="00D61056">
            <w:pPr>
              <w:jc w:val="right"/>
              <w:rPr>
                <w:rFonts w:ascii="Arial" w:hAnsi="Arial" w:cs="Arial"/>
                <w:sz w:val="20"/>
                <w:szCs w:val="20"/>
              </w:rPr>
            </w:pPr>
            <w:r w:rsidRPr="00DE475B">
              <w:rPr>
                <w:rFonts w:ascii="Arial" w:hAnsi="Arial" w:cs="Arial"/>
                <w:sz w:val="20"/>
                <w:szCs w:val="20"/>
              </w:rPr>
              <w:t>-</w:t>
            </w:r>
          </w:p>
        </w:tc>
      </w:tr>
      <w:tr w:rsidR="007273E3" w:rsidRPr="00DE475B" w:rsidTr="00661892">
        <w:trPr>
          <w:trHeight w:val="303"/>
        </w:trPr>
        <w:tc>
          <w:tcPr>
            <w:tcW w:w="2977"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 xml:space="preserve">Linda </w:t>
            </w:r>
            <w:proofErr w:type="spellStart"/>
            <w:r>
              <w:rPr>
                <w:rFonts w:ascii="Arial" w:hAnsi="Arial" w:cs="Arial"/>
                <w:sz w:val="20"/>
                <w:szCs w:val="20"/>
              </w:rPr>
              <w:t>Apelt</w:t>
            </w:r>
            <w:proofErr w:type="spellEnd"/>
          </w:p>
        </w:tc>
        <w:tc>
          <w:tcPr>
            <w:tcW w:w="1843"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March 2017</w:t>
            </w:r>
          </w:p>
        </w:tc>
        <w:tc>
          <w:tcPr>
            <w:tcW w:w="1559" w:type="dxa"/>
            <w:tcBorders>
              <w:top w:val="single" w:sz="4" w:space="0" w:color="000000"/>
              <w:bottom w:val="single" w:sz="4" w:space="0" w:color="000000"/>
            </w:tcBorders>
            <w:vAlign w:val="center"/>
          </w:tcPr>
          <w:p w:rsidR="007273E3" w:rsidRPr="00DE475B" w:rsidRDefault="007273E3" w:rsidP="007273E3">
            <w:pPr>
              <w:jc w:val="center"/>
              <w:rPr>
                <w:rFonts w:ascii="Arial" w:hAnsi="Arial" w:cs="Arial"/>
                <w:sz w:val="20"/>
                <w:szCs w:val="20"/>
              </w:rPr>
            </w:pPr>
          </w:p>
        </w:tc>
        <w:tc>
          <w:tcPr>
            <w:tcW w:w="1276" w:type="dxa"/>
            <w:tcBorders>
              <w:top w:val="single" w:sz="4" w:space="0" w:color="000000"/>
              <w:bottom w:val="single" w:sz="4" w:space="0" w:color="000000"/>
            </w:tcBorders>
            <w:shd w:val="clear" w:color="auto" w:fill="auto"/>
            <w:vAlign w:val="center"/>
          </w:tcPr>
          <w:p w:rsidR="007273E3" w:rsidRPr="00DE475B" w:rsidRDefault="005B15B4" w:rsidP="00D61056">
            <w:pPr>
              <w:jc w:val="right"/>
              <w:rPr>
                <w:rFonts w:ascii="Arial" w:hAnsi="Arial" w:cs="Arial"/>
                <w:sz w:val="20"/>
                <w:szCs w:val="20"/>
              </w:rPr>
            </w:pPr>
            <w:r>
              <w:rPr>
                <w:rFonts w:ascii="Arial" w:hAnsi="Arial" w:cs="Arial"/>
                <w:sz w:val="20"/>
                <w:szCs w:val="20"/>
              </w:rPr>
              <w:t>$1,333</w:t>
            </w:r>
          </w:p>
        </w:tc>
        <w:tc>
          <w:tcPr>
            <w:tcW w:w="992" w:type="dxa"/>
            <w:tcBorders>
              <w:top w:val="single" w:sz="4" w:space="0" w:color="000000"/>
              <w:bottom w:val="single" w:sz="4" w:space="0" w:color="000000"/>
            </w:tcBorders>
            <w:shd w:val="clear" w:color="auto" w:fill="auto"/>
            <w:vAlign w:val="center"/>
          </w:tcPr>
          <w:p w:rsidR="007273E3" w:rsidRPr="00DE475B" w:rsidRDefault="00526985" w:rsidP="00D61056">
            <w:pPr>
              <w:jc w:val="right"/>
              <w:rPr>
                <w:rFonts w:ascii="Arial" w:hAnsi="Arial" w:cs="Arial"/>
                <w:sz w:val="20"/>
                <w:szCs w:val="20"/>
              </w:rPr>
            </w:pPr>
            <w:r w:rsidRPr="00DE475B">
              <w:rPr>
                <w:rFonts w:ascii="Arial" w:hAnsi="Arial" w:cs="Arial"/>
                <w:sz w:val="20"/>
                <w:szCs w:val="20"/>
              </w:rPr>
              <w:t>-</w:t>
            </w:r>
          </w:p>
        </w:tc>
      </w:tr>
      <w:tr w:rsidR="007273E3" w:rsidRPr="00DE475B" w:rsidTr="00661892">
        <w:trPr>
          <w:trHeight w:val="303"/>
        </w:trPr>
        <w:tc>
          <w:tcPr>
            <w:tcW w:w="2977" w:type="dxa"/>
            <w:tcBorders>
              <w:top w:val="single" w:sz="4" w:space="0" w:color="000000"/>
              <w:bottom w:val="single" w:sz="4" w:space="0" w:color="000000"/>
            </w:tcBorders>
            <w:shd w:val="clear" w:color="auto" w:fill="auto"/>
            <w:vAlign w:val="center"/>
          </w:tcPr>
          <w:p w:rsidR="007273E3" w:rsidRPr="00DE475B" w:rsidRDefault="007273E3" w:rsidP="007273E3">
            <w:pPr>
              <w:rPr>
                <w:rFonts w:ascii="Arial" w:hAnsi="Arial" w:cs="Arial"/>
                <w:sz w:val="20"/>
                <w:szCs w:val="20"/>
              </w:rPr>
            </w:pPr>
            <w:r>
              <w:rPr>
                <w:rFonts w:ascii="Arial" w:hAnsi="Arial" w:cs="Arial"/>
                <w:sz w:val="20"/>
                <w:szCs w:val="20"/>
              </w:rPr>
              <w:t>Emeritus Professor Tom Cochrane</w:t>
            </w:r>
            <w:r w:rsidRPr="00DE475B">
              <w:rPr>
                <w:rFonts w:ascii="Arial" w:hAnsi="Arial" w:cs="Arial"/>
                <w:sz w:val="20"/>
                <w:szCs w:val="20"/>
              </w:rPr>
              <w:t xml:space="preserve"> </w:t>
            </w:r>
            <w:r w:rsidRPr="00DE475B">
              <w:rPr>
                <w:rFonts w:ascii="Arial" w:hAnsi="Arial" w:cs="Arial"/>
                <w:smallCaps/>
                <w:sz w:val="20"/>
                <w:szCs w:val="20"/>
              </w:rPr>
              <w:t>am</w:t>
            </w:r>
          </w:p>
        </w:tc>
        <w:tc>
          <w:tcPr>
            <w:tcW w:w="1843"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March 2017</w:t>
            </w:r>
          </w:p>
        </w:tc>
        <w:tc>
          <w:tcPr>
            <w:tcW w:w="1559" w:type="dxa"/>
            <w:tcBorders>
              <w:top w:val="single" w:sz="4" w:space="0" w:color="000000"/>
              <w:bottom w:val="single" w:sz="4" w:space="0" w:color="000000"/>
            </w:tcBorders>
            <w:vAlign w:val="center"/>
          </w:tcPr>
          <w:p w:rsidR="007273E3" w:rsidRPr="00DE475B" w:rsidRDefault="007273E3" w:rsidP="007273E3">
            <w:pPr>
              <w:jc w:val="center"/>
              <w:rPr>
                <w:rFonts w:ascii="Arial" w:hAnsi="Arial" w:cs="Arial"/>
                <w:sz w:val="20"/>
                <w:szCs w:val="20"/>
              </w:rPr>
            </w:pPr>
          </w:p>
        </w:tc>
        <w:tc>
          <w:tcPr>
            <w:tcW w:w="1276" w:type="dxa"/>
            <w:tcBorders>
              <w:top w:val="single" w:sz="4" w:space="0" w:color="000000"/>
              <w:bottom w:val="single" w:sz="4" w:space="0" w:color="000000"/>
            </w:tcBorders>
            <w:shd w:val="clear" w:color="auto" w:fill="auto"/>
            <w:vAlign w:val="center"/>
          </w:tcPr>
          <w:p w:rsidR="007273E3" w:rsidRPr="00DE475B" w:rsidRDefault="005B15B4" w:rsidP="00D61056">
            <w:pPr>
              <w:jc w:val="right"/>
              <w:rPr>
                <w:rFonts w:ascii="Arial" w:hAnsi="Arial" w:cs="Arial"/>
                <w:sz w:val="20"/>
                <w:szCs w:val="20"/>
              </w:rPr>
            </w:pPr>
            <w:r>
              <w:rPr>
                <w:rFonts w:ascii="Arial" w:hAnsi="Arial" w:cs="Arial"/>
                <w:sz w:val="20"/>
                <w:szCs w:val="20"/>
              </w:rPr>
              <w:t>$1,667</w:t>
            </w:r>
          </w:p>
        </w:tc>
        <w:tc>
          <w:tcPr>
            <w:tcW w:w="992" w:type="dxa"/>
            <w:tcBorders>
              <w:top w:val="single" w:sz="4" w:space="0" w:color="000000"/>
              <w:bottom w:val="single" w:sz="4" w:space="0" w:color="000000"/>
            </w:tcBorders>
            <w:shd w:val="clear" w:color="auto" w:fill="auto"/>
            <w:vAlign w:val="center"/>
          </w:tcPr>
          <w:p w:rsidR="007273E3" w:rsidRPr="00DE475B" w:rsidRDefault="00526985" w:rsidP="00D61056">
            <w:pPr>
              <w:jc w:val="right"/>
              <w:rPr>
                <w:rFonts w:ascii="Arial" w:hAnsi="Arial" w:cs="Arial"/>
                <w:sz w:val="20"/>
                <w:szCs w:val="20"/>
              </w:rPr>
            </w:pPr>
            <w:r w:rsidRPr="00DE475B">
              <w:rPr>
                <w:rFonts w:ascii="Arial" w:hAnsi="Arial" w:cs="Arial"/>
                <w:sz w:val="20"/>
                <w:szCs w:val="20"/>
              </w:rPr>
              <w:t>-</w:t>
            </w:r>
          </w:p>
        </w:tc>
      </w:tr>
      <w:tr w:rsidR="007273E3" w:rsidRPr="00DE475B" w:rsidTr="00661892">
        <w:trPr>
          <w:trHeight w:val="303"/>
        </w:trPr>
        <w:tc>
          <w:tcPr>
            <w:tcW w:w="2977"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 xml:space="preserve">Dr Anita </w:t>
            </w:r>
            <w:proofErr w:type="spellStart"/>
            <w:r>
              <w:rPr>
                <w:rFonts w:ascii="Arial" w:hAnsi="Arial" w:cs="Arial"/>
                <w:sz w:val="20"/>
                <w:szCs w:val="20"/>
              </w:rPr>
              <w:t>Heiss</w:t>
            </w:r>
            <w:proofErr w:type="spellEnd"/>
          </w:p>
        </w:tc>
        <w:tc>
          <w:tcPr>
            <w:tcW w:w="1843"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March 2017</w:t>
            </w:r>
          </w:p>
        </w:tc>
        <w:tc>
          <w:tcPr>
            <w:tcW w:w="1559" w:type="dxa"/>
            <w:tcBorders>
              <w:top w:val="single" w:sz="4" w:space="0" w:color="000000"/>
              <w:bottom w:val="single" w:sz="4" w:space="0" w:color="000000"/>
            </w:tcBorders>
            <w:vAlign w:val="center"/>
          </w:tcPr>
          <w:p w:rsidR="007273E3" w:rsidRPr="00DE475B" w:rsidRDefault="007273E3" w:rsidP="007273E3">
            <w:pPr>
              <w:jc w:val="center"/>
              <w:rPr>
                <w:rFonts w:ascii="Arial" w:hAnsi="Arial" w:cs="Arial"/>
                <w:sz w:val="20"/>
                <w:szCs w:val="20"/>
              </w:rPr>
            </w:pPr>
          </w:p>
        </w:tc>
        <w:tc>
          <w:tcPr>
            <w:tcW w:w="1276" w:type="dxa"/>
            <w:tcBorders>
              <w:top w:val="single" w:sz="4" w:space="0" w:color="000000"/>
              <w:bottom w:val="single" w:sz="4" w:space="0" w:color="000000"/>
            </w:tcBorders>
            <w:shd w:val="clear" w:color="auto" w:fill="auto"/>
            <w:vAlign w:val="center"/>
          </w:tcPr>
          <w:p w:rsidR="007273E3" w:rsidRPr="00DE475B" w:rsidRDefault="005B15B4" w:rsidP="00D61056">
            <w:pPr>
              <w:jc w:val="right"/>
              <w:rPr>
                <w:rFonts w:ascii="Arial" w:hAnsi="Arial" w:cs="Arial"/>
                <w:sz w:val="20"/>
                <w:szCs w:val="20"/>
              </w:rPr>
            </w:pPr>
            <w:r>
              <w:rPr>
                <w:rFonts w:ascii="Arial" w:hAnsi="Arial" w:cs="Arial"/>
                <w:sz w:val="20"/>
                <w:szCs w:val="20"/>
              </w:rPr>
              <w:t>$1,333</w:t>
            </w:r>
          </w:p>
        </w:tc>
        <w:tc>
          <w:tcPr>
            <w:tcW w:w="992" w:type="dxa"/>
            <w:tcBorders>
              <w:top w:val="single" w:sz="4" w:space="0" w:color="000000"/>
              <w:bottom w:val="single" w:sz="4" w:space="0" w:color="000000"/>
            </w:tcBorders>
            <w:shd w:val="clear" w:color="auto" w:fill="auto"/>
            <w:vAlign w:val="center"/>
          </w:tcPr>
          <w:p w:rsidR="007273E3" w:rsidRPr="00DE475B" w:rsidRDefault="00526985" w:rsidP="00D61056">
            <w:pPr>
              <w:jc w:val="right"/>
              <w:rPr>
                <w:rFonts w:ascii="Arial" w:hAnsi="Arial" w:cs="Arial"/>
                <w:sz w:val="20"/>
                <w:szCs w:val="20"/>
              </w:rPr>
            </w:pPr>
            <w:r w:rsidRPr="00DE475B">
              <w:rPr>
                <w:rFonts w:ascii="Arial" w:hAnsi="Arial" w:cs="Arial"/>
                <w:sz w:val="20"/>
                <w:szCs w:val="20"/>
              </w:rPr>
              <w:t>-</w:t>
            </w:r>
          </w:p>
        </w:tc>
      </w:tr>
      <w:tr w:rsidR="007273E3" w:rsidRPr="00DE475B" w:rsidTr="00661892">
        <w:trPr>
          <w:trHeight w:val="303"/>
        </w:trPr>
        <w:tc>
          <w:tcPr>
            <w:tcW w:w="2977"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 xml:space="preserve">Professor Marek </w:t>
            </w:r>
            <w:proofErr w:type="spellStart"/>
            <w:r>
              <w:rPr>
                <w:rFonts w:ascii="Arial" w:hAnsi="Arial" w:cs="Arial"/>
                <w:sz w:val="20"/>
                <w:szCs w:val="20"/>
              </w:rPr>
              <w:t>Kowalkiewicz</w:t>
            </w:r>
            <w:proofErr w:type="spellEnd"/>
          </w:p>
        </w:tc>
        <w:tc>
          <w:tcPr>
            <w:tcW w:w="1843"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March 2017</w:t>
            </w:r>
          </w:p>
        </w:tc>
        <w:tc>
          <w:tcPr>
            <w:tcW w:w="1559" w:type="dxa"/>
            <w:tcBorders>
              <w:top w:val="single" w:sz="4" w:space="0" w:color="000000"/>
              <w:bottom w:val="single" w:sz="4" w:space="0" w:color="000000"/>
            </w:tcBorders>
            <w:vAlign w:val="center"/>
          </w:tcPr>
          <w:p w:rsidR="007273E3" w:rsidRPr="00DE475B" w:rsidRDefault="007273E3" w:rsidP="007273E3">
            <w:pPr>
              <w:jc w:val="center"/>
              <w:rPr>
                <w:rFonts w:ascii="Arial" w:hAnsi="Arial" w:cs="Arial"/>
                <w:sz w:val="20"/>
                <w:szCs w:val="20"/>
              </w:rPr>
            </w:pPr>
          </w:p>
        </w:tc>
        <w:tc>
          <w:tcPr>
            <w:tcW w:w="1276" w:type="dxa"/>
            <w:tcBorders>
              <w:top w:val="single" w:sz="4" w:space="0" w:color="000000"/>
              <w:bottom w:val="single" w:sz="4" w:space="0" w:color="000000"/>
            </w:tcBorders>
            <w:shd w:val="clear" w:color="auto" w:fill="auto"/>
            <w:vAlign w:val="center"/>
          </w:tcPr>
          <w:p w:rsidR="007273E3" w:rsidRPr="00DE475B" w:rsidRDefault="005B15B4" w:rsidP="00D61056">
            <w:pPr>
              <w:jc w:val="right"/>
              <w:rPr>
                <w:rFonts w:ascii="Arial" w:hAnsi="Arial" w:cs="Arial"/>
                <w:sz w:val="20"/>
                <w:szCs w:val="20"/>
              </w:rPr>
            </w:pPr>
            <w:r>
              <w:rPr>
                <w:rFonts w:ascii="Arial" w:hAnsi="Arial" w:cs="Arial"/>
                <w:sz w:val="20"/>
                <w:szCs w:val="20"/>
              </w:rPr>
              <w:t>$1,667</w:t>
            </w:r>
          </w:p>
        </w:tc>
        <w:tc>
          <w:tcPr>
            <w:tcW w:w="992" w:type="dxa"/>
            <w:tcBorders>
              <w:top w:val="single" w:sz="4" w:space="0" w:color="000000"/>
              <w:bottom w:val="single" w:sz="4" w:space="0" w:color="000000"/>
            </w:tcBorders>
            <w:shd w:val="clear" w:color="auto" w:fill="auto"/>
            <w:vAlign w:val="center"/>
          </w:tcPr>
          <w:p w:rsidR="007273E3" w:rsidRPr="00DE475B" w:rsidRDefault="00526985" w:rsidP="00D61056">
            <w:pPr>
              <w:jc w:val="right"/>
              <w:rPr>
                <w:rFonts w:ascii="Arial" w:hAnsi="Arial" w:cs="Arial"/>
                <w:sz w:val="20"/>
                <w:szCs w:val="20"/>
              </w:rPr>
            </w:pPr>
            <w:r w:rsidRPr="00DE475B">
              <w:rPr>
                <w:rFonts w:ascii="Arial" w:hAnsi="Arial" w:cs="Arial"/>
                <w:sz w:val="20"/>
                <w:szCs w:val="20"/>
              </w:rPr>
              <w:t>-</w:t>
            </w:r>
          </w:p>
        </w:tc>
      </w:tr>
      <w:tr w:rsidR="007273E3" w:rsidRPr="00DE475B" w:rsidTr="00661892">
        <w:trPr>
          <w:trHeight w:val="303"/>
        </w:trPr>
        <w:tc>
          <w:tcPr>
            <w:tcW w:w="2977"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Malcolm McMillan</w:t>
            </w:r>
          </w:p>
        </w:tc>
        <w:tc>
          <w:tcPr>
            <w:tcW w:w="1843"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March 2017</w:t>
            </w:r>
          </w:p>
        </w:tc>
        <w:tc>
          <w:tcPr>
            <w:tcW w:w="1559" w:type="dxa"/>
            <w:tcBorders>
              <w:top w:val="single" w:sz="4" w:space="0" w:color="000000"/>
              <w:bottom w:val="single" w:sz="4" w:space="0" w:color="000000"/>
            </w:tcBorders>
            <w:vAlign w:val="center"/>
          </w:tcPr>
          <w:p w:rsidR="007273E3" w:rsidRPr="00DE475B" w:rsidRDefault="007273E3" w:rsidP="007273E3">
            <w:pPr>
              <w:jc w:val="center"/>
              <w:rPr>
                <w:rFonts w:ascii="Arial" w:hAnsi="Arial" w:cs="Arial"/>
                <w:sz w:val="20"/>
                <w:szCs w:val="20"/>
              </w:rPr>
            </w:pPr>
          </w:p>
        </w:tc>
        <w:tc>
          <w:tcPr>
            <w:tcW w:w="1276" w:type="dxa"/>
            <w:tcBorders>
              <w:top w:val="single" w:sz="4" w:space="0" w:color="000000"/>
              <w:bottom w:val="single" w:sz="4" w:space="0" w:color="000000"/>
            </w:tcBorders>
            <w:shd w:val="clear" w:color="auto" w:fill="auto"/>
            <w:vAlign w:val="center"/>
          </w:tcPr>
          <w:p w:rsidR="007273E3" w:rsidRPr="00DE475B" w:rsidRDefault="005B15B4" w:rsidP="00D61056">
            <w:pPr>
              <w:jc w:val="right"/>
              <w:rPr>
                <w:rFonts w:ascii="Arial" w:hAnsi="Arial" w:cs="Arial"/>
                <w:sz w:val="20"/>
                <w:szCs w:val="20"/>
              </w:rPr>
            </w:pPr>
            <w:r>
              <w:rPr>
                <w:rFonts w:ascii="Arial" w:hAnsi="Arial" w:cs="Arial"/>
                <w:sz w:val="20"/>
                <w:szCs w:val="20"/>
              </w:rPr>
              <w:t>$1,333</w:t>
            </w:r>
          </w:p>
        </w:tc>
        <w:tc>
          <w:tcPr>
            <w:tcW w:w="992" w:type="dxa"/>
            <w:tcBorders>
              <w:top w:val="single" w:sz="4" w:space="0" w:color="000000"/>
              <w:bottom w:val="single" w:sz="4" w:space="0" w:color="000000"/>
            </w:tcBorders>
            <w:shd w:val="clear" w:color="auto" w:fill="auto"/>
            <w:vAlign w:val="center"/>
          </w:tcPr>
          <w:p w:rsidR="007273E3" w:rsidRPr="00DE475B" w:rsidRDefault="00526985" w:rsidP="00D61056">
            <w:pPr>
              <w:jc w:val="right"/>
              <w:rPr>
                <w:rFonts w:ascii="Arial" w:hAnsi="Arial" w:cs="Arial"/>
                <w:sz w:val="20"/>
                <w:szCs w:val="20"/>
              </w:rPr>
            </w:pPr>
            <w:r w:rsidRPr="00DE475B">
              <w:rPr>
                <w:rFonts w:ascii="Arial" w:hAnsi="Arial" w:cs="Arial"/>
                <w:sz w:val="20"/>
                <w:szCs w:val="20"/>
              </w:rPr>
              <w:t>-</w:t>
            </w:r>
          </w:p>
        </w:tc>
      </w:tr>
      <w:tr w:rsidR="007273E3" w:rsidRPr="00DE475B" w:rsidTr="00661892">
        <w:trPr>
          <w:trHeight w:val="303"/>
        </w:trPr>
        <w:tc>
          <w:tcPr>
            <w:tcW w:w="2977"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Dr Sandra Phillips</w:t>
            </w:r>
          </w:p>
        </w:tc>
        <w:tc>
          <w:tcPr>
            <w:tcW w:w="1843"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March 2017</w:t>
            </w:r>
          </w:p>
        </w:tc>
        <w:tc>
          <w:tcPr>
            <w:tcW w:w="1559" w:type="dxa"/>
            <w:tcBorders>
              <w:top w:val="single" w:sz="4" w:space="0" w:color="000000"/>
              <w:bottom w:val="single" w:sz="4" w:space="0" w:color="000000"/>
            </w:tcBorders>
            <w:vAlign w:val="center"/>
          </w:tcPr>
          <w:p w:rsidR="007273E3" w:rsidRPr="00DE475B" w:rsidRDefault="007273E3" w:rsidP="007273E3">
            <w:pPr>
              <w:jc w:val="center"/>
              <w:rPr>
                <w:rFonts w:ascii="Arial" w:hAnsi="Arial" w:cs="Arial"/>
                <w:sz w:val="20"/>
                <w:szCs w:val="20"/>
              </w:rPr>
            </w:pPr>
          </w:p>
        </w:tc>
        <w:tc>
          <w:tcPr>
            <w:tcW w:w="1276" w:type="dxa"/>
            <w:tcBorders>
              <w:top w:val="single" w:sz="4" w:space="0" w:color="000000"/>
              <w:bottom w:val="single" w:sz="4" w:space="0" w:color="000000"/>
            </w:tcBorders>
            <w:shd w:val="clear" w:color="auto" w:fill="auto"/>
            <w:vAlign w:val="center"/>
          </w:tcPr>
          <w:p w:rsidR="007273E3" w:rsidRPr="00DE475B" w:rsidRDefault="005B15B4" w:rsidP="00D61056">
            <w:pPr>
              <w:jc w:val="right"/>
              <w:rPr>
                <w:rFonts w:ascii="Arial" w:hAnsi="Arial" w:cs="Arial"/>
                <w:sz w:val="20"/>
                <w:szCs w:val="20"/>
              </w:rPr>
            </w:pPr>
            <w:r>
              <w:rPr>
                <w:rFonts w:ascii="Arial" w:hAnsi="Arial" w:cs="Arial"/>
                <w:sz w:val="20"/>
                <w:szCs w:val="20"/>
              </w:rPr>
              <w:t>$1,333</w:t>
            </w:r>
          </w:p>
        </w:tc>
        <w:tc>
          <w:tcPr>
            <w:tcW w:w="992" w:type="dxa"/>
            <w:tcBorders>
              <w:top w:val="single" w:sz="4" w:space="0" w:color="000000"/>
              <w:bottom w:val="single" w:sz="4" w:space="0" w:color="000000"/>
            </w:tcBorders>
            <w:shd w:val="clear" w:color="auto" w:fill="auto"/>
            <w:vAlign w:val="center"/>
          </w:tcPr>
          <w:p w:rsidR="007273E3" w:rsidRPr="00DE475B" w:rsidRDefault="00526985" w:rsidP="00D61056">
            <w:pPr>
              <w:jc w:val="right"/>
              <w:rPr>
                <w:rFonts w:ascii="Arial" w:hAnsi="Arial" w:cs="Arial"/>
                <w:sz w:val="20"/>
                <w:szCs w:val="20"/>
              </w:rPr>
            </w:pPr>
            <w:r w:rsidRPr="00DE475B">
              <w:rPr>
                <w:rFonts w:ascii="Arial" w:hAnsi="Arial" w:cs="Arial"/>
                <w:sz w:val="20"/>
                <w:szCs w:val="20"/>
              </w:rPr>
              <w:t>-</w:t>
            </w:r>
          </w:p>
        </w:tc>
      </w:tr>
      <w:tr w:rsidR="007273E3" w:rsidRPr="00DE475B" w:rsidTr="00661892">
        <w:trPr>
          <w:trHeight w:val="303"/>
        </w:trPr>
        <w:tc>
          <w:tcPr>
            <w:tcW w:w="2977"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Shead</w:t>
            </w:r>
            <w:proofErr w:type="spellEnd"/>
          </w:p>
        </w:tc>
        <w:tc>
          <w:tcPr>
            <w:tcW w:w="1843" w:type="dxa"/>
            <w:tcBorders>
              <w:top w:val="single" w:sz="4" w:space="0" w:color="000000"/>
              <w:bottom w:val="single" w:sz="4" w:space="0" w:color="000000"/>
            </w:tcBorders>
            <w:shd w:val="clear" w:color="auto" w:fill="auto"/>
            <w:vAlign w:val="center"/>
          </w:tcPr>
          <w:p w:rsidR="007273E3" w:rsidRPr="00DE475B" w:rsidRDefault="007273E3" w:rsidP="00B64F65">
            <w:pPr>
              <w:rPr>
                <w:rFonts w:ascii="Arial" w:hAnsi="Arial" w:cs="Arial"/>
                <w:sz w:val="20"/>
                <w:szCs w:val="20"/>
              </w:rPr>
            </w:pPr>
            <w:r>
              <w:rPr>
                <w:rFonts w:ascii="Arial" w:hAnsi="Arial" w:cs="Arial"/>
                <w:sz w:val="20"/>
                <w:szCs w:val="20"/>
              </w:rPr>
              <w:t>March 2017</w:t>
            </w:r>
          </w:p>
        </w:tc>
        <w:tc>
          <w:tcPr>
            <w:tcW w:w="1559" w:type="dxa"/>
            <w:tcBorders>
              <w:top w:val="single" w:sz="4" w:space="0" w:color="000000"/>
              <w:bottom w:val="single" w:sz="4" w:space="0" w:color="000000"/>
            </w:tcBorders>
            <w:vAlign w:val="center"/>
          </w:tcPr>
          <w:p w:rsidR="007273E3" w:rsidRPr="00DE475B" w:rsidRDefault="007273E3" w:rsidP="007273E3">
            <w:pPr>
              <w:jc w:val="center"/>
              <w:rPr>
                <w:rFonts w:ascii="Arial" w:hAnsi="Arial" w:cs="Arial"/>
                <w:sz w:val="20"/>
                <w:szCs w:val="20"/>
              </w:rPr>
            </w:pPr>
          </w:p>
        </w:tc>
        <w:tc>
          <w:tcPr>
            <w:tcW w:w="1276" w:type="dxa"/>
            <w:tcBorders>
              <w:top w:val="single" w:sz="4" w:space="0" w:color="000000"/>
              <w:bottom w:val="single" w:sz="8" w:space="0" w:color="000000"/>
            </w:tcBorders>
            <w:shd w:val="clear" w:color="auto" w:fill="auto"/>
            <w:vAlign w:val="center"/>
          </w:tcPr>
          <w:p w:rsidR="007273E3" w:rsidRPr="00DE475B" w:rsidRDefault="005B15B4" w:rsidP="00D61056">
            <w:pPr>
              <w:jc w:val="right"/>
              <w:rPr>
                <w:rFonts w:ascii="Arial" w:hAnsi="Arial" w:cs="Arial"/>
                <w:sz w:val="20"/>
                <w:szCs w:val="20"/>
              </w:rPr>
            </w:pPr>
            <w:r>
              <w:rPr>
                <w:rFonts w:ascii="Arial" w:hAnsi="Arial" w:cs="Arial"/>
                <w:sz w:val="20"/>
                <w:szCs w:val="20"/>
              </w:rPr>
              <w:t>$2,000</w:t>
            </w:r>
          </w:p>
        </w:tc>
        <w:tc>
          <w:tcPr>
            <w:tcW w:w="992" w:type="dxa"/>
            <w:tcBorders>
              <w:top w:val="single" w:sz="4" w:space="0" w:color="000000"/>
              <w:bottom w:val="single" w:sz="8" w:space="0" w:color="000000"/>
            </w:tcBorders>
            <w:shd w:val="clear" w:color="auto" w:fill="auto"/>
            <w:vAlign w:val="center"/>
          </w:tcPr>
          <w:p w:rsidR="007273E3" w:rsidRPr="00DE475B" w:rsidRDefault="007273E3" w:rsidP="00D61056">
            <w:pPr>
              <w:jc w:val="right"/>
              <w:rPr>
                <w:rFonts w:ascii="Arial" w:hAnsi="Arial" w:cs="Arial"/>
                <w:sz w:val="20"/>
                <w:szCs w:val="20"/>
              </w:rPr>
            </w:pPr>
          </w:p>
        </w:tc>
      </w:tr>
      <w:tr w:rsidR="007273E3" w:rsidRPr="00DE475B" w:rsidTr="00661892">
        <w:trPr>
          <w:trHeight w:val="303"/>
        </w:trPr>
        <w:tc>
          <w:tcPr>
            <w:tcW w:w="2977" w:type="dxa"/>
            <w:shd w:val="clear" w:color="auto" w:fill="auto"/>
            <w:vAlign w:val="center"/>
          </w:tcPr>
          <w:p w:rsidR="007273E3" w:rsidRPr="00DE475B" w:rsidRDefault="007273E3" w:rsidP="00B64F65">
            <w:pPr>
              <w:rPr>
                <w:rFonts w:ascii="Arial" w:hAnsi="Arial" w:cs="Arial"/>
                <w:sz w:val="20"/>
                <w:szCs w:val="20"/>
              </w:rPr>
            </w:pPr>
            <w:r w:rsidRPr="00DE475B">
              <w:rPr>
                <w:rFonts w:ascii="Arial" w:hAnsi="Arial" w:cs="Arial"/>
                <w:b/>
                <w:bCs/>
                <w:sz w:val="20"/>
                <w:szCs w:val="20"/>
              </w:rPr>
              <w:t>Total</w:t>
            </w:r>
          </w:p>
        </w:tc>
        <w:tc>
          <w:tcPr>
            <w:tcW w:w="1843" w:type="dxa"/>
            <w:shd w:val="clear" w:color="auto" w:fill="auto"/>
            <w:vAlign w:val="center"/>
          </w:tcPr>
          <w:p w:rsidR="007273E3" w:rsidRPr="00DE475B" w:rsidRDefault="007273E3" w:rsidP="00B64F65">
            <w:pPr>
              <w:snapToGrid w:val="0"/>
              <w:rPr>
                <w:rFonts w:ascii="Arial" w:hAnsi="Arial" w:cs="Arial"/>
                <w:sz w:val="20"/>
                <w:szCs w:val="20"/>
              </w:rPr>
            </w:pPr>
          </w:p>
        </w:tc>
        <w:tc>
          <w:tcPr>
            <w:tcW w:w="1559" w:type="dxa"/>
            <w:tcBorders>
              <w:top w:val="single" w:sz="4" w:space="0" w:color="000000"/>
            </w:tcBorders>
            <w:vAlign w:val="center"/>
          </w:tcPr>
          <w:p w:rsidR="007273E3" w:rsidRPr="00DE475B" w:rsidRDefault="007273E3" w:rsidP="007273E3">
            <w:pPr>
              <w:jc w:val="center"/>
              <w:rPr>
                <w:rFonts w:ascii="Arial" w:hAnsi="Arial" w:cs="Arial"/>
                <w:b/>
                <w:bCs/>
                <w:sz w:val="20"/>
                <w:szCs w:val="20"/>
              </w:rPr>
            </w:pPr>
          </w:p>
        </w:tc>
        <w:tc>
          <w:tcPr>
            <w:tcW w:w="1276" w:type="dxa"/>
            <w:tcBorders>
              <w:top w:val="single" w:sz="8" w:space="0" w:color="000000"/>
              <w:bottom w:val="single" w:sz="8" w:space="0" w:color="000000"/>
            </w:tcBorders>
            <w:shd w:val="clear" w:color="auto" w:fill="auto"/>
            <w:vAlign w:val="center"/>
          </w:tcPr>
          <w:p w:rsidR="007273E3" w:rsidRPr="00DE475B" w:rsidRDefault="007273E3" w:rsidP="001E6E1D">
            <w:pPr>
              <w:jc w:val="right"/>
              <w:rPr>
                <w:rFonts w:ascii="Arial" w:hAnsi="Arial" w:cs="Arial"/>
                <w:b/>
                <w:bCs/>
                <w:sz w:val="20"/>
                <w:szCs w:val="20"/>
              </w:rPr>
            </w:pPr>
            <w:r w:rsidRPr="00DE475B">
              <w:rPr>
                <w:rFonts w:ascii="Arial" w:hAnsi="Arial" w:cs="Arial"/>
                <w:b/>
                <w:bCs/>
                <w:sz w:val="20"/>
                <w:szCs w:val="20"/>
              </w:rPr>
              <w:t>$3</w:t>
            </w:r>
            <w:r w:rsidR="001E6E1D">
              <w:rPr>
                <w:rFonts w:ascii="Arial" w:hAnsi="Arial" w:cs="Arial"/>
                <w:b/>
                <w:bCs/>
                <w:sz w:val="20"/>
                <w:szCs w:val="20"/>
              </w:rPr>
              <w:t>6</w:t>
            </w:r>
            <w:r w:rsidRPr="00DE475B">
              <w:rPr>
                <w:rFonts w:ascii="Arial" w:hAnsi="Arial" w:cs="Arial"/>
                <w:b/>
                <w:bCs/>
                <w:sz w:val="20"/>
                <w:szCs w:val="20"/>
              </w:rPr>
              <w:t>,</w:t>
            </w:r>
            <w:r w:rsidR="001E6E1D">
              <w:rPr>
                <w:rFonts w:ascii="Arial" w:hAnsi="Arial" w:cs="Arial"/>
                <w:b/>
                <w:bCs/>
                <w:sz w:val="20"/>
                <w:szCs w:val="20"/>
              </w:rPr>
              <w:t>666</w:t>
            </w:r>
          </w:p>
        </w:tc>
        <w:tc>
          <w:tcPr>
            <w:tcW w:w="992" w:type="dxa"/>
            <w:tcBorders>
              <w:top w:val="single" w:sz="8" w:space="0" w:color="000000"/>
              <w:bottom w:val="single" w:sz="8" w:space="0" w:color="000000"/>
            </w:tcBorders>
            <w:shd w:val="clear" w:color="auto" w:fill="auto"/>
            <w:vAlign w:val="center"/>
          </w:tcPr>
          <w:p w:rsidR="007273E3" w:rsidRPr="00DE475B" w:rsidRDefault="001E6E1D" w:rsidP="00D61056">
            <w:pPr>
              <w:jc w:val="right"/>
              <w:rPr>
                <w:rFonts w:ascii="Arial" w:hAnsi="Arial" w:cs="Arial"/>
                <w:b/>
                <w:bCs/>
                <w:sz w:val="20"/>
                <w:szCs w:val="20"/>
              </w:rPr>
            </w:pPr>
            <w:r w:rsidRPr="00DE475B">
              <w:rPr>
                <w:rFonts w:ascii="Arial" w:hAnsi="Arial" w:cs="Arial"/>
                <w:b/>
                <w:bCs/>
                <w:sz w:val="20"/>
                <w:szCs w:val="20"/>
              </w:rPr>
              <w:t>$33,091</w:t>
            </w:r>
          </w:p>
        </w:tc>
      </w:tr>
    </w:tbl>
    <w:p w:rsidR="009C477C" w:rsidRPr="00DE475B" w:rsidRDefault="00DE3D4A" w:rsidP="008A2DA8">
      <w:pPr>
        <w:spacing w:before="120" w:after="80"/>
        <w:rPr>
          <w:rFonts w:ascii="Arial" w:hAnsi="Arial" w:cs="Arial"/>
          <w:sz w:val="18"/>
          <w:szCs w:val="18"/>
        </w:rPr>
      </w:pPr>
      <w:r>
        <w:rPr>
          <w:rFonts w:ascii="Arial" w:hAnsi="Arial" w:cs="Arial"/>
          <w:sz w:val="18"/>
          <w:szCs w:val="18"/>
        </w:rPr>
        <w:t xml:space="preserve">* Jan Thomas </w:t>
      </w:r>
      <w:r w:rsidR="009C477C" w:rsidRPr="00DE475B">
        <w:rPr>
          <w:rFonts w:ascii="Arial" w:hAnsi="Arial" w:cs="Arial"/>
          <w:sz w:val="18"/>
          <w:szCs w:val="18"/>
        </w:rPr>
        <w:t>opted not to receive payment for her work on the Board.</w:t>
      </w:r>
    </w:p>
    <w:p w:rsidR="009C477C" w:rsidRPr="00DE475B" w:rsidRDefault="009C477C" w:rsidP="00AA77B5">
      <w:pPr>
        <w:rPr>
          <w:rFonts w:ascii="Arial" w:hAnsi="Arial" w:cs="Arial"/>
          <w:sz w:val="18"/>
          <w:szCs w:val="18"/>
        </w:rPr>
        <w:sectPr w:rsidR="009C477C" w:rsidRPr="00DE475B" w:rsidSect="00B53922">
          <w:type w:val="continuous"/>
          <w:pgSz w:w="11906" w:h="16838"/>
          <w:pgMar w:top="1440" w:right="1701" w:bottom="1440" w:left="1701" w:header="680" w:footer="680" w:gutter="0"/>
          <w:cols w:space="566"/>
          <w:docGrid w:linePitch="360"/>
        </w:sectPr>
      </w:pPr>
      <w:r w:rsidRPr="00DE475B">
        <w:rPr>
          <w:rFonts w:ascii="Arial" w:hAnsi="Arial" w:cs="Arial"/>
          <w:sz w:val="18"/>
          <w:szCs w:val="18"/>
        </w:rPr>
        <w:t xml:space="preserve">Max Walters (Library Foundation Chair) was added as a </w:t>
      </w:r>
      <w:proofErr w:type="spellStart"/>
      <w:r w:rsidRPr="00DE475B">
        <w:rPr>
          <w:rFonts w:ascii="Arial" w:hAnsi="Arial" w:cs="Arial"/>
          <w:sz w:val="18"/>
          <w:szCs w:val="18"/>
        </w:rPr>
        <w:t>non Board</w:t>
      </w:r>
      <w:proofErr w:type="spellEnd"/>
      <w:r w:rsidRPr="00DE475B">
        <w:rPr>
          <w:rFonts w:ascii="Arial" w:hAnsi="Arial" w:cs="Arial"/>
          <w:sz w:val="18"/>
          <w:szCs w:val="18"/>
        </w:rPr>
        <w:t xml:space="preserve"> member of the Audit and Risk Management Committee</w:t>
      </w:r>
      <w:r w:rsidR="007273E3">
        <w:rPr>
          <w:rFonts w:ascii="Arial" w:hAnsi="Arial" w:cs="Arial"/>
          <w:sz w:val="18"/>
          <w:szCs w:val="18"/>
        </w:rPr>
        <w:t xml:space="preserve"> in 2016 </w:t>
      </w:r>
      <w:r w:rsidRPr="00DE475B">
        <w:rPr>
          <w:rFonts w:ascii="Arial" w:hAnsi="Arial" w:cs="Arial"/>
          <w:sz w:val="18"/>
          <w:szCs w:val="18"/>
        </w:rPr>
        <w:t xml:space="preserve">and earned $1,000 </w:t>
      </w:r>
      <w:r w:rsidR="007273E3">
        <w:rPr>
          <w:rFonts w:ascii="Arial" w:hAnsi="Arial" w:cs="Arial"/>
          <w:sz w:val="18"/>
          <w:szCs w:val="18"/>
        </w:rPr>
        <w:t xml:space="preserve">(2016: $1,000) </w:t>
      </w:r>
      <w:r w:rsidRPr="00DE475B">
        <w:rPr>
          <w:rFonts w:ascii="Arial" w:hAnsi="Arial" w:cs="Arial"/>
          <w:sz w:val="18"/>
          <w:szCs w:val="18"/>
        </w:rPr>
        <w:t>for attendance.</w:t>
      </w:r>
    </w:p>
    <w:p w:rsidR="00635C39" w:rsidRPr="00DE475B" w:rsidRDefault="00635C39" w:rsidP="00635C39">
      <w:pPr>
        <w:pStyle w:val="ARbodytext"/>
        <w:rPr>
          <w:b/>
          <w:bCs/>
        </w:rPr>
      </w:pPr>
      <w:r w:rsidRPr="00DE475B">
        <w:rPr>
          <w:b/>
          <w:bCs/>
          <w:i/>
          <w:iCs/>
        </w:rPr>
        <w:lastRenderedPageBreak/>
        <w:t>Library Board of Queensland and controlled entities</w:t>
      </w:r>
    </w:p>
    <w:p w:rsidR="00635C39" w:rsidRPr="00DE475B" w:rsidRDefault="00373FFE" w:rsidP="00635C39">
      <w:pPr>
        <w:rPr>
          <w:rFonts w:ascii="Arial" w:hAnsi="Arial" w:cs="Arial"/>
          <w:b/>
          <w:bCs/>
          <w:sz w:val="20"/>
          <w:szCs w:val="20"/>
        </w:rPr>
      </w:pPr>
      <w:r w:rsidRPr="00DE475B">
        <w:rPr>
          <w:noProof/>
          <w:lang w:eastAsia="en-AU"/>
        </w:rPr>
        <mc:AlternateContent>
          <mc:Choice Requires="wps">
            <w:drawing>
              <wp:anchor distT="0" distB="0" distL="114300" distR="114300" simplePos="0" relativeHeight="251698176" behindDoc="0" locked="0" layoutInCell="1" allowOverlap="1" wp14:anchorId="20599052" wp14:editId="27024D91">
                <wp:simplePos x="0" y="0"/>
                <wp:positionH relativeFrom="column">
                  <wp:posOffset>-66040</wp:posOffset>
                </wp:positionH>
                <wp:positionV relativeFrom="paragraph">
                  <wp:posOffset>-222250</wp:posOffset>
                </wp:positionV>
                <wp:extent cx="5573395" cy="0"/>
                <wp:effectExtent l="13970" t="9525" r="13335" b="9525"/>
                <wp:wrapNone/>
                <wp:docPr id="2"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5pt" to="43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acmgIAAHkFAAAOAAAAZHJzL2Uyb0RvYy54bWysVN9v2yAQfp+0/wHx7tqOnV9Wnal1nL10&#10;W6V22jMBHKNh8IDGqab97ztI4jXdyzQ1kSwO7o7v7vuO6w+HTqI9N1ZoVeL0KsGIK6qZULsSf33c&#10;RAuMrCOKEakVL/Ezt/jD6v2766Ev+ES3WjJuECRRthj6ErfO9UUcW9ryjtgr3XMFh402HXFgml3M&#10;DBkgeyfjSZLM4kEb1htNubWwuz4e4lXI3zScui9NY7lDssSAzYWvCd+t/8ara1LsDOlbQU8wyH+g&#10;6IhQcOmYak0cQU9G/JWqE9Roqxt3RXUX66YRlIcaoJo0eVXNQ0t6HmqB5th+bJN9u7T08/7eIMFK&#10;PMFIkQ4ouhOKo8ky970ZeluAS6Xuja+OHtRDf6fpd4uUrlqidjxgfHzuITD1EfFFiDdsDzdsh0+a&#10;gQ95cjo06tCYzqeEFqBD4ON55IMfHKKwOZ3Os2w5xYiez2JSnAN7Y91HrjvkFyWWgDokJvs76zwQ&#10;Upxd/D1Kb4SUgW6p0FDiZTYDQVACorM/QqTVUjDv5f2t2W0radCeeOWEXygPTl66dcKBfqXoSrwY&#10;nUjRcsJqxcJ1jgh5XAMkqXxyHpR5xAnWwcEy7EPhQTU/l8myXtSLPMonszrKk/U6utlUeTTbpPPp&#10;OltX1Tr95VGnedEKxrjywM8KTvN/U8hplo7aGzU8tiq+zB56CmAvkd5spsk8zxbRfD7Nojyrk+h2&#10;samimyqdzeb1bXVbv0Jah+rt24AdW+lR6Sdg46FlA2LCiyKbLicpBgMmfjI/8oOI3MFTRZ3ByGj3&#10;Tbg2aNirz+e4IH6R+P+J+DH7sRFnDr01snCq7U+rgPMzv2E0/DQc52qr2fO9OY8MzHcIOr1F/gF5&#10;acP65Yu5+g0AAP//AwBQSwMEFAAGAAgAAAAhAN7Yq2fgAAAACwEAAA8AAABkcnMvZG93bnJldi54&#10;bWxMj0FLw0AQhe+C/2EZwYu0m5pYS8ymiCAeBGmrKN622TEbzM6G3W0T/70jCHqbmfd4871qPble&#10;HDHEzpOCxTwDgdR401Gr4OX5frYCEZMmo3tPqOALI6zr05NKl8aPtMXjLrWCQyiWWoFNaSiljI1F&#10;p+PcD0isffjgdOI1tNIEPXK46+Vlli2l0x3xB6sHvLPYfO4OTsFTGLuY8qLYYHp/fXh8s5sLt1Xq&#10;/Gy6vQGRcEp/ZvjBZ3SomWnvD2Si6BXMFlnBVh7yKy7FjtXyOgex/73IupL/O9TfAAAA//8DAFBL&#10;AQItABQABgAIAAAAIQC2gziS/gAAAOEBAAATAAAAAAAAAAAAAAAAAAAAAABbQ29udGVudF9UeXBl&#10;c10ueG1sUEsBAi0AFAAGAAgAAAAhADj9If/WAAAAlAEAAAsAAAAAAAAAAAAAAAAALwEAAF9yZWxz&#10;Ly5yZWxzUEsBAi0AFAAGAAgAAAAhAHDuhpyaAgAAeQUAAA4AAAAAAAAAAAAAAAAALgIAAGRycy9l&#10;Mm9Eb2MueG1sUEsBAi0AFAAGAAgAAAAhAN7Yq2fgAAAACwEAAA8AAAAAAAAAAAAAAAAA9AQAAGRy&#10;cy9kb3ducmV2LnhtbFBLBQYAAAAABAAEAPMAAAABBgAAAAA=&#10;" strokeweight=".26mm">
                <v:stroke joinstyle="miter" endcap="square"/>
              </v:line>
            </w:pict>
          </mc:Fallback>
        </mc:AlternateContent>
      </w:r>
      <w:r w:rsidR="00635C39" w:rsidRPr="00DE475B">
        <w:rPr>
          <w:rFonts w:ascii="Arial" w:hAnsi="Arial" w:cs="Arial"/>
          <w:b/>
          <w:bCs/>
          <w:sz w:val="20"/>
          <w:szCs w:val="20"/>
        </w:rPr>
        <w:t>NOTES TO THE FINANCIAL STATEMENTS</w:t>
      </w:r>
    </w:p>
    <w:p w:rsidR="00635C39" w:rsidRPr="00DE475B" w:rsidRDefault="00B60740" w:rsidP="00635C39">
      <w:r>
        <w:rPr>
          <w:rFonts w:ascii="Arial" w:hAnsi="Arial" w:cs="Arial"/>
          <w:b/>
          <w:bCs/>
          <w:sz w:val="20"/>
          <w:szCs w:val="20"/>
        </w:rPr>
        <w:t>For the year ended 30 June 2017</w:t>
      </w:r>
    </w:p>
    <w:p w:rsidR="00A1189F" w:rsidRDefault="00373FFE" w:rsidP="00635C39">
      <w:pPr>
        <w:pStyle w:val="ARheading3"/>
        <w:widowControl w:val="0"/>
        <w:tabs>
          <w:tab w:val="left" w:pos="851"/>
        </w:tabs>
        <w:spacing w:before="240" w:after="120"/>
        <w:rPr>
          <w:color w:val="808080"/>
        </w:rPr>
      </w:pPr>
      <w:r w:rsidRPr="00DE475B">
        <w:rPr>
          <w:b w:val="0"/>
          <w:bCs w:val="0"/>
          <w:noProof/>
          <w:sz w:val="24"/>
          <w:szCs w:val="24"/>
          <w:lang w:eastAsia="en-AU"/>
        </w:rPr>
        <mc:AlternateContent>
          <mc:Choice Requires="wps">
            <w:drawing>
              <wp:anchor distT="0" distB="0" distL="114300" distR="114300" simplePos="0" relativeHeight="251697152" behindDoc="0" locked="0" layoutInCell="1" allowOverlap="1" wp14:anchorId="1E667ADC" wp14:editId="5C8412D3">
                <wp:simplePos x="0" y="0"/>
                <wp:positionH relativeFrom="column">
                  <wp:posOffset>-66040</wp:posOffset>
                </wp:positionH>
                <wp:positionV relativeFrom="paragraph">
                  <wp:posOffset>70485</wp:posOffset>
                </wp:positionV>
                <wp:extent cx="5573395" cy="0"/>
                <wp:effectExtent l="13970" t="13335" r="13335" b="5715"/>
                <wp:wrapNone/>
                <wp:docPr id="1"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5pt" to="43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3pJmgIAAHkFAAAOAAAAZHJzL2Uyb0RvYy54bWysVF1v2yAUfZ+0/4B4d23HzpdVZ2odZy/d&#10;Vqmd9kwAx2gYPKBxqmn/fReSeE33Mk1NJIuPy+Hce87l+sOhk2jPjRValTi9SjDiimom1K7EXx83&#10;0QIj64hiRGrFS/zMLf6wev/ueugLPtGtlowbBCDKFkNf4ta5vohjS1veEXule65gs9GmIw6mZhcz&#10;QwZA72Q8SZJZPGjDeqMptxZW18dNvAr4TcOp+9I0ljskSwzcXPia8N36b7y6JsXOkL4V9ESD/AeL&#10;jggFl45Qa+IIejLiL6hOUKOtbtwV1V2sm0ZQHnKAbNLkVTYPLel5yAWKY/uxTPbtYOnn/b1BgoF2&#10;GCnSgUR3QnE0WWa+NkNvCwip1L3x2dGDeujvNP1ukdJVS9SOB46Pzz0cTP2J+OKIn9gebtgOnzSD&#10;GPLkdCjUoTGdh4QSoEPQ43nUgx8corA4nc6zbDnFiJ73YlKcD/bGuo9cd8gPSiyBdQAm+zvrPBFS&#10;nEP8PUpvhJRBbqnQUOJlNgNDUAKmsz/CSaulYD7Kx1uz21bSoD3xzgm/kB7svAzrhAP/StGVeDEG&#10;kaLlhNWKhescEfI4BkpSeXAenHnkCbODg2FYh8SDa34uk2W9qBd5lE9mdZQn63V0s6nyaLZJ59N1&#10;tq6qdfrLs07zohWMceWJnx2c5v/mkFMvHb03engsVXyJHmoKZC+Z3mymyTzPFtF8Ps2iPKuT6Hax&#10;qaKbKp3N5vVtdVu/YlqH7O3bkB1L6VnpJ1DjoWUDYsKbIpsuJ+BrJqDjJ/OjPojIHTxV1BmMjHbf&#10;hGuDh737PMaF8IvE/0/Cj+jHQpw19LNRhVNuf0oFmp/1Da3hu+HYV1vNnu/NuWWgv8Oh01vkH5CX&#10;cxi/fDFXvwEAAP//AwBQSwMEFAAGAAgAAAAhAPBAaXHeAAAACQEAAA8AAABkcnMvZG93bnJldi54&#10;bWxMj8FKw0AQhu+C77CM4EXaTWyoJWZTRBAPgrRVFG/b7JgNZmfD7raJb+9ID3qc+T/++aZaT64X&#10;Rwyx86Qgn2cgkBpvOmoVvL48zFYgYtJkdO8JFXxjhHV9flbp0viRtnjcpVZwCcVSK7ApDaWUsbHo&#10;dJz7AYmzTx+cTjyGVpqgRy53vbzOsqV0uiO+YPWA9xabr93BKXgOYxfToig2mD7eHp/e7ebKbZW6&#10;vJjubkEknNIfDL/6rA41O+39gUwUvYJZnhWMcpDnIBhYLW8WIPanhawr+f+D+gcAAP//AwBQSwEC&#10;LQAUAAYACAAAACEAtoM4kv4AAADhAQAAEwAAAAAAAAAAAAAAAAAAAAAAW0NvbnRlbnRfVHlwZXNd&#10;LnhtbFBLAQItABQABgAIAAAAIQA4/SH/1gAAAJQBAAALAAAAAAAAAAAAAAAAAC8BAABfcmVscy8u&#10;cmVsc1BLAQItABQABgAIAAAAIQA3X3pJmgIAAHkFAAAOAAAAAAAAAAAAAAAAAC4CAABkcnMvZTJv&#10;RG9jLnhtbFBLAQItABQABgAIAAAAIQDwQGlx3gAAAAkBAAAPAAAAAAAAAAAAAAAAAPQEAABkcnMv&#10;ZG93bnJldi54bWxQSwUGAAAAAAQABADzAAAA/wUAAAAA&#10;" strokeweight=".26mm">
                <v:stroke joinstyle="miter" endcap="square"/>
              </v:line>
            </w:pict>
          </mc:Fallback>
        </mc:AlternateContent>
      </w:r>
      <w:proofErr w:type="gramStart"/>
      <w:r w:rsidR="00CC5A71" w:rsidRPr="00DE475B">
        <w:rPr>
          <w:color w:val="808080"/>
        </w:rPr>
        <w:t>F</w:t>
      </w:r>
      <w:r w:rsidR="0070726D" w:rsidRPr="00DE475B">
        <w:rPr>
          <w:color w:val="808080"/>
        </w:rPr>
        <w:t>2</w:t>
      </w:r>
      <w:r w:rsidR="00CC5A71" w:rsidRPr="00DE475B">
        <w:rPr>
          <w:color w:val="808080"/>
        </w:rPr>
        <w:t xml:space="preserve">  </w:t>
      </w:r>
      <w:r w:rsidR="00A1189F">
        <w:rPr>
          <w:color w:val="808080"/>
        </w:rPr>
        <w:t>Related</w:t>
      </w:r>
      <w:proofErr w:type="gramEnd"/>
      <w:r w:rsidR="00A1189F">
        <w:rPr>
          <w:color w:val="808080"/>
        </w:rPr>
        <w:t xml:space="preserve"> party transactions</w:t>
      </w:r>
    </w:p>
    <w:p w:rsidR="00E77936" w:rsidRPr="00E77936" w:rsidRDefault="00E77936" w:rsidP="00652F6C">
      <w:pPr>
        <w:tabs>
          <w:tab w:val="left" w:pos="284"/>
          <w:tab w:val="left" w:pos="5878"/>
          <w:tab w:val="left" w:pos="8548"/>
          <w:tab w:val="left" w:pos="8770"/>
          <w:tab w:val="left" w:pos="10266"/>
          <w:tab w:val="left" w:pos="11702"/>
        </w:tabs>
        <w:rPr>
          <w:rFonts w:ascii="Arial" w:hAnsi="Arial" w:cs="Arial"/>
          <w:b/>
          <w:bCs/>
          <w:sz w:val="20"/>
          <w:szCs w:val="20"/>
        </w:rPr>
      </w:pPr>
      <w:r w:rsidRPr="00E77936">
        <w:rPr>
          <w:rFonts w:ascii="Arial" w:hAnsi="Arial" w:cs="Arial"/>
          <w:b/>
          <w:bCs/>
          <w:sz w:val="20"/>
          <w:szCs w:val="20"/>
        </w:rPr>
        <w:t xml:space="preserve">Transactions with people/entities related to </w:t>
      </w:r>
      <w:proofErr w:type="spellStart"/>
      <w:r w:rsidRPr="00E77936">
        <w:rPr>
          <w:rFonts w:ascii="Arial" w:hAnsi="Arial" w:cs="Arial"/>
          <w:b/>
          <w:bCs/>
          <w:sz w:val="20"/>
          <w:szCs w:val="20"/>
        </w:rPr>
        <w:t>KMP</w:t>
      </w:r>
      <w:proofErr w:type="spellEnd"/>
    </w:p>
    <w:p w:rsidR="00E77936" w:rsidRPr="00C94AAD" w:rsidRDefault="00E77936" w:rsidP="00E77936">
      <w:pPr>
        <w:spacing w:after="120"/>
        <w:rPr>
          <w:rFonts w:ascii="Arial" w:hAnsi="Arial" w:cs="Arial"/>
          <w:sz w:val="20"/>
          <w:szCs w:val="20"/>
        </w:rPr>
      </w:pPr>
      <w:r w:rsidRPr="00E77936">
        <w:rPr>
          <w:rFonts w:ascii="Arial" w:hAnsi="Arial" w:cs="Arial"/>
          <w:sz w:val="20"/>
          <w:szCs w:val="20"/>
        </w:rPr>
        <w:t xml:space="preserve">State Library did not engage in any transactions, contracts or employment related </w:t>
      </w:r>
      <w:r w:rsidRPr="00C94AAD">
        <w:rPr>
          <w:rFonts w:ascii="Arial" w:hAnsi="Arial" w:cs="Arial"/>
          <w:sz w:val="20"/>
          <w:szCs w:val="20"/>
        </w:rPr>
        <w:t>activities</w:t>
      </w:r>
      <w:r w:rsidRPr="00E77936">
        <w:rPr>
          <w:rFonts w:ascii="Arial" w:hAnsi="Arial" w:cs="Arial"/>
          <w:sz w:val="20"/>
          <w:szCs w:val="20"/>
        </w:rPr>
        <w:t xml:space="preserve"> with any people or entities related to Key Management Personnel</w:t>
      </w:r>
      <w:r w:rsidRPr="00C94AAD">
        <w:rPr>
          <w:rFonts w:ascii="Arial" w:hAnsi="Arial" w:cs="Arial"/>
          <w:sz w:val="20"/>
          <w:szCs w:val="20"/>
        </w:rPr>
        <w:t>.</w:t>
      </w:r>
    </w:p>
    <w:p w:rsidR="00E77936" w:rsidRPr="00C94AAD" w:rsidRDefault="00E77936" w:rsidP="00652F6C">
      <w:pPr>
        <w:tabs>
          <w:tab w:val="left" w:pos="284"/>
          <w:tab w:val="left" w:pos="5878"/>
          <w:tab w:val="left" w:pos="8548"/>
          <w:tab w:val="left" w:pos="8770"/>
          <w:tab w:val="left" w:pos="10266"/>
          <w:tab w:val="left" w:pos="11702"/>
        </w:tabs>
        <w:rPr>
          <w:rFonts w:ascii="Arial" w:hAnsi="Arial" w:cs="Arial"/>
          <w:b/>
          <w:bCs/>
          <w:sz w:val="20"/>
          <w:szCs w:val="20"/>
        </w:rPr>
      </w:pPr>
      <w:r w:rsidRPr="00E77936">
        <w:rPr>
          <w:rFonts w:ascii="Arial" w:hAnsi="Arial" w:cs="Arial"/>
          <w:b/>
          <w:bCs/>
          <w:sz w:val="20"/>
          <w:szCs w:val="20"/>
        </w:rPr>
        <w:t>Transactions with other Queensland Government-controlled entities</w:t>
      </w:r>
    </w:p>
    <w:p w:rsidR="00E77936" w:rsidRPr="00C94AAD" w:rsidRDefault="00E77936" w:rsidP="00E77936">
      <w:pPr>
        <w:spacing w:after="120"/>
        <w:rPr>
          <w:rFonts w:ascii="Arial" w:hAnsi="Arial" w:cs="Arial"/>
          <w:sz w:val="20"/>
          <w:szCs w:val="20"/>
        </w:rPr>
      </w:pPr>
      <w:r w:rsidRPr="00E77936">
        <w:rPr>
          <w:rFonts w:ascii="Arial" w:hAnsi="Arial" w:cs="Arial"/>
          <w:sz w:val="20"/>
          <w:szCs w:val="20"/>
        </w:rPr>
        <w:t>State Library's primary ongoing source of funding from Government for its services is recurrent grants (Note B1-2) which is provided in cash via the Department of Science, Information Technology and Innovation (</w:t>
      </w:r>
      <w:proofErr w:type="spellStart"/>
      <w:r w:rsidRPr="00E77936">
        <w:rPr>
          <w:rFonts w:ascii="Arial" w:hAnsi="Arial" w:cs="Arial"/>
          <w:sz w:val="20"/>
          <w:szCs w:val="20"/>
        </w:rPr>
        <w:t>DSITI</w:t>
      </w:r>
      <w:proofErr w:type="spellEnd"/>
      <w:r w:rsidRPr="00E77936">
        <w:rPr>
          <w:rFonts w:ascii="Arial" w:hAnsi="Arial" w:cs="Arial"/>
          <w:sz w:val="20"/>
          <w:szCs w:val="20"/>
        </w:rPr>
        <w:t>).</w:t>
      </w:r>
    </w:p>
    <w:p w:rsidR="00E77936" w:rsidRPr="00C94AAD" w:rsidRDefault="00E77936" w:rsidP="00E77936">
      <w:pPr>
        <w:spacing w:after="120"/>
        <w:rPr>
          <w:rFonts w:ascii="Arial" w:hAnsi="Arial" w:cs="Arial"/>
          <w:sz w:val="20"/>
          <w:szCs w:val="20"/>
        </w:rPr>
      </w:pPr>
      <w:r w:rsidRPr="00E77936">
        <w:rPr>
          <w:rFonts w:ascii="Arial" w:hAnsi="Arial" w:cs="Arial"/>
          <w:sz w:val="20"/>
          <w:szCs w:val="20"/>
        </w:rPr>
        <w:t xml:space="preserve">State Library also receives grant funding for specific projects, provided in cash, via the Department of the Premier and Cabinet and </w:t>
      </w:r>
      <w:proofErr w:type="spellStart"/>
      <w:r w:rsidRPr="00E77936">
        <w:rPr>
          <w:rFonts w:ascii="Arial" w:hAnsi="Arial" w:cs="Arial"/>
          <w:sz w:val="20"/>
          <w:szCs w:val="20"/>
        </w:rPr>
        <w:t>DSITI</w:t>
      </w:r>
      <w:proofErr w:type="spellEnd"/>
      <w:r w:rsidRPr="00E77936">
        <w:rPr>
          <w:rFonts w:ascii="Arial" w:hAnsi="Arial" w:cs="Arial"/>
          <w:sz w:val="20"/>
          <w:szCs w:val="20"/>
        </w:rPr>
        <w:t>.</w:t>
      </w:r>
    </w:p>
    <w:p w:rsidR="00E77936" w:rsidRPr="00C94AAD" w:rsidRDefault="00E77936" w:rsidP="00E77936">
      <w:pPr>
        <w:spacing w:after="120"/>
        <w:rPr>
          <w:rFonts w:ascii="Arial" w:hAnsi="Arial" w:cs="Arial"/>
          <w:sz w:val="20"/>
          <w:szCs w:val="20"/>
        </w:rPr>
      </w:pPr>
      <w:r w:rsidRPr="00E77936">
        <w:rPr>
          <w:rFonts w:ascii="Arial" w:hAnsi="Arial" w:cs="Arial"/>
          <w:sz w:val="20"/>
          <w:szCs w:val="20"/>
        </w:rPr>
        <w:t>State Library's South Bank buildings are leased from Arts Queensland, free of charge with the fair value recognised as a non-cash contribution (Notes B1-2 and B2-2). Other buildings and motor vehicles are leased via the Department of Housing and Public Works under commercial arrangements (Note B2-2).</w:t>
      </w:r>
    </w:p>
    <w:p w:rsidR="00E77936" w:rsidRPr="00C94AAD" w:rsidRDefault="00E77936" w:rsidP="00E77936">
      <w:pPr>
        <w:spacing w:after="120"/>
        <w:rPr>
          <w:rFonts w:ascii="Arial" w:hAnsi="Arial" w:cs="Arial"/>
          <w:sz w:val="20"/>
          <w:szCs w:val="20"/>
        </w:rPr>
      </w:pPr>
      <w:r w:rsidRPr="00E77936">
        <w:rPr>
          <w:rFonts w:ascii="Arial" w:hAnsi="Arial" w:cs="Arial"/>
          <w:sz w:val="20"/>
          <w:szCs w:val="20"/>
        </w:rPr>
        <w:t>State Library receives administrative and facilities support on a fee for service basis from the Department of the Premier and Cabinet via the Corporate Administration Agency and Arts Queensland (Note B2-2).</w:t>
      </w:r>
    </w:p>
    <w:p w:rsidR="00E77936" w:rsidRPr="00C94AAD" w:rsidRDefault="00E77936" w:rsidP="00E77936">
      <w:pPr>
        <w:spacing w:after="120"/>
        <w:rPr>
          <w:rFonts w:ascii="Arial" w:hAnsi="Arial" w:cs="Arial"/>
          <w:sz w:val="20"/>
          <w:szCs w:val="20"/>
        </w:rPr>
      </w:pPr>
      <w:r w:rsidRPr="00C94AAD">
        <w:rPr>
          <w:rFonts w:ascii="Arial" w:hAnsi="Arial" w:cs="Arial"/>
          <w:sz w:val="20"/>
          <w:szCs w:val="20"/>
        </w:rPr>
        <w:t xml:space="preserve">The grants provided by </w:t>
      </w:r>
      <w:r w:rsidRPr="00E77936">
        <w:rPr>
          <w:rFonts w:ascii="Arial" w:hAnsi="Arial" w:cs="Arial"/>
          <w:sz w:val="20"/>
          <w:szCs w:val="20"/>
        </w:rPr>
        <w:t>State Library (Note B2-3) are annual grants to the Queensland Local Governments for the provision of Library Services to the people of Queensland.</w:t>
      </w:r>
    </w:p>
    <w:p w:rsidR="00CC5A71" w:rsidRPr="00C94AAD" w:rsidRDefault="00E77936" w:rsidP="00635C39">
      <w:pPr>
        <w:pStyle w:val="ARheading3"/>
        <w:widowControl w:val="0"/>
        <w:tabs>
          <w:tab w:val="left" w:pos="851"/>
        </w:tabs>
        <w:spacing w:before="240" w:after="120"/>
        <w:rPr>
          <w:color w:val="808080"/>
        </w:rPr>
      </w:pPr>
      <w:r w:rsidRPr="00C94AAD">
        <w:rPr>
          <w:color w:val="808080"/>
        </w:rPr>
        <w:t xml:space="preserve">F3 </w:t>
      </w:r>
      <w:r w:rsidR="00CC5A71" w:rsidRPr="00C94AAD">
        <w:rPr>
          <w:color w:val="808080"/>
        </w:rPr>
        <w:t>First year application of new accounting standards or change in policy</w:t>
      </w:r>
    </w:p>
    <w:p w:rsidR="00CC5A71" w:rsidRPr="00C94AAD" w:rsidRDefault="00F41B29" w:rsidP="00652F6C">
      <w:pPr>
        <w:tabs>
          <w:tab w:val="left" w:pos="284"/>
          <w:tab w:val="left" w:pos="5878"/>
          <w:tab w:val="left" w:pos="8548"/>
          <w:tab w:val="left" w:pos="8770"/>
          <w:tab w:val="left" w:pos="10266"/>
          <w:tab w:val="left" w:pos="11702"/>
        </w:tabs>
        <w:rPr>
          <w:rFonts w:ascii="Arial" w:hAnsi="Arial" w:cs="Arial"/>
          <w:b/>
          <w:bCs/>
          <w:sz w:val="20"/>
          <w:szCs w:val="20"/>
        </w:rPr>
      </w:pPr>
      <w:r w:rsidRPr="00C94AAD">
        <w:rPr>
          <w:rFonts w:ascii="Arial" w:hAnsi="Arial" w:cs="Arial"/>
          <w:b/>
          <w:bCs/>
          <w:sz w:val="20"/>
          <w:szCs w:val="20"/>
        </w:rPr>
        <w:t>Changes in Accounting Policy</w:t>
      </w:r>
    </w:p>
    <w:p w:rsidR="00F41B29" w:rsidRPr="00C94AAD" w:rsidRDefault="00797828" w:rsidP="00F41B29">
      <w:pPr>
        <w:spacing w:after="120"/>
        <w:rPr>
          <w:rFonts w:ascii="Arial" w:hAnsi="Arial" w:cs="Arial"/>
          <w:sz w:val="20"/>
          <w:szCs w:val="20"/>
        </w:rPr>
      </w:pPr>
      <w:r w:rsidRPr="00C94AAD">
        <w:rPr>
          <w:rFonts w:ascii="Arial" w:hAnsi="Arial" w:cs="Arial"/>
          <w:sz w:val="20"/>
          <w:szCs w:val="20"/>
        </w:rPr>
        <w:t>State Library did not voluntarily change any accounting policies during the financial year.</w:t>
      </w:r>
    </w:p>
    <w:p w:rsidR="00F41B29" w:rsidRPr="00C94AAD" w:rsidRDefault="00F41B29" w:rsidP="00652F6C">
      <w:pPr>
        <w:tabs>
          <w:tab w:val="left" w:pos="284"/>
          <w:tab w:val="left" w:pos="5878"/>
          <w:tab w:val="left" w:pos="8548"/>
          <w:tab w:val="left" w:pos="8770"/>
          <w:tab w:val="left" w:pos="10266"/>
          <w:tab w:val="left" w:pos="11702"/>
        </w:tabs>
        <w:rPr>
          <w:rFonts w:ascii="Arial" w:hAnsi="Arial" w:cs="Arial"/>
          <w:b/>
          <w:bCs/>
          <w:sz w:val="20"/>
          <w:szCs w:val="20"/>
        </w:rPr>
      </w:pPr>
      <w:r w:rsidRPr="00C94AAD">
        <w:rPr>
          <w:rFonts w:ascii="Arial" w:hAnsi="Arial" w:cs="Arial"/>
          <w:b/>
          <w:bCs/>
          <w:sz w:val="20"/>
          <w:szCs w:val="20"/>
        </w:rPr>
        <w:t>Acc</w:t>
      </w:r>
      <w:r w:rsidR="00E77936" w:rsidRPr="00C94AAD">
        <w:rPr>
          <w:rFonts w:ascii="Arial" w:hAnsi="Arial" w:cs="Arial"/>
          <w:b/>
          <w:bCs/>
          <w:sz w:val="20"/>
          <w:szCs w:val="20"/>
        </w:rPr>
        <w:t>ounting Standards Early Adopted</w:t>
      </w:r>
    </w:p>
    <w:p w:rsidR="00E77936" w:rsidRPr="00C94AAD" w:rsidRDefault="00E77936" w:rsidP="00F41B29">
      <w:pPr>
        <w:spacing w:after="120"/>
        <w:rPr>
          <w:rFonts w:ascii="Arial" w:hAnsi="Arial" w:cs="Arial"/>
          <w:sz w:val="20"/>
          <w:szCs w:val="20"/>
        </w:rPr>
      </w:pPr>
      <w:r w:rsidRPr="00C94AAD">
        <w:rPr>
          <w:rFonts w:ascii="Arial" w:hAnsi="Arial" w:cs="Arial"/>
          <w:sz w:val="20"/>
          <w:szCs w:val="20"/>
        </w:rPr>
        <w:t>N</w:t>
      </w:r>
      <w:r w:rsidR="00F41B29" w:rsidRPr="00C94AAD">
        <w:rPr>
          <w:rFonts w:ascii="Arial" w:hAnsi="Arial" w:cs="Arial"/>
          <w:sz w:val="20"/>
          <w:szCs w:val="20"/>
        </w:rPr>
        <w:t>o Australian Accounting Standards</w:t>
      </w:r>
      <w:r w:rsidRPr="00C94AAD">
        <w:rPr>
          <w:rFonts w:ascii="Arial" w:hAnsi="Arial" w:cs="Arial"/>
          <w:sz w:val="20"/>
          <w:szCs w:val="20"/>
        </w:rPr>
        <w:t xml:space="preserve"> have been early adopted for 2016–17.</w:t>
      </w:r>
    </w:p>
    <w:p w:rsidR="0070726D" w:rsidRPr="00DE475B" w:rsidRDefault="0070726D" w:rsidP="00652F6C">
      <w:pPr>
        <w:rPr>
          <w:rFonts w:ascii="Arial" w:hAnsi="Arial" w:cs="Arial"/>
          <w:b/>
          <w:spacing w:val="-2"/>
          <w:sz w:val="20"/>
          <w:szCs w:val="20"/>
        </w:rPr>
      </w:pPr>
      <w:r w:rsidRPr="00DE475B">
        <w:rPr>
          <w:rFonts w:ascii="Arial" w:hAnsi="Arial" w:cs="Arial"/>
          <w:b/>
          <w:spacing w:val="-2"/>
          <w:sz w:val="20"/>
          <w:szCs w:val="20"/>
        </w:rPr>
        <w:t>Accounting Standards Applied for the First Time in 201</w:t>
      </w:r>
      <w:r w:rsidR="00E77936">
        <w:rPr>
          <w:rFonts w:ascii="Arial" w:hAnsi="Arial" w:cs="Arial"/>
          <w:b/>
          <w:spacing w:val="-2"/>
          <w:sz w:val="20"/>
          <w:szCs w:val="20"/>
        </w:rPr>
        <w:t>6–17</w:t>
      </w:r>
    </w:p>
    <w:p w:rsidR="00EE0721" w:rsidRPr="00C94AAD" w:rsidRDefault="00E77936" w:rsidP="00F41B29">
      <w:pPr>
        <w:spacing w:after="120"/>
        <w:rPr>
          <w:rFonts w:ascii="Arial" w:hAnsi="Arial" w:cs="Arial"/>
          <w:sz w:val="20"/>
          <w:szCs w:val="20"/>
        </w:rPr>
      </w:pPr>
      <w:r w:rsidRPr="00C94AAD">
        <w:rPr>
          <w:rFonts w:ascii="Arial" w:hAnsi="Arial" w:cs="Arial"/>
          <w:sz w:val="20"/>
          <w:szCs w:val="20"/>
        </w:rPr>
        <w:t>The only Australian Accounting Standard that became effective for the first time in 2016</w:t>
      </w:r>
      <w:r w:rsidR="00C94AAD" w:rsidRPr="00C94AAD">
        <w:rPr>
          <w:rFonts w:ascii="Arial" w:hAnsi="Arial" w:cs="Arial"/>
          <w:sz w:val="20"/>
          <w:szCs w:val="20"/>
        </w:rPr>
        <w:t>–</w:t>
      </w:r>
      <w:r w:rsidRPr="00C94AAD">
        <w:rPr>
          <w:rFonts w:ascii="Arial" w:hAnsi="Arial" w:cs="Arial"/>
          <w:sz w:val="20"/>
          <w:szCs w:val="20"/>
        </w:rPr>
        <w:t xml:space="preserve">17, and materially impacted on this financial report, is </w:t>
      </w:r>
      <w:proofErr w:type="spellStart"/>
      <w:r w:rsidRPr="00C94AAD">
        <w:rPr>
          <w:rFonts w:ascii="Arial" w:hAnsi="Arial" w:cs="Arial"/>
          <w:sz w:val="20"/>
          <w:szCs w:val="20"/>
        </w:rPr>
        <w:t>AASB</w:t>
      </w:r>
      <w:proofErr w:type="spellEnd"/>
      <w:r w:rsidRPr="00C94AAD">
        <w:rPr>
          <w:rFonts w:ascii="Arial" w:hAnsi="Arial" w:cs="Arial"/>
          <w:sz w:val="20"/>
          <w:szCs w:val="20"/>
        </w:rPr>
        <w:t xml:space="preserve"> 124 </w:t>
      </w:r>
      <w:r w:rsidRPr="002451A4">
        <w:rPr>
          <w:rFonts w:ascii="Arial" w:hAnsi="Arial" w:cs="Arial"/>
          <w:i/>
          <w:sz w:val="20"/>
          <w:szCs w:val="20"/>
        </w:rPr>
        <w:t>Related Party Disclosures</w:t>
      </w:r>
      <w:r w:rsidRPr="00C94AAD">
        <w:rPr>
          <w:rFonts w:ascii="Arial" w:hAnsi="Arial" w:cs="Arial"/>
          <w:sz w:val="20"/>
          <w:szCs w:val="20"/>
        </w:rPr>
        <w:t>. This standard requires note disclosures about key management personnel (</w:t>
      </w:r>
      <w:proofErr w:type="spellStart"/>
      <w:r w:rsidRPr="00C94AAD">
        <w:rPr>
          <w:rFonts w:ascii="Arial" w:hAnsi="Arial" w:cs="Arial"/>
          <w:sz w:val="20"/>
          <w:szCs w:val="20"/>
        </w:rPr>
        <w:t>KMP</w:t>
      </w:r>
      <w:proofErr w:type="spellEnd"/>
      <w:r w:rsidRPr="00C94AAD">
        <w:rPr>
          <w:rFonts w:ascii="Arial" w:hAnsi="Arial" w:cs="Arial"/>
          <w:sz w:val="20"/>
          <w:szCs w:val="20"/>
        </w:rPr>
        <w:t xml:space="preserve">) remuneration expenses and other related party transactions, and does not impact on financial statement line items. As Queensland Treasury already required disclosure of </w:t>
      </w:r>
      <w:proofErr w:type="spellStart"/>
      <w:r w:rsidRPr="00C94AAD">
        <w:rPr>
          <w:rFonts w:ascii="Arial" w:hAnsi="Arial" w:cs="Arial"/>
          <w:sz w:val="20"/>
          <w:szCs w:val="20"/>
        </w:rPr>
        <w:t>KMP</w:t>
      </w:r>
      <w:proofErr w:type="spellEnd"/>
      <w:r w:rsidRPr="00C94AAD">
        <w:rPr>
          <w:rFonts w:ascii="Arial" w:hAnsi="Arial" w:cs="Arial"/>
          <w:sz w:val="20"/>
          <w:szCs w:val="20"/>
        </w:rPr>
        <w:t xml:space="preserve"> remuneration expenses, there was minimal impact for the Library Board's disclosures compared to 2015</w:t>
      </w:r>
      <w:r w:rsidR="00C94AAD" w:rsidRPr="00C94AAD">
        <w:rPr>
          <w:rFonts w:ascii="Arial" w:hAnsi="Arial" w:cs="Arial"/>
          <w:sz w:val="20"/>
          <w:szCs w:val="20"/>
        </w:rPr>
        <w:t>–</w:t>
      </w:r>
      <w:r w:rsidRPr="00C94AAD">
        <w:rPr>
          <w:rFonts w:ascii="Arial" w:hAnsi="Arial" w:cs="Arial"/>
          <w:sz w:val="20"/>
          <w:szCs w:val="20"/>
        </w:rPr>
        <w:t>16 (refer to Note F1). Material related party transactions for 2016</w:t>
      </w:r>
      <w:r w:rsidR="00C94AAD" w:rsidRPr="00C94AAD">
        <w:rPr>
          <w:rFonts w:ascii="Arial" w:hAnsi="Arial" w:cs="Arial"/>
          <w:sz w:val="20"/>
          <w:szCs w:val="20"/>
        </w:rPr>
        <w:t>–</w:t>
      </w:r>
      <w:r w:rsidRPr="00C94AAD">
        <w:rPr>
          <w:rFonts w:ascii="Arial" w:hAnsi="Arial" w:cs="Arial"/>
          <w:sz w:val="20"/>
          <w:szCs w:val="20"/>
        </w:rPr>
        <w:t>17 are disclosed in Note F2. No comparative information</w:t>
      </w:r>
      <w:r w:rsidR="00C94AAD" w:rsidRPr="00C94AAD">
        <w:rPr>
          <w:rFonts w:ascii="Arial" w:hAnsi="Arial" w:cs="Arial"/>
          <w:sz w:val="20"/>
          <w:szCs w:val="20"/>
        </w:rPr>
        <w:t xml:space="preserve"> is required in respect of 2015–</w:t>
      </w:r>
      <w:r w:rsidRPr="00C94AAD">
        <w:rPr>
          <w:rFonts w:ascii="Arial" w:hAnsi="Arial" w:cs="Arial"/>
          <w:sz w:val="20"/>
          <w:szCs w:val="20"/>
        </w:rPr>
        <w:t>16.</w:t>
      </w:r>
    </w:p>
    <w:p w:rsidR="00C94AAD" w:rsidRPr="00DE475B" w:rsidRDefault="00C94AAD" w:rsidP="00F41B29">
      <w:pPr>
        <w:spacing w:after="120"/>
        <w:rPr>
          <w:rFonts w:ascii="Arial" w:hAnsi="Arial" w:cs="Arial"/>
          <w:spacing w:val="-2"/>
          <w:sz w:val="20"/>
          <w:szCs w:val="20"/>
        </w:rPr>
      </w:pPr>
    </w:p>
    <w:p w:rsidR="0070726D" w:rsidRPr="00DE475B" w:rsidRDefault="00C94AAD" w:rsidP="0070726D">
      <w:pPr>
        <w:pStyle w:val="ARheading3"/>
        <w:widowControl w:val="0"/>
        <w:tabs>
          <w:tab w:val="left" w:pos="851"/>
        </w:tabs>
        <w:spacing w:after="120"/>
        <w:rPr>
          <w:color w:val="808080"/>
        </w:rPr>
      </w:pPr>
      <w:proofErr w:type="gramStart"/>
      <w:r>
        <w:rPr>
          <w:color w:val="808080"/>
        </w:rPr>
        <w:t>F4</w:t>
      </w:r>
      <w:r w:rsidR="0070726D" w:rsidRPr="00DE475B">
        <w:rPr>
          <w:color w:val="808080"/>
        </w:rPr>
        <w:t xml:space="preserve">  Taxation</w:t>
      </w:r>
      <w:proofErr w:type="gramEnd"/>
    </w:p>
    <w:p w:rsidR="003B2FC7" w:rsidRPr="00DE475B" w:rsidRDefault="0070726D" w:rsidP="000922DA">
      <w:pPr>
        <w:spacing w:after="120"/>
        <w:rPr>
          <w:rFonts w:ascii="Arial" w:hAnsi="Arial" w:cs="Arial"/>
          <w:b/>
          <w:sz w:val="20"/>
          <w:szCs w:val="20"/>
        </w:rPr>
      </w:pPr>
      <w:r w:rsidRPr="00DE475B">
        <w:rPr>
          <w:rFonts w:ascii="Arial" w:hAnsi="Arial" w:cs="Arial"/>
          <w:spacing w:val="-2"/>
          <w:sz w:val="20"/>
          <w:szCs w:val="20"/>
        </w:rPr>
        <w:t>The Library Board is a State body as defined under the Income Tax Assessment Act 1936 and is exempt from Commonwealth taxation with the exception of Fringe Benefits Tax (</w:t>
      </w:r>
      <w:proofErr w:type="spellStart"/>
      <w:r w:rsidRPr="00DE475B">
        <w:rPr>
          <w:rFonts w:ascii="Arial" w:hAnsi="Arial" w:cs="Arial"/>
          <w:spacing w:val="-2"/>
          <w:sz w:val="20"/>
          <w:szCs w:val="20"/>
        </w:rPr>
        <w:t>FBT</w:t>
      </w:r>
      <w:proofErr w:type="spellEnd"/>
      <w:r w:rsidRPr="00DE475B">
        <w:rPr>
          <w:rFonts w:ascii="Arial" w:hAnsi="Arial" w:cs="Arial"/>
          <w:spacing w:val="-2"/>
          <w:sz w:val="20"/>
          <w:szCs w:val="20"/>
        </w:rPr>
        <w:t xml:space="preserve">) and Goods and Services Tax (GST). </w:t>
      </w:r>
      <w:proofErr w:type="spellStart"/>
      <w:r w:rsidRPr="00DE475B">
        <w:rPr>
          <w:rFonts w:ascii="Arial" w:hAnsi="Arial" w:cs="Arial"/>
          <w:spacing w:val="-2"/>
          <w:sz w:val="20"/>
          <w:szCs w:val="20"/>
        </w:rPr>
        <w:t>FBT</w:t>
      </w:r>
      <w:proofErr w:type="spellEnd"/>
      <w:r w:rsidRPr="00DE475B">
        <w:rPr>
          <w:rFonts w:ascii="Arial" w:hAnsi="Arial" w:cs="Arial"/>
          <w:spacing w:val="-2"/>
          <w:sz w:val="20"/>
          <w:szCs w:val="20"/>
        </w:rPr>
        <w:t xml:space="preserve"> and GST are the only Commonwealth taxes accounted for by the Library Board. The Library Board is a Deductible Gift Recipient for taxation purposes.</w:t>
      </w:r>
    </w:p>
    <w:p w:rsidR="00D346B4" w:rsidRPr="00DE475B" w:rsidRDefault="00D346B4">
      <w:pPr>
        <w:pStyle w:val="ARHeading1"/>
        <w:pageBreakBefore/>
        <w:rPr>
          <w:sz w:val="20"/>
          <w:szCs w:val="20"/>
        </w:rPr>
      </w:pPr>
      <w:r w:rsidRPr="00DE475B">
        <w:lastRenderedPageBreak/>
        <w:t xml:space="preserve">Certificate of </w:t>
      </w:r>
      <w:proofErr w:type="gramStart"/>
      <w:r w:rsidRPr="00DE475B">
        <w:t>The</w:t>
      </w:r>
      <w:proofErr w:type="gramEnd"/>
      <w:r w:rsidRPr="00DE475B">
        <w:t xml:space="preserve"> Library Board Of Queensland</w:t>
      </w:r>
    </w:p>
    <w:p w:rsidR="00D346B4" w:rsidRPr="00DE475B" w:rsidRDefault="00D346B4">
      <w:pPr>
        <w:tabs>
          <w:tab w:val="left" w:pos="3587"/>
          <w:tab w:val="left" w:pos="3994"/>
          <w:tab w:val="left" w:pos="4401"/>
          <w:tab w:val="left" w:pos="4623"/>
          <w:tab w:val="left" w:pos="4859"/>
          <w:tab w:val="left" w:pos="8324"/>
          <w:tab w:val="left" w:pos="8731"/>
          <w:tab w:val="left" w:pos="9138"/>
        </w:tabs>
        <w:ind w:left="108"/>
        <w:rPr>
          <w:rFonts w:ascii="Arial" w:hAnsi="Arial" w:cs="Arial"/>
          <w:sz w:val="20"/>
          <w:szCs w:val="20"/>
        </w:rPr>
      </w:pPr>
    </w:p>
    <w:p w:rsidR="00D346B4" w:rsidRPr="00DE475B" w:rsidRDefault="00D346B4">
      <w:pPr>
        <w:tabs>
          <w:tab w:val="left" w:pos="3587"/>
          <w:tab w:val="left" w:pos="3994"/>
          <w:tab w:val="left" w:pos="4401"/>
          <w:tab w:val="left" w:pos="4623"/>
          <w:tab w:val="left" w:pos="4859"/>
          <w:tab w:val="left" w:pos="8324"/>
          <w:tab w:val="left" w:pos="8731"/>
          <w:tab w:val="left" w:pos="9138"/>
        </w:tabs>
        <w:ind w:left="108"/>
        <w:rPr>
          <w:rFonts w:ascii="Arial" w:hAnsi="Arial" w:cs="Arial"/>
          <w:sz w:val="20"/>
          <w:szCs w:val="20"/>
        </w:rPr>
      </w:pP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p>
    <w:p w:rsidR="00D346B4" w:rsidRPr="00DE475B" w:rsidRDefault="00D346B4">
      <w:pPr>
        <w:spacing w:after="120"/>
        <w:rPr>
          <w:rFonts w:ascii="Arial" w:hAnsi="Arial" w:cs="Arial"/>
          <w:sz w:val="20"/>
          <w:szCs w:val="20"/>
        </w:rPr>
      </w:pPr>
      <w:r w:rsidRPr="00DE475B">
        <w:rPr>
          <w:rFonts w:ascii="Arial" w:hAnsi="Arial" w:cs="Arial"/>
          <w:sz w:val="20"/>
          <w:szCs w:val="20"/>
        </w:rPr>
        <w:t xml:space="preserve">These general purpose financial statements have been prepared pursuant to section 62(1) of the </w:t>
      </w:r>
      <w:r w:rsidRPr="00DE475B">
        <w:rPr>
          <w:rFonts w:ascii="Arial" w:hAnsi="Arial" w:cs="Arial"/>
          <w:i/>
          <w:iCs/>
          <w:sz w:val="20"/>
          <w:szCs w:val="20"/>
        </w:rPr>
        <w:t xml:space="preserve">Financial Accountability Act 2009 </w:t>
      </w:r>
      <w:r w:rsidRPr="00DE475B">
        <w:rPr>
          <w:rFonts w:ascii="Arial" w:hAnsi="Arial" w:cs="Arial"/>
          <w:sz w:val="20"/>
          <w:szCs w:val="20"/>
        </w:rPr>
        <w:t>(the Act), section</w:t>
      </w:r>
      <w:r w:rsidR="00C94AAD">
        <w:rPr>
          <w:rFonts w:ascii="Arial" w:hAnsi="Arial" w:cs="Arial"/>
          <w:sz w:val="20"/>
          <w:szCs w:val="20"/>
        </w:rPr>
        <w:t xml:space="preserve"> 43</w:t>
      </w:r>
      <w:r w:rsidRPr="00DE475B">
        <w:rPr>
          <w:rFonts w:ascii="Arial" w:hAnsi="Arial" w:cs="Arial"/>
          <w:sz w:val="20"/>
          <w:szCs w:val="20"/>
        </w:rPr>
        <w:t xml:space="preserve"> of the </w:t>
      </w:r>
      <w:r w:rsidRPr="00DE475B">
        <w:rPr>
          <w:rFonts w:ascii="Arial" w:hAnsi="Arial" w:cs="Arial"/>
          <w:i/>
          <w:iCs/>
          <w:sz w:val="20"/>
          <w:szCs w:val="20"/>
        </w:rPr>
        <w:t xml:space="preserve">Financial and Performance Management Standard 2009 </w:t>
      </w:r>
      <w:r w:rsidRPr="00DE475B">
        <w:rPr>
          <w:rFonts w:ascii="Arial" w:hAnsi="Arial" w:cs="Arial"/>
          <w:sz w:val="20"/>
          <w:szCs w:val="20"/>
        </w:rPr>
        <w:t>and other prescribed requirements.  In accordance with section 62(1</w:t>
      </w:r>
      <w:proofErr w:type="gramStart"/>
      <w:r w:rsidRPr="00DE475B">
        <w:rPr>
          <w:rFonts w:ascii="Arial" w:hAnsi="Arial" w:cs="Arial"/>
          <w:sz w:val="20"/>
          <w:szCs w:val="20"/>
        </w:rPr>
        <w:t>)(</w:t>
      </w:r>
      <w:proofErr w:type="gramEnd"/>
      <w:r w:rsidRPr="00DE475B">
        <w:rPr>
          <w:rFonts w:ascii="Arial" w:hAnsi="Arial" w:cs="Arial"/>
          <w:sz w:val="20"/>
          <w:szCs w:val="20"/>
        </w:rPr>
        <w:t>b) of the Act we certify that in our opinion:</w:t>
      </w:r>
    </w:p>
    <w:p w:rsidR="00D346B4" w:rsidRPr="00DE475B" w:rsidRDefault="00D256A4" w:rsidP="00D256A4">
      <w:pPr>
        <w:tabs>
          <w:tab w:val="left" w:pos="426"/>
        </w:tabs>
        <w:spacing w:after="120"/>
        <w:ind w:left="426" w:hanging="426"/>
        <w:rPr>
          <w:rFonts w:ascii="Arial" w:hAnsi="Arial" w:cs="Arial"/>
          <w:sz w:val="20"/>
          <w:szCs w:val="20"/>
        </w:rPr>
      </w:pPr>
      <w:r w:rsidRPr="00DE475B">
        <w:rPr>
          <w:rFonts w:ascii="Arial" w:hAnsi="Arial" w:cs="Arial"/>
          <w:sz w:val="20"/>
          <w:szCs w:val="20"/>
        </w:rPr>
        <w:t>(a)</w:t>
      </w:r>
      <w:r w:rsidRPr="00DE475B">
        <w:rPr>
          <w:rFonts w:ascii="Arial" w:hAnsi="Arial" w:cs="Arial"/>
          <w:sz w:val="20"/>
          <w:szCs w:val="20"/>
        </w:rPr>
        <w:tab/>
      </w:r>
      <w:proofErr w:type="gramStart"/>
      <w:r w:rsidR="00D346B4" w:rsidRPr="00DE475B">
        <w:rPr>
          <w:rFonts w:ascii="Arial" w:hAnsi="Arial" w:cs="Arial"/>
          <w:sz w:val="20"/>
          <w:szCs w:val="20"/>
        </w:rPr>
        <w:t>the</w:t>
      </w:r>
      <w:proofErr w:type="gramEnd"/>
      <w:r w:rsidR="00D346B4" w:rsidRPr="00DE475B">
        <w:rPr>
          <w:rFonts w:ascii="Arial" w:hAnsi="Arial" w:cs="Arial"/>
          <w:sz w:val="20"/>
          <w:szCs w:val="20"/>
        </w:rPr>
        <w:t xml:space="preserve"> prescribed requirements for the establishment and keeping the accounts have been complied with in all material respects; and</w:t>
      </w:r>
    </w:p>
    <w:p w:rsidR="00D346B4" w:rsidRPr="00DE475B" w:rsidRDefault="00D346B4" w:rsidP="00D256A4">
      <w:pPr>
        <w:tabs>
          <w:tab w:val="left" w:pos="284"/>
        </w:tabs>
        <w:spacing w:after="120"/>
        <w:ind w:left="426" w:hanging="426"/>
        <w:rPr>
          <w:rFonts w:ascii="Arial" w:hAnsi="Arial" w:cs="Arial"/>
          <w:sz w:val="20"/>
          <w:szCs w:val="20"/>
        </w:rPr>
      </w:pPr>
      <w:r w:rsidRPr="00DE475B">
        <w:rPr>
          <w:rFonts w:ascii="Arial" w:hAnsi="Arial" w:cs="Arial"/>
          <w:sz w:val="20"/>
          <w:szCs w:val="20"/>
        </w:rPr>
        <w:t>(b)</w:t>
      </w:r>
      <w:r w:rsidRPr="00DE475B">
        <w:rPr>
          <w:rFonts w:ascii="Arial" w:hAnsi="Arial" w:cs="Arial"/>
          <w:sz w:val="20"/>
          <w:szCs w:val="20"/>
        </w:rPr>
        <w:tab/>
      </w:r>
      <w:r w:rsidR="00D256A4" w:rsidRPr="00DE475B">
        <w:rPr>
          <w:rFonts w:ascii="Arial" w:hAnsi="Arial" w:cs="Arial"/>
          <w:sz w:val="20"/>
          <w:szCs w:val="20"/>
        </w:rPr>
        <w:tab/>
      </w:r>
      <w:r w:rsidRPr="00DE475B">
        <w:rPr>
          <w:rFonts w:ascii="Arial" w:hAnsi="Arial" w:cs="Arial"/>
          <w:sz w:val="20"/>
          <w:szCs w:val="20"/>
        </w:rPr>
        <w:t>the statements have been drawn up to present a true and fair view, in accordance with prescribed accounting standards, of the transactions of the Library Board and the consolidated entity for the financial year ended 30 June 201</w:t>
      </w:r>
      <w:r w:rsidR="00C94AAD">
        <w:rPr>
          <w:rFonts w:ascii="Arial" w:hAnsi="Arial" w:cs="Arial"/>
          <w:sz w:val="20"/>
          <w:szCs w:val="20"/>
        </w:rPr>
        <w:t>7</w:t>
      </w:r>
      <w:r w:rsidRPr="00DE475B">
        <w:rPr>
          <w:rFonts w:ascii="Arial" w:hAnsi="Arial" w:cs="Arial"/>
          <w:sz w:val="20"/>
          <w:szCs w:val="20"/>
        </w:rPr>
        <w:t>, and of the financial position of the entity at the en</w:t>
      </w:r>
      <w:r w:rsidR="00C94AAD">
        <w:rPr>
          <w:rFonts w:ascii="Arial" w:hAnsi="Arial" w:cs="Arial"/>
          <w:sz w:val="20"/>
          <w:szCs w:val="20"/>
        </w:rPr>
        <w:t>d of that year; and</w:t>
      </w:r>
    </w:p>
    <w:p w:rsidR="001F4BFA" w:rsidRPr="00DE475B" w:rsidRDefault="001F4BFA" w:rsidP="00D256A4">
      <w:pPr>
        <w:tabs>
          <w:tab w:val="left" w:pos="426"/>
        </w:tabs>
        <w:spacing w:after="120"/>
        <w:ind w:left="426" w:hanging="426"/>
        <w:rPr>
          <w:rFonts w:ascii="Arial" w:hAnsi="Arial" w:cs="Arial"/>
          <w:sz w:val="20"/>
          <w:szCs w:val="20"/>
        </w:rPr>
      </w:pPr>
      <w:r w:rsidRPr="00DE475B">
        <w:rPr>
          <w:rFonts w:ascii="Arial" w:hAnsi="Arial" w:cs="Arial"/>
          <w:sz w:val="20"/>
          <w:szCs w:val="20"/>
        </w:rPr>
        <w:t xml:space="preserve">(c) </w:t>
      </w:r>
      <w:r w:rsidR="00D256A4" w:rsidRPr="00DE475B">
        <w:rPr>
          <w:rFonts w:ascii="Arial" w:hAnsi="Arial" w:cs="Arial"/>
          <w:sz w:val="20"/>
          <w:szCs w:val="20"/>
        </w:rPr>
        <w:tab/>
      </w:r>
      <w:proofErr w:type="gramStart"/>
      <w:r w:rsidRPr="00DE475B">
        <w:rPr>
          <w:rFonts w:ascii="Arial" w:hAnsi="Arial" w:cs="Arial"/>
          <w:sz w:val="20"/>
          <w:szCs w:val="20"/>
        </w:rPr>
        <w:t>these</w:t>
      </w:r>
      <w:proofErr w:type="gramEnd"/>
      <w:r w:rsidRPr="00DE475B">
        <w:rPr>
          <w:rFonts w:ascii="Arial" w:hAnsi="Arial" w:cs="Arial"/>
          <w:sz w:val="20"/>
          <w:szCs w:val="20"/>
        </w:rPr>
        <w:t xml:space="preserve"> assertions are based on an appropriate system of internal controls and risk management processes being effective, in all material respects, with respect to financial reporting throughout the reporting period.</w:t>
      </w:r>
    </w:p>
    <w:p w:rsidR="00D346B4" w:rsidRPr="00DE475B" w:rsidRDefault="00D346B4">
      <w:pPr>
        <w:tabs>
          <w:tab w:val="left" w:pos="284"/>
        </w:tabs>
        <w:spacing w:after="120"/>
        <w:rPr>
          <w:rFonts w:ascii="Arial" w:hAnsi="Arial" w:cs="Arial"/>
          <w:sz w:val="20"/>
          <w:szCs w:val="20"/>
        </w:rPr>
      </w:pPr>
    </w:p>
    <w:p w:rsidR="00D346B4" w:rsidRPr="00DE475B" w:rsidRDefault="00D346B4">
      <w:pPr>
        <w:tabs>
          <w:tab w:val="left" w:pos="284"/>
        </w:tabs>
        <w:spacing w:after="120"/>
        <w:rPr>
          <w:rFonts w:ascii="Arial" w:hAnsi="Arial" w:cs="Arial"/>
          <w:sz w:val="20"/>
          <w:szCs w:val="20"/>
        </w:rPr>
      </w:pPr>
    </w:p>
    <w:p w:rsidR="0080182D" w:rsidRPr="00DE475B" w:rsidRDefault="00BA0CBA" w:rsidP="0080182D">
      <w:pPr>
        <w:spacing w:after="120"/>
        <w:rPr>
          <w:rFonts w:ascii="Arial" w:hAnsi="Arial" w:cs="Arial"/>
          <w:sz w:val="22"/>
          <w:szCs w:val="22"/>
        </w:rPr>
      </w:pPr>
      <w:r>
        <w:rPr>
          <w:rFonts w:ascii="Arial" w:hAnsi="Arial" w:cs="Arial"/>
          <w:noProof/>
          <w:sz w:val="22"/>
          <w:szCs w:val="22"/>
          <w:lang w:eastAsia="en-AU"/>
        </w:rPr>
        <w:drawing>
          <wp:inline distT="0" distB="0" distL="0" distR="0">
            <wp:extent cx="1815152" cy="832051"/>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Griffith-Sign-HiRes.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824988" cy="836560"/>
                    </a:xfrm>
                    <a:prstGeom prst="rect">
                      <a:avLst/>
                    </a:prstGeom>
                  </pic:spPr>
                </pic:pic>
              </a:graphicData>
            </a:graphic>
          </wp:inline>
        </w:drawing>
      </w:r>
      <w:r w:rsidR="0080182D" w:rsidRPr="00DE475B">
        <w:rPr>
          <w:rFonts w:ascii="Arial" w:hAnsi="Arial" w:cs="Arial"/>
          <w:sz w:val="22"/>
          <w:szCs w:val="22"/>
        </w:rPr>
        <w:tab/>
      </w:r>
      <w:r>
        <w:rPr>
          <w:rFonts w:ascii="Arial" w:hAnsi="Arial" w:cs="Arial"/>
          <w:sz w:val="22"/>
          <w:szCs w:val="22"/>
        </w:rPr>
        <w:t xml:space="preserve">             </w:t>
      </w:r>
      <w:r w:rsidR="0080182D" w:rsidRPr="00DE475B">
        <w:rPr>
          <w:rFonts w:ascii="Arial" w:hAnsi="Arial" w:cs="Arial"/>
          <w:sz w:val="22"/>
          <w:szCs w:val="22"/>
        </w:rPr>
        <w:tab/>
      </w:r>
      <w:r>
        <w:rPr>
          <w:rFonts w:ascii="Arial" w:hAnsi="Arial" w:cs="Arial"/>
          <w:noProof/>
          <w:sz w:val="22"/>
          <w:szCs w:val="22"/>
          <w:lang w:eastAsia="en-AU"/>
        </w:rPr>
        <w:drawing>
          <wp:inline distT="0" distB="0" distL="0" distR="0">
            <wp:extent cx="2217761" cy="73424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kiMcDonald-Sign-HiRes.pn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2217761" cy="734246"/>
                    </a:xfrm>
                    <a:prstGeom prst="rect">
                      <a:avLst/>
                    </a:prstGeom>
                  </pic:spPr>
                </pic:pic>
              </a:graphicData>
            </a:graphic>
          </wp:inline>
        </w:drawing>
      </w:r>
      <w:r w:rsidR="0080182D" w:rsidRPr="00DE475B">
        <w:rPr>
          <w:rFonts w:ascii="Arial" w:hAnsi="Arial" w:cs="Arial"/>
          <w:sz w:val="22"/>
          <w:szCs w:val="22"/>
        </w:rPr>
        <w:tab/>
      </w:r>
      <w:r w:rsidR="0080182D" w:rsidRPr="00DE475B">
        <w:rPr>
          <w:rFonts w:ascii="Arial" w:hAnsi="Arial" w:cs="Arial"/>
          <w:sz w:val="22"/>
          <w:szCs w:val="22"/>
        </w:rPr>
        <w:tab/>
      </w:r>
      <w:r w:rsidR="0080182D" w:rsidRPr="00DE475B">
        <w:rPr>
          <w:rFonts w:ascii="Arial" w:hAnsi="Arial" w:cs="Arial"/>
          <w:sz w:val="22"/>
          <w:szCs w:val="22"/>
        </w:rPr>
        <w:tab/>
      </w:r>
      <w:r w:rsidR="0080182D" w:rsidRPr="00DE475B">
        <w:rPr>
          <w:rFonts w:ascii="Arial" w:hAnsi="Arial" w:cs="Arial"/>
          <w:sz w:val="22"/>
          <w:szCs w:val="22"/>
        </w:rPr>
        <w:tab/>
      </w:r>
    </w:p>
    <w:p w:rsidR="00D346B4" w:rsidRPr="00DE475B" w:rsidRDefault="002E29CA" w:rsidP="002E29CA">
      <w:pPr>
        <w:tabs>
          <w:tab w:val="left" w:pos="284"/>
        </w:tabs>
        <w:spacing w:after="120"/>
        <w:rPr>
          <w:rFonts w:ascii="Arial" w:hAnsi="Arial" w:cs="Arial"/>
          <w:sz w:val="20"/>
          <w:szCs w:val="20"/>
        </w:rPr>
      </w:pPr>
      <w:r w:rsidRPr="00DE475B">
        <w:rPr>
          <w:rFonts w:ascii="Arial" w:hAnsi="Arial" w:cs="Arial"/>
          <w:sz w:val="20"/>
          <w:szCs w:val="20"/>
        </w:rPr>
        <w:t xml:space="preserve">  </w:t>
      </w:r>
      <w:r w:rsidR="00D346B4" w:rsidRPr="00DE475B">
        <w:rPr>
          <w:rFonts w:ascii="Arial" w:hAnsi="Arial" w:cs="Arial"/>
          <w:b/>
          <w:bCs/>
          <w:sz w:val="20"/>
          <w:szCs w:val="20"/>
        </w:rPr>
        <w:t xml:space="preserve">Professor </w:t>
      </w:r>
      <w:r w:rsidR="0080182D" w:rsidRPr="00DE475B">
        <w:rPr>
          <w:rFonts w:ascii="Arial" w:hAnsi="Arial" w:cs="Arial"/>
          <w:b/>
          <w:bCs/>
          <w:sz w:val="20"/>
          <w:szCs w:val="20"/>
        </w:rPr>
        <w:t>Andrew Griffith</w:t>
      </w:r>
      <w:r w:rsidR="00FE0992">
        <w:rPr>
          <w:rFonts w:ascii="Arial" w:hAnsi="Arial" w:cs="Arial"/>
          <w:b/>
          <w:bCs/>
          <w:sz w:val="20"/>
          <w:szCs w:val="20"/>
        </w:rPr>
        <w:t>s</w:t>
      </w:r>
      <w:r w:rsidR="00D346B4" w:rsidRPr="00DE475B">
        <w:rPr>
          <w:rFonts w:ascii="Arial" w:hAnsi="Arial" w:cs="Arial"/>
          <w:b/>
          <w:bCs/>
          <w:sz w:val="20"/>
          <w:szCs w:val="20"/>
        </w:rPr>
        <w:tab/>
      </w:r>
      <w:r w:rsidR="00D346B4" w:rsidRPr="00DE475B">
        <w:rPr>
          <w:rFonts w:ascii="Arial" w:hAnsi="Arial" w:cs="Arial"/>
          <w:sz w:val="20"/>
          <w:szCs w:val="20"/>
        </w:rPr>
        <w:tab/>
      </w:r>
      <w:r w:rsidR="00D346B4" w:rsidRPr="00DE475B">
        <w:rPr>
          <w:rFonts w:ascii="Arial" w:hAnsi="Arial" w:cs="Arial"/>
          <w:sz w:val="20"/>
          <w:szCs w:val="20"/>
        </w:rPr>
        <w:tab/>
      </w:r>
      <w:r w:rsidR="0080182D" w:rsidRPr="00DE475B">
        <w:rPr>
          <w:rFonts w:ascii="Arial" w:hAnsi="Arial" w:cs="Arial"/>
          <w:sz w:val="20"/>
          <w:szCs w:val="20"/>
        </w:rPr>
        <w:t xml:space="preserve">          </w:t>
      </w:r>
      <w:r w:rsidR="0080182D" w:rsidRPr="00DE475B">
        <w:rPr>
          <w:rFonts w:ascii="Arial" w:hAnsi="Arial" w:cs="Arial"/>
          <w:b/>
          <w:bCs/>
          <w:sz w:val="20"/>
          <w:szCs w:val="20"/>
        </w:rPr>
        <w:t>Vicki McDonald</w:t>
      </w:r>
    </w:p>
    <w:p w:rsidR="00D346B4" w:rsidRPr="00DE475B" w:rsidRDefault="00D346B4">
      <w:pPr>
        <w:tabs>
          <w:tab w:val="left" w:pos="4401"/>
          <w:tab w:val="left" w:pos="4623"/>
          <w:tab w:val="left" w:pos="4845"/>
          <w:tab w:val="left" w:pos="8731"/>
          <w:tab w:val="left" w:pos="9138"/>
        </w:tabs>
        <w:ind w:left="108"/>
        <w:rPr>
          <w:rFonts w:ascii="Arial" w:hAnsi="Arial" w:cs="Arial"/>
          <w:sz w:val="20"/>
          <w:szCs w:val="20"/>
        </w:rPr>
      </w:pPr>
      <w:r w:rsidRPr="00DE475B">
        <w:rPr>
          <w:rFonts w:ascii="Arial" w:hAnsi="Arial" w:cs="Arial"/>
          <w:sz w:val="20"/>
          <w:szCs w:val="20"/>
        </w:rPr>
        <w:t>Chairperson</w:t>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t>State Librarian</w:t>
      </w:r>
      <w:r w:rsidR="00826E5F" w:rsidRPr="00DE475B">
        <w:rPr>
          <w:rFonts w:ascii="Arial" w:hAnsi="Arial" w:cs="Arial"/>
          <w:sz w:val="20"/>
          <w:szCs w:val="20"/>
        </w:rPr>
        <w:t xml:space="preserve"> and CEO</w:t>
      </w:r>
      <w:r w:rsidRPr="00DE475B">
        <w:rPr>
          <w:rFonts w:ascii="Arial" w:hAnsi="Arial" w:cs="Arial"/>
          <w:sz w:val="20"/>
          <w:szCs w:val="20"/>
        </w:rPr>
        <w:tab/>
      </w:r>
      <w:r w:rsidRPr="00DE475B">
        <w:rPr>
          <w:rFonts w:ascii="Arial" w:hAnsi="Arial" w:cs="Arial"/>
          <w:sz w:val="20"/>
          <w:szCs w:val="20"/>
        </w:rPr>
        <w:tab/>
      </w:r>
    </w:p>
    <w:p w:rsidR="00D346B4" w:rsidRPr="00DE475B" w:rsidRDefault="00D346B4">
      <w:pPr>
        <w:tabs>
          <w:tab w:val="left" w:pos="4401"/>
          <w:tab w:val="left" w:pos="4623"/>
          <w:tab w:val="left" w:pos="4845"/>
          <w:tab w:val="left" w:pos="9138"/>
        </w:tabs>
        <w:ind w:left="108"/>
        <w:rPr>
          <w:rFonts w:ascii="Arial" w:hAnsi="Arial" w:cs="Arial"/>
          <w:sz w:val="20"/>
          <w:szCs w:val="20"/>
        </w:rPr>
      </w:pPr>
      <w:r w:rsidRPr="00DE475B">
        <w:rPr>
          <w:rFonts w:ascii="Arial" w:hAnsi="Arial" w:cs="Arial"/>
          <w:sz w:val="20"/>
          <w:szCs w:val="20"/>
        </w:rPr>
        <w:t>Library Board of Queensland</w:t>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t>State Library of Queensland</w:t>
      </w:r>
      <w:r w:rsidRPr="00DE475B">
        <w:rPr>
          <w:rFonts w:ascii="Arial" w:hAnsi="Arial" w:cs="Arial"/>
          <w:sz w:val="20"/>
          <w:szCs w:val="20"/>
        </w:rPr>
        <w:tab/>
      </w:r>
    </w:p>
    <w:p w:rsidR="00D346B4" w:rsidRPr="00DE475B" w:rsidRDefault="006A0C7B" w:rsidP="006A0C7B">
      <w:pPr>
        <w:tabs>
          <w:tab w:val="left" w:pos="3587"/>
          <w:tab w:val="left" w:pos="3994"/>
          <w:tab w:val="left" w:pos="4401"/>
          <w:tab w:val="left" w:pos="4623"/>
          <w:tab w:val="left" w:pos="4845"/>
          <w:tab w:val="left" w:pos="8324"/>
          <w:tab w:val="left" w:pos="8731"/>
          <w:tab w:val="left" w:pos="9138"/>
        </w:tabs>
        <w:ind w:left="108"/>
        <w:rPr>
          <w:rFonts w:ascii="Arial" w:hAnsi="Arial" w:cs="Arial"/>
          <w:sz w:val="20"/>
          <w:szCs w:val="20"/>
        </w:rPr>
      </w:pP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00D346B4" w:rsidRPr="00DE475B">
        <w:rPr>
          <w:rFonts w:ascii="Arial" w:hAnsi="Arial" w:cs="Arial"/>
          <w:sz w:val="20"/>
          <w:szCs w:val="20"/>
        </w:rPr>
        <w:tab/>
      </w:r>
      <w:r w:rsidR="00D346B4" w:rsidRPr="00DE475B">
        <w:rPr>
          <w:rFonts w:ascii="Arial" w:hAnsi="Arial" w:cs="Arial"/>
          <w:sz w:val="20"/>
          <w:szCs w:val="20"/>
        </w:rPr>
        <w:tab/>
      </w:r>
      <w:r w:rsidR="00D346B4" w:rsidRPr="00DE475B">
        <w:rPr>
          <w:rFonts w:ascii="Arial" w:hAnsi="Arial" w:cs="Arial"/>
          <w:sz w:val="20"/>
          <w:szCs w:val="20"/>
        </w:rPr>
        <w:tab/>
      </w:r>
      <w:r w:rsidR="00D346B4" w:rsidRPr="00DE475B">
        <w:rPr>
          <w:rFonts w:ascii="Arial" w:hAnsi="Arial" w:cs="Arial"/>
          <w:sz w:val="20"/>
          <w:szCs w:val="20"/>
        </w:rPr>
        <w:tab/>
      </w:r>
      <w:r w:rsidR="00D346B4" w:rsidRPr="00DE475B">
        <w:rPr>
          <w:rFonts w:ascii="Arial" w:hAnsi="Arial" w:cs="Arial"/>
          <w:sz w:val="20"/>
          <w:szCs w:val="20"/>
        </w:rPr>
        <w:tab/>
      </w:r>
      <w:r w:rsidR="00D346B4" w:rsidRPr="00DE475B">
        <w:rPr>
          <w:rFonts w:ascii="Arial" w:hAnsi="Arial" w:cs="Arial"/>
          <w:sz w:val="20"/>
          <w:szCs w:val="20"/>
        </w:rPr>
        <w:tab/>
      </w:r>
    </w:p>
    <w:p w:rsidR="00D346B4" w:rsidRPr="00DE475B" w:rsidRDefault="00D346B4">
      <w:pPr>
        <w:tabs>
          <w:tab w:val="left" w:pos="3994"/>
          <w:tab w:val="left" w:pos="4401"/>
          <w:tab w:val="left" w:pos="4623"/>
          <w:tab w:val="left" w:pos="4845"/>
          <w:tab w:val="left" w:pos="8324"/>
          <w:tab w:val="left" w:pos="8731"/>
          <w:tab w:val="left" w:pos="9138"/>
        </w:tabs>
        <w:ind w:left="108"/>
        <w:rPr>
          <w:rFonts w:ascii="Arial" w:hAnsi="Arial" w:cs="Arial"/>
          <w:sz w:val="20"/>
          <w:szCs w:val="20"/>
        </w:rPr>
      </w:pPr>
      <w:r w:rsidRPr="00DE475B">
        <w:rPr>
          <w:rFonts w:ascii="Arial" w:hAnsi="Arial" w:cs="Arial"/>
          <w:sz w:val="20"/>
          <w:szCs w:val="20"/>
        </w:rPr>
        <w:t>Date:</w:t>
      </w:r>
      <w:r w:rsidR="0080182D" w:rsidRPr="00DE475B">
        <w:rPr>
          <w:rFonts w:ascii="Arial" w:hAnsi="Arial" w:cs="Arial"/>
          <w:sz w:val="20"/>
          <w:szCs w:val="20"/>
        </w:rPr>
        <w:t xml:space="preserve"> </w:t>
      </w:r>
      <w:r w:rsidR="00571C94" w:rsidRPr="00DE475B">
        <w:rPr>
          <w:rFonts w:ascii="Arial" w:hAnsi="Arial" w:cs="Arial"/>
          <w:sz w:val="20"/>
          <w:szCs w:val="20"/>
        </w:rPr>
        <w:t>29</w:t>
      </w:r>
      <w:r w:rsidR="0080182D" w:rsidRPr="00DE475B">
        <w:rPr>
          <w:rFonts w:ascii="Arial" w:hAnsi="Arial" w:cs="Arial"/>
          <w:sz w:val="20"/>
          <w:szCs w:val="20"/>
        </w:rPr>
        <w:t xml:space="preserve"> August 2017</w:t>
      </w:r>
      <w:r w:rsidRPr="00DE475B">
        <w:rPr>
          <w:rFonts w:ascii="Arial" w:hAnsi="Arial" w:cs="Arial"/>
          <w:sz w:val="20"/>
          <w:szCs w:val="20"/>
        </w:rPr>
        <w:tab/>
        <w:t> </w:t>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t>Date:</w:t>
      </w:r>
      <w:r w:rsidR="00571C94" w:rsidRPr="00DE475B">
        <w:rPr>
          <w:rFonts w:ascii="Arial" w:hAnsi="Arial" w:cs="Arial"/>
          <w:sz w:val="20"/>
          <w:szCs w:val="20"/>
        </w:rPr>
        <w:t xml:space="preserve"> 29</w:t>
      </w:r>
      <w:r w:rsidR="006D2590" w:rsidRPr="00DE475B">
        <w:rPr>
          <w:rFonts w:ascii="Arial" w:hAnsi="Arial" w:cs="Arial"/>
          <w:sz w:val="20"/>
          <w:szCs w:val="20"/>
        </w:rPr>
        <w:t xml:space="preserve"> August 2017</w:t>
      </w:r>
      <w:r w:rsidRPr="00DE475B">
        <w:rPr>
          <w:rFonts w:ascii="Arial" w:hAnsi="Arial" w:cs="Arial"/>
          <w:sz w:val="20"/>
          <w:szCs w:val="20"/>
        </w:rPr>
        <w:tab/>
        <w:t> </w:t>
      </w:r>
      <w:r w:rsidRPr="00DE475B">
        <w:rPr>
          <w:rFonts w:ascii="Arial" w:hAnsi="Arial" w:cs="Arial"/>
          <w:sz w:val="20"/>
          <w:szCs w:val="20"/>
        </w:rPr>
        <w:tab/>
        <w:t> </w:t>
      </w:r>
      <w:r w:rsidRPr="00DE475B">
        <w:rPr>
          <w:rFonts w:ascii="Arial" w:hAnsi="Arial" w:cs="Arial"/>
          <w:sz w:val="20"/>
          <w:szCs w:val="20"/>
        </w:rPr>
        <w:tab/>
      </w:r>
    </w:p>
    <w:p w:rsidR="00D346B4" w:rsidRPr="00DE475B" w:rsidRDefault="00D346B4">
      <w:pPr>
        <w:tabs>
          <w:tab w:val="left" w:pos="3587"/>
          <w:tab w:val="left" w:pos="3994"/>
          <w:tab w:val="left" w:pos="4401"/>
          <w:tab w:val="left" w:pos="4623"/>
          <w:tab w:val="left" w:pos="4845"/>
          <w:tab w:val="left" w:pos="8324"/>
          <w:tab w:val="left" w:pos="8731"/>
          <w:tab w:val="left" w:pos="9138"/>
        </w:tabs>
        <w:ind w:left="108"/>
        <w:rPr>
          <w:rFonts w:ascii="Arial" w:hAnsi="Arial" w:cs="Arial"/>
          <w:sz w:val="20"/>
          <w:szCs w:val="20"/>
        </w:rPr>
      </w:pPr>
    </w:p>
    <w:p w:rsidR="00D346B4" w:rsidRPr="00DE475B" w:rsidRDefault="00D346B4">
      <w:pPr>
        <w:tabs>
          <w:tab w:val="left" w:pos="3587"/>
          <w:tab w:val="left" w:pos="3994"/>
          <w:tab w:val="left" w:pos="4401"/>
          <w:tab w:val="left" w:pos="4623"/>
          <w:tab w:val="left" w:pos="4845"/>
          <w:tab w:val="left" w:pos="8324"/>
          <w:tab w:val="left" w:pos="8731"/>
          <w:tab w:val="left" w:pos="9138"/>
        </w:tabs>
        <w:ind w:left="108"/>
        <w:rPr>
          <w:rFonts w:ascii="Arial" w:hAnsi="Arial" w:cs="Arial"/>
          <w:sz w:val="20"/>
          <w:szCs w:val="20"/>
        </w:rPr>
      </w:pPr>
    </w:p>
    <w:p w:rsidR="003268D7" w:rsidRPr="00DE475B" w:rsidRDefault="003268D7">
      <w:pPr>
        <w:tabs>
          <w:tab w:val="left" w:pos="3587"/>
          <w:tab w:val="left" w:pos="3994"/>
          <w:tab w:val="left" w:pos="4401"/>
          <w:tab w:val="left" w:pos="4623"/>
          <w:tab w:val="left" w:pos="4845"/>
          <w:tab w:val="left" w:pos="8324"/>
          <w:tab w:val="left" w:pos="8731"/>
          <w:tab w:val="left" w:pos="9138"/>
        </w:tabs>
        <w:ind w:left="108"/>
        <w:rPr>
          <w:rFonts w:ascii="Arial" w:hAnsi="Arial" w:cs="Arial"/>
          <w:sz w:val="20"/>
          <w:szCs w:val="20"/>
        </w:rPr>
      </w:pPr>
    </w:p>
    <w:p w:rsidR="003268D7" w:rsidRPr="00DE475B" w:rsidRDefault="00BA0CBA">
      <w:pPr>
        <w:tabs>
          <w:tab w:val="left" w:pos="3587"/>
          <w:tab w:val="left" w:pos="3994"/>
          <w:tab w:val="left" w:pos="4401"/>
          <w:tab w:val="left" w:pos="4623"/>
          <w:tab w:val="left" w:pos="4845"/>
          <w:tab w:val="left" w:pos="8324"/>
          <w:tab w:val="left" w:pos="8731"/>
          <w:tab w:val="left" w:pos="9138"/>
        </w:tabs>
        <w:ind w:left="108"/>
        <w:rPr>
          <w:rFonts w:ascii="Arial" w:hAnsi="Arial" w:cs="Arial"/>
          <w:sz w:val="20"/>
          <w:szCs w:val="20"/>
        </w:rPr>
      </w:pPr>
      <w:r>
        <w:rPr>
          <w:rFonts w:ascii="Arial" w:hAnsi="Arial" w:cs="Arial"/>
          <w:noProof/>
          <w:sz w:val="20"/>
          <w:szCs w:val="20"/>
          <w:lang w:eastAsia="en-AU"/>
        </w:rPr>
        <w:drawing>
          <wp:inline distT="0" distB="0" distL="0" distR="0">
            <wp:extent cx="1405719" cy="880704"/>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 Signature bright.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407217" cy="881643"/>
                    </a:xfrm>
                    <a:prstGeom prst="rect">
                      <a:avLst/>
                    </a:prstGeom>
                  </pic:spPr>
                </pic:pic>
              </a:graphicData>
            </a:graphic>
          </wp:inline>
        </w:drawing>
      </w:r>
    </w:p>
    <w:p w:rsidR="00D346B4" w:rsidRPr="00DE475B" w:rsidRDefault="00D346B4">
      <w:pPr>
        <w:tabs>
          <w:tab w:val="left" w:pos="3587"/>
          <w:tab w:val="left" w:pos="3994"/>
          <w:tab w:val="left" w:pos="4401"/>
          <w:tab w:val="left" w:pos="4623"/>
          <w:tab w:val="left" w:pos="4845"/>
          <w:tab w:val="left" w:pos="8324"/>
          <w:tab w:val="left" w:pos="8731"/>
          <w:tab w:val="left" w:pos="9138"/>
        </w:tabs>
        <w:ind w:left="108"/>
        <w:rPr>
          <w:rFonts w:ascii="Arial" w:hAnsi="Arial" w:cs="Arial"/>
          <w:b/>
          <w:bCs/>
          <w:sz w:val="20"/>
          <w:szCs w:val="20"/>
        </w:rPr>
      </w:pPr>
      <w:r w:rsidRPr="00DE475B">
        <w:rPr>
          <w:rFonts w:ascii="Arial" w:hAnsi="Arial" w:cs="Arial"/>
          <w:sz w:val="20"/>
          <w:szCs w:val="20"/>
        </w:rPr>
        <w:tab/>
        <w:t> </w:t>
      </w:r>
      <w:r w:rsidRPr="00DE475B">
        <w:rPr>
          <w:rFonts w:ascii="Arial" w:hAnsi="Arial" w:cs="Arial"/>
          <w:sz w:val="20"/>
          <w:szCs w:val="20"/>
        </w:rPr>
        <w:tab/>
        <w:t> </w:t>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p>
    <w:p w:rsidR="00D346B4" w:rsidRPr="00DE475B" w:rsidRDefault="00D346B4">
      <w:pPr>
        <w:tabs>
          <w:tab w:val="left" w:pos="4401"/>
          <w:tab w:val="left" w:pos="4623"/>
          <w:tab w:val="left" w:pos="4845"/>
          <w:tab w:val="left" w:pos="8324"/>
          <w:tab w:val="left" w:pos="8731"/>
          <w:tab w:val="left" w:pos="9138"/>
        </w:tabs>
        <w:ind w:left="108"/>
        <w:rPr>
          <w:rFonts w:ascii="Arial" w:hAnsi="Arial" w:cs="Arial"/>
          <w:sz w:val="20"/>
          <w:szCs w:val="20"/>
        </w:rPr>
      </w:pPr>
      <w:r w:rsidRPr="00DE475B">
        <w:rPr>
          <w:rFonts w:ascii="Arial" w:hAnsi="Arial" w:cs="Arial"/>
          <w:b/>
          <w:bCs/>
          <w:sz w:val="20"/>
          <w:szCs w:val="20"/>
        </w:rPr>
        <w:t>Rita McLucas</w:t>
      </w:r>
      <w:r w:rsidRPr="00DE475B">
        <w:rPr>
          <w:rFonts w:ascii="Arial" w:hAnsi="Arial" w:cs="Arial"/>
          <w:b/>
          <w:bCs/>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p>
    <w:p w:rsidR="00714432" w:rsidRDefault="00C94AAD">
      <w:pPr>
        <w:tabs>
          <w:tab w:val="left" w:pos="4401"/>
          <w:tab w:val="left" w:pos="4623"/>
          <w:tab w:val="left" w:pos="4845"/>
          <w:tab w:val="left" w:pos="8324"/>
          <w:tab w:val="left" w:pos="8731"/>
          <w:tab w:val="left" w:pos="9138"/>
        </w:tabs>
        <w:ind w:left="108"/>
        <w:rPr>
          <w:rFonts w:ascii="Arial" w:hAnsi="Arial" w:cs="Arial"/>
          <w:sz w:val="20"/>
          <w:szCs w:val="20"/>
        </w:rPr>
      </w:pPr>
      <w:r>
        <w:rPr>
          <w:rFonts w:ascii="Arial" w:hAnsi="Arial" w:cs="Arial"/>
          <w:sz w:val="20"/>
          <w:szCs w:val="20"/>
        </w:rPr>
        <w:t xml:space="preserve">Executive </w:t>
      </w:r>
      <w:r w:rsidR="00714432">
        <w:rPr>
          <w:rFonts w:ascii="Arial" w:hAnsi="Arial" w:cs="Arial"/>
          <w:sz w:val="20"/>
          <w:szCs w:val="20"/>
        </w:rPr>
        <w:t>Director</w:t>
      </w:r>
    </w:p>
    <w:p w:rsidR="00D346B4" w:rsidRPr="00DE475B" w:rsidRDefault="00C94AAD">
      <w:pPr>
        <w:tabs>
          <w:tab w:val="left" w:pos="4401"/>
          <w:tab w:val="left" w:pos="4623"/>
          <w:tab w:val="left" w:pos="4845"/>
          <w:tab w:val="left" w:pos="8324"/>
          <w:tab w:val="left" w:pos="8731"/>
          <w:tab w:val="left" w:pos="9138"/>
        </w:tabs>
        <w:ind w:left="108"/>
        <w:rPr>
          <w:rFonts w:ascii="Arial" w:hAnsi="Arial" w:cs="Arial"/>
          <w:sz w:val="20"/>
          <w:szCs w:val="20"/>
        </w:rPr>
      </w:pPr>
      <w:r>
        <w:rPr>
          <w:rFonts w:ascii="Arial" w:hAnsi="Arial" w:cs="Arial"/>
          <w:sz w:val="20"/>
          <w:szCs w:val="20"/>
        </w:rPr>
        <w:t>Corporate Governance and Operations</w:t>
      </w:r>
      <w:r w:rsidR="00D346B4" w:rsidRPr="00DE475B">
        <w:rPr>
          <w:rFonts w:ascii="Arial" w:hAnsi="Arial" w:cs="Arial"/>
          <w:sz w:val="20"/>
          <w:szCs w:val="20"/>
        </w:rPr>
        <w:tab/>
      </w:r>
      <w:r w:rsidR="00D346B4" w:rsidRPr="00DE475B">
        <w:rPr>
          <w:rFonts w:ascii="Arial" w:hAnsi="Arial" w:cs="Arial"/>
          <w:sz w:val="20"/>
          <w:szCs w:val="20"/>
        </w:rPr>
        <w:tab/>
      </w:r>
      <w:r w:rsidR="00D346B4" w:rsidRPr="00DE475B">
        <w:rPr>
          <w:rFonts w:ascii="Arial" w:hAnsi="Arial" w:cs="Arial"/>
          <w:sz w:val="20"/>
          <w:szCs w:val="20"/>
        </w:rPr>
        <w:tab/>
      </w:r>
      <w:r w:rsidR="00D346B4" w:rsidRPr="00DE475B">
        <w:rPr>
          <w:rFonts w:ascii="Arial" w:hAnsi="Arial" w:cs="Arial"/>
          <w:sz w:val="20"/>
          <w:szCs w:val="20"/>
        </w:rPr>
        <w:tab/>
      </w:r>
      <w:r w:rsidR="00D346B4" w:rsidRPr="00DE475B">
        <w:rPr>
          <w:rFonts w:ascii="Arial" w:hAnsi="Arial" w:cs="Arial"/>
          <w:sz w:val="20"/>
          <w:szCs w:val="20"/>
        </w:rPr>
        <w:tab/>
      </w:r>
      <w:r w:rsidR="00D346B4" w:rsidRPr="00DE475B">
        <w:rPr>
          <w:rFonts w:ascii="Arial" w:hAnsi="Arial" w:cs="Arial"/>
          <w:sz w:val="20"/>
          <w:szCs w:val="20"/>
        </w:rPr>
        <w:tab/>
      </w:r>
    </w:p>
    <w:p w:rsidR="00D346B4" w:rsidRPr="00DE475B" w:rsidRDefault="00D346B4">
      <w:pPr>
        <w:tabs>
          <w:tab w:val="left" w:pos="4401"/>
          <w:tab w:val="left" w:pos="4623"/>
          <w:tab w:val="left" w:pos="4845"/>
          <w:tab w:val="left" w:pos="8324"/>
          <w:tab w:val="left" w:pos="8731"/>
          <w:tab w:val="left" w:pos="9138"/>
        </w:tabs>
        <w:ind w:left="108"/>
        <w:rPr>
          <w:rFonts w:ascii="Arial" w:hAnsi="Arial" w:cs="Arial"/>
          <w:sz w:val="20"/>
          <w:szCs w:val="20"/>
        </w:rPr>
      </w:pPr>
      <w:r w:rsidRPr="00DE475B">
        <w:rPr>
          <w:rFonts w:ascii="Arial" w:hAnsi="Arial" w:cs="Arial"/>
          <w:sz w:val="20"/>
          <w:szCs w:val="20"/>
        </w:rPr>
        <w:t>State Library of Queensland</w:t>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p>
    <w:p w:rsidR="00D346B4" w:rsidRPr="00DE475B" w:rsidRDefault="006A0C7B" w:rsidP="006A0C7B">
      <w:pPr>
        <w:tabs>
          <w:tab w:val="left" w:pos="3587"/>
          <w:tab w:val="left" w:pos="3994"/>
          <w:tab w:val="left" w:pos="4401"/>
          <w:tab w:val="left" w:pos="4623"/>
          <w:tab w:val="left" w:pos="4845"/>
          <w:tab w:val="left" w:pos="8324"/>
          <w:tab w:val="left" w:pos="8731"/>
          <w:tab w:val="left" w:pos="9138"/>
        </w:tabs>
        <w:ind w:left="108"/>
        <w:rPr>
          <w:rFonts w:ascii="Arial" w:hAnsi="Arial" w:cs="Arial"/>
          <w:sz w:val="20"/>
          <w:szCs w:val="20"/>
        </w:rPr>
      </w:pP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Pr="00DE475B">
        <w:rPr>
          <w:rFonts w:ascii="Arial" w:hAnsi="Arial" w:cs="Arial"/>
          <w:sz w:val="20"/>
          <w:szCs w:val="20"/>
        </w:rPr>
        <w:tab/>
      </w:r>
      <w:r w:rsidR="00D346B4" w:rsidRPr="00DE475B">
        <w:rPr>
          <w:rFonts w:ascii="Arial" w:hAnsi="Arial" w:cs="Arial"/>
          <w:sz w:val="20"/>
          <w:szCs w:val="20"/>
        </w:rPr>
        <w:tab/>
      </w:r>
      <w:r w:rsidR="00D346B4" w:rsidRPr="00DE475B">
        <w:rPr>
          <w:rFonts w:ascii="Arial" w:hAnsi="Arial" w:cs="Arial"/>
          <w:sz w:val="20"/>
          <w:szCs w:val="20"/>
        </w:rPr>
        <w:tab/>
      </w:r>
      <w:r w:rsidR="00D346B4" w:rsidRPr="00DE475B">
        <w:rPr>
          <w:rFonts w:ascii="Arial" w:hAnsi="Arial" w:cs="Arial"/>
          <w:sz w:val="20"/>
          <w:szCs w:val="20"/>
        </w:rPr>
        <w:tab/>
      </w:r>
      <w:r w:rsidR="00D346B4" w:rsidRPr="00DE475B">
        <w:rPr>
          <w:rFonts w:ascii="Arial" w:hAnsi="Arial" w:cs="Arial"/>
          <w:sz w:val="20"/>
          <w:szCs w:val="20"/>
        </w:rPr>
        <w:tab/>
      </w:r>
      <w:r w:rsidR="00D346B4" w:rsidRPr="00DE475B">
        <w:rPr>
          <w:rFonts w:ascii="Arial" w:hAnsi="Arial" w:cs="Arial"/>
          <w:sz w:val="20"/>
          <w:szCs w:val="20"/>
        </w:rPr>
        <w:tab/>
      </w:r>
      <w:r w:rsidR="00D346B4" w:rsidRPr="00DE475B">
        <w:rPr>
          <w:rFonts w:ascii="Arial" w:hAnsi="Arial" w:cs="Arial"/>
          <w:sz w:val="20"/>
          <w:szCs w:val="20"/>
        </w:rPr>
        <w:tab/>
      </w:r>
      <w:r w:rsidR="00D346B4" w:rsidRPr="00DE475B">
        <w:rPr>
          <w:rFonts w:ascii="Arial" w:hAnsi="Arial" w:cs="Arial"/>
          <w:sz w:val="20"/>
          <w:szCs w:val="20"/>
        </w:rPr>
        <w:tab/>
      </w:r>
      <w:r w:rsidR="00D346B4" w:rsidRPr="00DE475B">
        <w:rPr>
          <w:rFonts w:ascii="Arial" w:hAnsi="Arial" w:cs="Arial"/>
          <w:sz w:val="20"/>
          <w:szCs w:val="20"/>
        </w:rPr>
        <w:tab/>
      </w:r>
    </w:p>
    <w:p w:rsidR="00D346B4" w:rsidRPr="00DE475B" w:rsidRDefault="00D346B4">
      <w:pPr>
        <w:tabs>
          <w:tab w:val="left" w:pos="3587"/>
          <w:tab w:val="left" w:pos="3994"/>
          <w:tab w:val="left" w:pos="4401"/>
          <w:tab w:val="left" w:pos="4623"/>
          <w:tab w:val="left" w:pos="4845"/>
          <w:tab w:val="left" w:pos="8324"/>
          <w:tab w:val="left" w:pos="8731"/>
          <w:tab w:val="left" w:pos="9138"/>
        </w:tabs>
        <w:ind w:left="108"/>
        <w:rPr>
          <w:rFonts w:ascii="Arial" w:hAnsi="Arial" w:cs="Arial"/>
          <w:sz w:val="20"/>
          <w:szCs w:val="20"/>
        </w:rPr>
      </w:pPr>
      <w:r w:rsidRPr="00DE475B">
        <w:rPr>
          <w:rFonts w:ascii="Arial" w:hAnsi="Arial" w:cs="Arial"/>
          <w:sz w:val="20"/>
          <w:szCs w:val="20"/>
        </w:rPr>
        <w:t>Date:</w:t>
      </w:r>
      <w:r w:rsidR="00571C94" w:rsidRPr="00DE475B">
        <w:rPr>
          <w:rFonts w:ascii="Arial" w:hAnsi="Arial" w:cs="Arial"/>
          <w:sz w:val="20"/>
          <w:szCs w:val="20"/>
        </w:rPr>
        <w:t xml:space="preserve"> 29</w:t>
      </w:r>
      <w:r w:rsidR="006D2590" w:rsidRPr="00DE475B">
        <w:rPr>
          <w:rFonts w:ascii="Arial" w:hAnsi="Arial" w:cs="Arial"/>
          <w:sz w:val="20"/>
          <w:szCs w:val="20"/>
        </w:rPr>
        <w:t xml:space="preserve"> August 2017</w:t>
      </w:r>
      <w:r w:rsidRPr="00DE475B">
        <w:rPr>
          <w:rFonts w:ascii="Arial" w:hAnsi="Arial" w:cs="Arial"/>
          <w:sz w:val="20"/>
          <w:szCs w:val="20"/>
        </w:rPr>
        <w:tab/>
      </w:r>
    </w:p>
    <w:p w:rsidR="00D346B4" w:rsidRPr="00DE475B" w:rsidRDefault="00D346B4">
      <w:pPr>
        <w:tabs>
          <w:tab w:val="left" w:pos="3587"/>
          <w:tab w:val="left" w:pos="3994"/>
          <w:tab w:val="left" w:pos="4401"/>
          <w:tab w:val="left" w:pos="4623"/>
          <w:tab w:val="left" w:pos="4845"/>
          <w:tab w:val="left" w:pos="8324"/>
          <w:tab w:val="left" w:pos="8731"/>
          <w:tab w:val="left" w:pos="9138"/>
        </w:tabs>
        <w:ind w:left="108"/>
        <w:rPr>
          <w:rFonts w:ascii="Arial" w:hAnsi="Arial" w:cs="Arial"/>
          <w:sz w:val="20"/>
          <w:szCs w:val="20"/>
        </w:rPr>
      </w:pPr>
    </w:p>
    <w:p w:rsidR="00D346B4" w:rsidRPr="00DE475B" w:rsidRDefault="00D346B4">
      <w:pPr>
        <w:tabs>
          <w:tab w:val="left" w:pos="3587"/>
          <w:tab w:val="left" w:pos="3994"/>
          <w:tab w:val="left" w:pos="4401"/>
          <w:tab w:val="left" w:pos="4623"/>
          <w:tab w:val="left" w:pos="4845"/>
          <w:tab w:val="left" w:pos="8324"/>
          <w:tab w:val="left" w:pos="8731"/>
          <w:tab w:val="left" w:pos="9138"/>
        </w:tabs>
        <w:ind w:left="108"/>
        <w:rPr>
          <w:rFonts w:ascii="Arial" w:hAnsi="Arial" w:cs="Arial"/>
          <w:sz w:val="20"/>
          <w:szCs w:val="20"/>
        </w:rPr>
      </w:pPr>
    </w:p>
    <w:p w:rsidR="00D346B4" w:rsidRPr="00DE475B" w:rsidRDefault="00EC40AE" w:rsidP="00EC40AE">
      <w:pPr>
        <w:pStyle w:val="ARHeading1"/>
        <w:pageBreakBefore/>
        <w:rPr>
          <w:b/>
          <w:sz w:val="20"/>
          <w:szCs w:val="20"/>
        </w:rPr>
      </w:pPr>
      <w:r w:rsidRPr="00BA0CBA">
        <w:lastRenderedPageBreak/>
        <w:t>Independent Audit Report</w:t>
      </w:r>
    </w:p>
    <w:p w:rsidR="00D346B4" w:rsidRPr="00DE475B" w:rsidRDefault="00D346B4">
      <w:pPr>
        <w:rPr>
          <w:rFonts w:ascii="Arial" w:hAnsi="Arial" w:cs="Arial"/>
          <w:sz w:val="20"/>
          <w:szCs w:val="20"/>
        </w:rPr>
      </w:pPr>
    </w:p>
    <w:p w:rsidR="00AA7390" w:rsidRPr="00DE475B" w:rsidRDefault="00AA7390" w:rsidP="00AA7390">
      <w:pPr>
        <w:spacing w:after="240"/>
        <w:rPr>
          <w:rFonts w:ascii="Arial" w:hAnsi="Arial" w:cs="Arial"/>
          <w:sz w:val="20"/>
          <w:szCs w:val="20"/>
        </w:rPr>
      </w:pPr>
      <w:r w:rsidRPr="00DE475B">
        <w:rPr>
          <w:rFonts w:ascii="Arial" w:hAnsi="Arial" w:cs="Arial"/>
          <w:sz w:val="20"/>
          <w:szCs w:val="20"/>
        </w:rPr>
        <w:t>To the Board of the Library Board of Queensland</w:t>
      </w:r>
    </w:p>
    <w:p w:rsidR="00AA7390" w:rsidRPr="00DE475B" w:rsidRDefault="00AA7390" w:rsidP="00AA7390">
      <w:pPr>
        <w:spacing w:after="120"/>
        <w:rPr>
          <w:rFonts w:ascii="Arial" w:hAnsi="Arial" w:cs="Arial"/>
          <w:b/>
          <w:sz w:val="20"/>
          <w:szCs w:val="20"/>
        </w:rPr>
      </w:pPr>
      <w:r w:rsidRPr="00DE475B">
        <w:rPr>
          <w:rFonts w:ascii="Arial" w:hAnsi="Arial" w:cs="Arial"/>
          <w:b/>
          <w:sz w:val="20"/>
          <w:szCs w:val="20"/>
        </w:rPr>
        <w:t xml:space="preserve">Report on the </w:t>
      </w:r>
      <w:r w:rsidR="00A20E0C">
        <w:rPr>
          <w:rFonts w:ascii="Arial" w:hAnsi="Arial" w:cs="Arial"/>
          <w:b/>
          <w:sz w:val="20"/>
          <w:szCs w:val="20"/>
        </w:rPr>
        <w:t>audit of the financial r</w:t>
      </w:r>
      <w:r w:rsidRPr="00DE475B">
        <w:rPr>
          <w:rFonts w:ascii="Arial" w:hAnsi="Arial" w:cs="Arial"/>
          <w:b/>
          <w:sz w:val="20"/>
          <w:szCs w:val="20"/>
        </w:rPr>
        <w:t>eport</w:t>
      </w:r>
    </w:p>
    <w:p w:rsidR="00E0510C" w:rsidRPr="00E0510C" w:rsidRDefault="00E0510C" w:rsidP="00A5735E">
      <w:pPr>
        <w:spacing w:after="40"/>
        <w:rPr>
          <w:rFonts w:ascii="Arial" w:hAnsi="Arial" w:cs="Arial"/>
          <w:i/>
          <w:sz w:val="20"/>
          <w:szCs w:val="20"/>
        </w:rPr>
      </w:pPr>
      <w:r w:rsidRPr="00E0510C">
        <w:rPr>
          <w:rFonts w:ascii="Arial" w:hAnsi="Arial" w:cs="Arial"/>
          <w:i/>
          <w:sz w:val="20"/>
          <w:szCs w:val="20"/>
        </w:rPr>
        <w:t>Opinion</w:t>
      </w:r>
    </w:p>
    <w:p w:rsidR="00E0510C" w:rsidRDefault="00AA7390" w:rsidP="00E0510C">
      <w:pPr>
        <w:spacing w:after="120"/>
        <w:rPr>
          <w:rFonts w:ascii="Arial" w:hAnsi="Arial" w:cs="Arial"/>
          <w:sz w:val="20"/>
          <w:szCs w:val="20"/>
        </w:rPr>
      </w:pPr>
      <w:r w:rsidRPr="00B51C85">
        <w:rPr>
          <w:rFonts w:ascii="Arial" w:hAnsi="Arial" w:cs="Arial"/>
          <w:sz w:val="20"/>
          <w:szCs w:val="20"/>
        </w:rPr>
        <w:t>I have audited the accompanying financial report of Library Board of Queensland</w:t>
      </w:r>
      <w:r w:rsidR="00E0510C">
        <w:rPr>
          <w:rFonts w:ascii="Arial" w:hAnsi="Arial" w:cs="Arial"/>
          <w:sz w:val="20"/>
          <w:szCs w:val="20"/>
        </w:rPr>
        <w:t xml:space="preserve"> (the parent)</w:t>
      </w:r>
      <w:r w:rsidRPr="00B51C85">
        <w:rPr>
          <w:rFonts w:ascii="Arial" w:hAnsi="Arial" w:cs="Arial"/>
          <w:sz w:val="20"/>
          <w:szCs w:val="20"/>
        </w:rPr>
        <w:t>,</w:t>
      </w:r>
      <w:r w:rsidR="00E0510C">
        <w:rPr>
          <w:rFonts w:ascii="Arial" w:hAnsi="Arial" w:cs="Arial"/>
          <w:sz w:val="20"/>
          <w:szCs w:val="20"/>
        </w:rPr>
        <w:t xml:space="preserve"> and its controlled entity (the group).</w:t>
      </w:r>
    </w:p>
    <w:p w:rsidR="00E0510C" w:rsidRDefault="00E0510C" w:rsidP="00E0510C">
      <w:pPr>
        <w:spacing w:after="40"/>
        <w:rPr>
          <w:rFonts w:ascii="Arial" w:hAnsi="Arial" w:cs="Arial"/>
          <w:sz w:val="20"/>
          <w:szCs w:val="20"/>
        </w:rPr>
      </w:pPr>
      <w:r>
        <w:rPr>
          <w:rFonts w:ascii="Arial" w:hAnsi="Arial" w:cs="Arial"/>
          <w:sz w:val="20"/>
          <w:szCs w:val="20"/>
        </w:rPr>
        <w:t>I</w:t>
      </w:r>
      <w:r w:rsidRPr="00DE475B">
        <w:rPr>
          <w:rFonts w:ascii="Arial" w:hAnsi="Arial" w:cs="Arial"/>
          <w:sz w:val="20"/>
          <w:szCs w:val="20"/>
        </w:rPr>
        <w:t xml:space="preserve">n my opinion </w:t>
      </w:r>
      <w:r>
        <w:rPr>
          <w:rFonts w:ascii="Arial" w:hAnsi="Arial" w:cs="Arial"/>
          <w:sz w:val="20"/>
          <w:szCs w:val="20"/>
        </w:rPr>
        <w:t xml:space="preserve">the financial report: </w:t>
      </w:r>
    </w:p>
    <w:p w:rsidR="00E0510C" w:rsidRPr="00E0510C" w:rsidRDefault="00E0510C" w:rsidP="00470DF8">
      <w:pPr>
        <w:pStyle w:val="ListParagraph"/>
        <w:numPr>
          <w:ilvl w:val="0"/>
          <w:numId w:val="14"/>
        </w:numPr>
        <w:spacing w:after="40"/>
        <w:ind w:left="426" w:hanging="426"/>
        <w:rPr>
          <w:sz w:val="20"/>
        </w:rPr>
      </w:pPr>
      <w:r w:rsidRPr="00E0510C">
        <w:rPr>
          <w:sz w:val="20"/>
        </w:rPr>
        <w:t>gives a true and fair view of the parent’s and group’s financial position as at 30 June 2017, and their financial performance and cash flows for the year then ended</w:t>
      </w:r>
    </w:p>
    <w:p w:rsidR="00E0510C" w:rsidRPr="00E0510C" w:rsidRDefault="00050565" w:rsidP="00470DF8">
      <w:pPr>
        <w:pStyle w:val="ListParagraph"/>
        <w:numPr>
          <w:ilvl w:val="0"/>
          <w:numId w:val="14"/>
        </w:numPr>
        <w:spacing w:after="120"/>
        <w:ind w:left="426" w:hanging="426"/>
        <w:rPr>
          <w:sz w:val="20"/>
        </w:rPr>
      </w:pPr>
      <w:proofErr w:type="gramStart"/>
      <w:r>
        <w:rPr>
          <w:sz w:val="20"/>
        </w:rPr>
        <w:t>c</w:t>
      </w:r>
      <w:r w:rsidR="00E0510C">
        <w:rPr>
          <w:sz w:val="20"/>
        </w:rPr>
        <w:t>omplies</w:t>
      </w:r>
      <w:proofErr w:type="gramEnd"/>
      <w:r w:rsidR="00E0510C">
        <w:rPr>
          <w:sz w:val="20"/>
        </w:rPr>
        <w:t xml:space="preserve"> with the </w:t>
      </w:r>
      <w:r w:rsidR="00E0510C" w:rsidRPr="00E0510C">
        <w:rPr>
          <w:i/>
          <w:sz w:val="20"/>
        </w:rPr>
        <w:t>Financial Accountability Act 2009</w:t>
      </w:r>
      <w:r w:rsidR="00E0510C">
        <w:rPr>
          <w:sz w:val="20"/>
        </w:rPr>
        <w:t>, the Financial and Performance Management Standard 2009 and Australian Accounting Standards.</w:t>
      </w:r>
    </w:p>
    <w:p w:rsidR="00E0510C" w:rsidRDefault="00E0510C" w:rsidP="00050565">
      <w:pPr>
        <w:spacing w:after="120"/>
        <w:rPr>
          <w:rFonts w:ascii="Arial" w:hAnsi="Arial" w:cs="Arial"/>
          <w:sz w:val="20"/>
          <w:szCs w:val="20"/>
        </w:rPr>
      </w:pPr>
      <w:r>
        <w:rPr>
          <w:rFonts w:ascii="Arial" w:hAnsi="Arial" w:cs="Arial"/>
          <w:sz w:val="20"/>
          <w:szCs w:val="20"/>
        </w:rPr>
        <w:t xml:space="preserve">The financial report </w:t>
      </w:r>
      <w:r w:rsidR="00AA7390" w:rsidRPr="00B51C85">
        <w:rPr>
          <w:rFonts w:ascii="Arial" w:hAnsi="Arial" w:cs="Arial"/>
          <w:sz w:val="20"/>
          <w:szCs w:val="20"/>
        </w:rPr>
        <w:t>comprises the statements of financial position as at 30 June 201</w:t>
      </w:r>
      <w:r w:rsidR="00B51C85" w:rsidRPr="00B51C85">
        <w:rPr>
          <w:rFonts w:ascii="Arial" w:hAnsi="Arial" w:cs="Arial"/>
          <w:sz w:val="20"/>
          <w:szCs w:val="20"/>
        </w:rPr>
        <w:t>7</w:t>
      </w:r>
      <w:r w:rsidR="00AA7390" w:rsidRPr="00B51C85">
        <w:rPr>
          <w:rFonts w:ascii="Arial" w:hAnsi="Arial" w:cs="Arial"/>
          <w:sz w:val="20"/>
          <w:szCs w:val="20"/>
        </w:rPr>
        <w:t>, the statements of comprehensive income, statements of changes in equity and statements of cash flows for the year then ended, notes</w:t>
      </w:r>
      <w:r>
        <w:rPr>
          <w:rFonts w:ascii="Arial" w:hAnsi="Arial" w:cs="Arial"/>
          <w:sz w:val="20"/>
          <w:szCs w:val="20"/>
        </w:rPr>
        <w:t xml:space="preserve"> to the financial statements including summaries of significant accounting policies and other explanatory information, and the certificate given by the Chairperson, State Librarian and CEO, and the Executive Director, </w:t>
      </w:r>
      <w:r w:rsidR="00AA7390" w:rsidRPr="00B51C85">
        <w:rPr>
          <w:rFonts w:ascii="Arial" w:hAnsi="Arial" w:cs="Arial"/>
          <w:sz w:val="20"/>
          <w:szCs w:val="20"/>
        </w:rPr>
        <w:t xml:space="preserve">Corporate </w:t>
      </w:r>
      <w:r w:rsidR="00B51C85" w:rsidRPr="00B51C85">
        <w:rPr>
          <w:rFonts w:ascii="Arial" w:hAnsi="Arial" w:cs="Arial"/>
          <w:sz w:val="20"/>
          <w:szCs w:val="20"/>
        </w:rPr>
        <w:t>Governance and Operations</w:t>
      </w:r>
      <w:r>
        <w:rPr>
          <w:rFonts w:ascii="Arial" w:hAnsi="Arial" w:cs="Arial"/>
          <w:sz w:val="20"/>
          <w:szCs w:val="20"/>
        </w:rPr>
        <w:t>.</w:t>
      </w:r>
    </w:p>
    <w:p w:rsidR="00E0510C" w:rsidRPr="00E0510C" w:rsidRDefault="00E0510C" w:rsidP="00A5735E">
      <w:pPr>
        <w:spacing w:after="40"/>
        <w:rPr>
          <w:rFonts w:ascii="Arial" w:hAnsi="Arial" w:cs="Arial"/>
          <w:i/>
          <w:sz w:val="20"/>
          <w:szCs w:val="20"/>
        </w:rPr>
      </w:pPr>
      <w:r w:rsidRPr="00E0510C">
        <w:rPr>
          <w:rFonts w:ascii="Arial" w:hAnsi="Arial" w:cs="Arial"/>
          <w:i/>
          <w:sz w:val="20"/>
          <w:szCs w:val="20"/>
        </w:rPr>
        <w:t>Basis for opinion</w:t>
      </w:r>
    </w:p>
    <w:p w:rsidR="00E0510C" w:rsidRDefault="00E0510C" w:rsidP="00E0510C">
      <w:pPr>
        <w:spacing w:after="120"/>
        <w:rPr>
          <w:rFonts w:ascii="Arial" w:hAnsi="Arial" w:cs="Arial"/>
          <w:spacing w:val="-2"/>
          <w:sz w:val="20"/>
          <w:szCs w:val="20"/>
        </w:rPr>
      </w:pPr>
      <w:r>
        <w:rPr>
          <w:rFonts w:ascii="Arial" w:hAnsi="Arial" w:cs="Arial"/>
          <w:spacing w:val="-2"/>
          <w:sz w:val="20"/>
          <w:szCs w:val="20"/>
        </w:rPr>
        <w:t xml:space="preserve">I conducted my audit in accordance with </w:t>
      </w:r>
      <w:r w:rsidRPr="00DE475B">
        <w:rPr>
          <w:rFonts w:ascii="Arial" w:hAnsi="Arial" w:cs="Arial"/>
          <w:spacing w:val="-2"/>
          <w:sz w:val="20"/>
          <w:szCs w:val="20"/>
        </w:rPr>
        <w:t xml:space="preserve">the </w:t>
      </w:r>
      <w:r w:rsidRPr="00DE475B">
        <w:rPr>
          <w:rFonts w:ascii="Arial" w:hAnsi="Arial" w:cs="Arial"/>
          <w:i/>
          <w:spacing w:val="-2"/>
          <w:sz w:val="20"/>
          <w:szCs w:val="20"/>
        </w:rPr>
        <w:t>Auditor-General of Queensland Auditing Standards</w:t>
      </w:r>
      <w:r w:rsidRPr="00DE475B">
        <w:rPr>
          <w:rFonts w:ascii="Arial" w:hAnsi="Arial" w:cs="Arial"/>
          <w:spacing w:val="-2"/>
          <w:sz w:val="20"/>
          <w:szCs w:val="20"/>
        </w:rPr>
        <w:t xml:space="preserve">, which incorporate the Australian Auditing Standards. </w:t>
      </w:r>
      <w:r>
        <w:rPr>
          <w:rFonts w:ascii="Arial" w:hAnsi="Arial" w:cs="Arial"/>
          <w:spacing w:val="-2"/>
          <w:sz w:val="20"/>
          <w:szCs w:val="20"/>
        </w:rPr>
        <w:t>My responsibilities under t</w:t>
      </w:r>
      <w:r w:rsidRPr="00DE475B">
        <w:rPr>
          <w:rFonts w:ascii="Arial" w:hAnsi="Arial" w:cs="Arial"/>
          <w:spacing w:val="-2"/>
          <w:sz w:val="20"/>
          <w:szCs w:val="20"/>
        </w:rPr>
        <w:t>hose standards</w:t>
      </w:r>
      <w:r>
        <w:rPr>
          <w:rFonts w:ascii="Arial" w:hAnsi="Arial" w:cs="Arial"/>
          <w:spacing w:val="-2"/>
          <w:sz w:val="20"/>
          <w:szCs w:val="20"/>
        </w:rPr>
        <w:t xml:space="preserve"> are further described in the </w:t>
      </w:r>
      <w:r w:rsidRPr="00E0510C">
        <w:rPr>
          <w:rFonts w:ascii="Arial" w:hAnsi="Arial" w:cs="Arial"/>
          <w:i/>
          <w:spacing w:val="-2"/>
          <w:sz w:val="20"/>
          <w:szCs w:val="20"/>
        </w:rPr>
        <w:t>Auditor’s Responsibilities for the Audit of the Financial Report</w:t>
      </w:r>
      <w:r>
        <w:rPr>
          <w:rFonts w:ascii="Arial" w:hAnsi="Arial" w:cs="Arial"/>
          <w:spacing w:val="-2"/>
          <w:sz w:val="20"/>
          <w:szCs w:val="20"/>
        </w:rPr>
        <w:t xml:space="preserve"> section of my report.</w:t>
      </w:r>
    </w:p>
    <w:p w:rsidR="00E0510C" w:rsidRDefault="0051632B" w:rsidP="00E0510C">
      <w:pPr>
        <w:spacing w:after="120"/>
        <w:rPr>
          <w:rFonts w:ascii="Arial" w:hAnsi="Arial" w:cs="Arial"/>
          <w:spacing w:val="-2"/>
          <w:sz w:val="20"/>
          <w:szCs w:val="20"/>
        </w:rPr>
      </w:pPr>
      <w:r>
        <w:rPr>
          <w:rFonts w:ascii="Arial" w:hAnsi="Arial" w:cs="Arial"/>
          <w:spacing w:val="-2"/>
          <w:sz w:val="20"/>
          <w:szCs w:val="20"/>
        </w:rPr>
        <w:t xml:space="preserve">I am independent of the parent and group in accordance with the ethical requirements of the Accounting Professional and Ethical </w:t>
      </w:r>
      <w:r w:rsidR="00AA4C64">
        <w:rPr>
          <w:rFonts w:ascii="Arial" w:hAnsi="Arial" w:cs="Arial"/>
          <w:spacing w:val="-2"/>
          <w:sz w:val="20"/>
          <w:szCs w:val="20"/>
        </w:rPr>
        <w:t xml:space="preserve">Standards Board’s APES 110 </w:t>
      </w:r>
      <w:r w:rsidR="00AA4C64" w:rsidRPr="00AA4C64">
        <w:rPr>
          <w:rFonts w:ascii="Arial" w:hAnsi="Arial" w:cs="Arial"/>
          <w:i/>
          <w:spacing w:val="-2"/>
          <w:sz w:val="20"/>
          <w:szCs w:val="20"/>
        </w:rPr>
        <w:t>Code of Ethics for Professional Accountants</w:t>
      </w:r>
      <w:r w:rsidR="00AA4C64">
        <w:rPr>
          <w:rFonts w:ascii="Arial" w:hAnsi="Arial" w:cs="Arial"/>
          <w:spacing w:val="-2"/>
          <w:sz w:val="20"/>
          <w:szCs w:val="20"/>
        </w:rPr>
        <w:t xml:space="preserve"> (the Code) that are relevant to my audit of the financial report in Australia. I have also fulfilled my other ethical responsibilities in accordance with the Code and the </w:t>
      </w:r>
      <w:r w:rsidR="00AA4C64" w:rsidRPr="00AA4C64">
        <w:rPr>
          <w:rFonts w:ascii="Arial" w:hAnsi="Arial" w:cs="Arial"/>
          <w:i/>
          <w:spacing w:val="-2"/>
          <w:sz w:val="20"/>
          <w:szCs w:val="20"/>
        </w:rPr>
        <w:t>Auditor-General of Queensland Auditing Standards</w:t>
      </w:r>
      <w:r w:rsidR="00AA4C64">
        <w:rPr>
          <w:rFonts w:ascii="Arial" w:hAnsi="Arial" w:cs="Arial"/>
          <w:spacing w:val="-2"/>
          <w:sz w:val="20"/>
          <w:szCs w:val="20"/>
        </w:rPr>
        <w:t>.</w:t>
      </w:r>
    </w:p>
    <w:p w:rsidR="00E0510C" w:rsidRDefault="00AA4C64" w:rsidP="00E0510C">
      <w:pPr>
        <w:spacing w:after="120"/>
        <w:rPr>
          <w:rFonts w:ascii="Arial" w:hAnsi="Arial" w:cs="Arial"/>
          <w:spacing w:val="-2"/>
          <w:sz w:val="20"/>
          <w:szCs w:val="20"/>
        </w:rPr>
      </w:pPr>
      <w:r>
        <w:rPr>
          <w:rFonts w:ascii="Arial" w:hAnsi="Arial" w:cs="Arial"/>
          <w:spacing w:val="-2"/>
          <w:sz w:val="20"/>
          <w:szCs w:val="20"/>
        </w:rPr>
        <w:t xml:space="preserve">I believe that the audit evidence I have obtained is sufficient and appropriate to provide a basis for my opinion. </w:t>
      </w:r>
    </w:p>
    <w:p w:rsidR="00E0510C" w:rsidRPr="00AA4C64" w:rsidRDefault="00AA4C64" w:rsidP="00A5735E">
      <w:pPr>
        <w:spacing w:after="40"/>
        <w:rPr>
          <w:rFonts w:ascii="Arial" w:hAnsi="Arial" w:cs="Arial"/>
          <w:i/>
          <w:sz w:val="20"/>
          <w:szCs w:val="20"/>
        </w:rPr>
      </w:pPr>
      <w:r w:rsidRPr="00AA4C64">
        <w:rPr>
          <w:rFonts w:ascii="Arial" w:hAnsi="Arial" w:cs="Arial"/>
          <w:i/>
          <w:sz w:val="20"/>
          <w:szCs w:val="20"/>
        </w:rPr>
        <w:t>Key audit matters</w:t>
      </w:r>
      <w:bookmarkStart w:id="5" w:name="_GoBack"/>
      <w:bookmarkEnd w:id="5"/>
    </w:p>
    <w:p w:rsidR="00AA4C64" w:rsidRDefault="00AA4C64" w:rsidP="00AA7390">
      <w:pPr>
        <w:spacing w:after="120"/>
        <w:rPr>
          <w:rFonts w:ascii="Arial" w:hAnsi="Arial" w:cs="Arial"/>
          <w:sz w:val="20"/>
          <w:szCs w:val="20"/>
        </w:rPr>
      </w:pPr>
      <w:r>
        <w:rPr>
          <w:rFonts w:ascii="Arial" w:hAnsi="Arial" w:cs="Arial"/>
          <w:sz w:val="20"/>
          <w:szCs w:val="20"/>
        </w:rPr>
        <w:t>I have determined that there are no key audit matters to communicate in my report.</w:t>
      </w:r>
    </w:p>
    <w:p w:rsidR="00A05347" w:rsidRPr="00A05347" w:rsidRDefault="00A05347" w:rsidP="00A5735E">
      <w:pPr>
        <w:spacing w:after="40"/>
        <w:rPr>
          <w:rFonts w:ascii="Arial" w:hAnsi="Arial" w:cs="Arial"/>
          <w:i/>
          <w:sz w:val="20"/>
          <w:szCs w:val="20"/>
        </w:rPr>
      </w:pPr>
      <w:r w:rsidRPr="00A05347">
        <w:rPr>
          <w:rFonts w:ascii="Arial" w:hAnsi="Arial" w:cs="Arial"/>
          <w:i/>
          <w:sz w:val="20"/>
          <w:szCs w:val="20"/>
        </w:rPr>
        <w:t>Other information</w:t>
      </w:r>
    </w:p>
    <w:p w:rsidR="00A05347" w:rsidRDefault="00A05347" w:rsidP="00AA7390">
      <w:pPr>
        <w:spacing w:after="120"/>
        <w:rPr>
          <w:rFonts w:ascii="Arial" w:hAnsi="Arial" w:cs="Arial"/>
          <w:sz w:val="20"/>
          <w:szCs w:val="20"/>
        </w:rPr>
      </w:pPr>
      <w:r>
        <w:rPr>
          <w:rFonts w:ascii="Arial" w:hAnsi="Arial" w:cs="Arial"/>
          <w:sz w:val="20"/>
          <w:szCs w:val="20"/>
        </w:rPr>
        <w:t>Other information comprises the information included in the entity’s annual report for the year ended 30 June 2017, but does not include the financial report and my auditor’s report thereon. Those charged with governance are responsible for the other information. My opinion on the financial report does not cover the other information, and the accordingly I do not express any form of assurance conclusion thereon.</w:t>
      </w:r>
    </w:p>
    <w:p w:rsidR="00A05347" w:rsidRDefault="00A05347" w:rsidP="00AA7390">
      <w:pPr>
        <w:spacing w:after="120"/>
        <w:rPr>
          <w:rFonts w:ascii="Arial" w:hAnsi="Arial" w:cs="Arial"/>
          <w:sz w:val="20"/>
          <w:szCs w:val="20"/>
        </w:rPr>
      </w:pPr>
      <w:r>
        <w:rPr>
          <w:rFonts w:ascii="Arial" w:hAnsi="Arial" w:cs="Arial"/>
          <w:sz w:val="20"/>
          <w:szCs w:val="20"/>
        </w:rPr>
        <w:t xml:space="preserve">In connection with my audit of the financial report, my responsibility is to read the other information and, in doing so, consider whether the other information is materially inconsistent </w:t>
      </w:r>
      <w:r w:rsidR="00CE6A37">
        <w:rPr>
          <w:rFonts w:ascii="Arial" w:hAnsi="Arial" w:cs="Arial"/>
          <w:sz w:val="20"/>
          <w:szCs w:val="20"/>
        </w:rPr>
        <w:t xml:space="preserve">with the financial report or my knowledge obtained in the audit or otherwise appears to be materially misstated. If, based on the work I have performed, I conclude that there is a material misstatement of </w:t>
      </w:r>
      <w:r w:rsidR="005353A3">
        <w:rPr>
          <w:rFonts w:ascii="Arial" w:hAnsi="Arial" w:cs="Arial"/>
          <w:sz w:val="20"/>
          <w:szCs w:val="20"/>
        </w:rPr>
        <w:t xml:space="preserve">this </w:t>
      </w:r>
      <w:r w:rsidR="00CE6A37">
        <w:rPr>
          <w:rFonts w:ascii="Arial" w:hAnsi="Arial" w:cs="Arial"/>
          <w:sz w:val="20"/>
          <w:szCs w:val="20"/>
        </w:rPr>
        <w:t xml:space="preserve">other </w:t>
      </w:r>
      <w:proofErr w:type="gramStart"/>
      <w:r w:rsidR="00CE6A37">
        <w:rPr>
          <w:rFonts w:ascii="Arial" w:hAnsi="Arial" w:cs="Arial"/>
          <w:sz w:val="20"/>
          <w:szCs w:val="20"/>
        </w:rPr>
        <w:t>information,</w:t>
      </w:r>
      <w:proofErr w:type="gramEnd"/>
      <w:r w:rsidR="00CE6A37">
        <w:rPr>
          <w:rFonts w:ascii="Arial" w:hAnsi="Arial" w:cs="Arial"/>
          <w:sz w:val="20"/>
          <w:szCs w:val="20"/>
        </w:rPr>
        <w:t xml:space="preserve"> I am required to report that fact. I have nothing to report in this regard.</w:t>
      </w:r>
    </w:p>
    <w:p w:rsidR="00AA7390" w:rsidRPr="00DE475B" w:rsidRDefault="005353A3" w:rsidP="00A5735E">
      <w:pPr>
        <w:spacing w:after="40"/>
        <w:rPr>
          <w:rFonts w:ascii="Arial" w:hAnsi="Arial" w:cs="Arial"/>
          <w:i/>
          <w:sz w:val="20"/>
          <w:szCs w:val="20"/>
        </w:rPr>
      </w:pPr>
      <w:r>
        <w:rPr>
          <w:rFonts w:ascii="Arial" w:hAnsi="Arial" w:cs="Arial"/>
          <w:i/>
          <w:sz w:val="20"/>
          <w:szCs w:val="20"/>
        </w:rPr>
        <w:t>Responsibilities</w:t>
      </w:r>
      <w:r w:rsidR="00AA7390" w:rsidRPr="00DE475B">
        <w:rPr>
          <w:rFonts w:ascii="Arial" w:hAnsi="Arial" w:cs="Arial"/>
          <w:i/>
          <w:sz w:val="20"/>
          <w:szCs w:val="20"/>
        </w:rPr>
        <w:t xml:space="preserve"> </w:t>
      </w:r>
      <w:r w:rsidR="00CE6A37">
        <w:rPr>
          <w:rFonts w:ascii="Arial" w:hAnsi="Arial" w:cs="Arial"/>
          <w:i/>
          <w:sz w:val="20"/>
          <w:szCs w:val="20"/>
        </w:rPr>
        <w:t xml:space="preserve">of the entity </w:t>
      </w:r>
      <w:r w:rsidR="00AA7390" w:rsidRPr="00DE475B">
        <w:rPr>
          <w:rFonts w:ascii="Arial" w:hAnsi="Arial" w:cs="Arial"/>
          <w:i/>
          <w:sz w:val="20"/>
          <w:szCs w:val="20"/>
        </w:rPr>
        <w:t xml:space="preserve">for the </w:t>
      </w:r>
      <w:r w:rsidR="00CE6A37">
        <w:rPr>
          <w:rFonts w:ascii="Arial" w:hAnsi="Arial" w:cs="Arial"/>
          <w:i/>
          <w:sz w:val="20"/>
          <w:szCs w:val="20"/>
        </w:rPr>
        <w:t>f</w:t>
      </w:r>
      <w:r w:rsidR="00AA7390" w:rsidRPr="00DE475B">
        <w:rPr>
          <w:rFonts w:ascii="Arial" w:hAnsi="Arial" w:cs="Arial"/>
          <w:i/>
          <w:sz w:val="20"/>
          <w:szCs w:val="20"/>
        </w:rPr>
        <w:t xml:space="preserve">inancial </w:t>
      </w:r>
      <w:r w:rsidR="00CE6A37">
        <w:rPr>
          <w:rFonts w:ascii="Arial" w:hAnsi="Arial" w:cs="Arial"/>
          <w:i/>
          <w:sz w:val="20"/>
          <w:szCs w:val="20"/>
        </w:rPr>
        <w:t>r</w:t>
      </w:r>
      <w:r w:rsidR="00AA7390" w:rsidRPr="00DE475B">
        <w:rPr>
          <w:rFonts w:ascii="Arial" w:hAnsi="Arial" w:cs="Arial"/>
          <w:i/>
          <w:sz w:val="20"/>
          <w:szCs w:val="20"/>
        </w:rPr>
        <w:t>eport</w:t>
      </w:r>
    </w:p>
    <w:p w:rsidR="00AA7390" w:rsidRDefault="00AA7390" w:rsidP="00CE6A37">
      <w:pPr>
        <w:spacing w:after="120"/>
        <w:rPr>
          <w:rFonts w:ascii="Arial" w:hAnsi="Arial" w:cs="Arial"/>
          <w:sz w:val="20"/>
          <w:szCs w:val="20"/>
        </w:rPr>
      </w:pPr>
      <w:r w:rsidRPr="00DE475B">
        <w:rPr>
          <w:rFonts w:ascii="Arial" w:hAnsi="Arial" w:cs="Arial"/>
          <w:sz w:val="20"/>
          <w:szCs w:val="20"/>
        </w:rPr>
        <w:t xml:space="preserve">The Board is responsible for the preparation of the financial report that gives a true and fair view in accordance with </w:t>
      </w:r>
      <w:r w:rsidR="00CE6A37">
        <w:rPr>
          <w:rFonts w:ascii="Arial" w:hAnsi="Arial" w:cs="Arial"/>
          <w:sz w:val="20"/>
          <w:szCs w:val="20"/>
        </w:rPr>
        <w:t xml:space="preserve">the </w:t>
      </w:r>
      <w:r w:rsidRPr="00DE475B">
        <w:rPr>
          <w:rFonts w:ascii="Arial" w:hAnsi="Arial" w:cs="Arial"/>
          <w:i/>
          <w:sz w:val="20"/>
          <w:szCs w:val="20"/>
        </w:rPr>
        <w:t>Financial Accountability Act 2009</w:t>
      </w:r>
      <w:r w:rsidRPr="00DE475B">
        <w:rPr>
          <w:rFonts w:ascii="Arial" w:hAnsi="Arial" w:cs="Arial"/>
          <w:sz w:val="20"/>
          <w:szCs w:val="20"/>
        </w:rPr>
        <w:t xml:space="preserve"> and the </w:t>
      </w:r>
      <w:r w:rsidRPr="00DE475B">
        <w:rPr>
          <w:rFonts w:ascii="Arial" w:hAnsi="Arial" w:cs="Arial"/>
          <w:i/>
          <w:sz w:val="20"/>
          <w:szCs w:val="20"/>
        </w:rPr>
        <w:t>Financial and Performance Management Standard 2009</w:t>
      </w:r>
      <w:r w:rsidR="00CE6A37">
        <w:rPr>
          <w:rFonts w:ascii="Arial" w:hAnsi="Arial" w:cs="Arial"/>
          <w:sz w:val="20"/>
          <w:szCs w:val="20"/>
        </w:rPr>
        <w:t xml:space="preserve"> and Australian Accounting Standard, and for such internal</w:t>
      </w:r>
      <w:r w:rsidRPr="00DE475B">
        <w:rPr>
          <w:rFonts w:ascii="Arial" w:hAnsi="Arial" w:cs="Arial"/>
          <w:sz w:val="20"/>
          <w:szCs w:val="20"/>
        </w:rPr>
        <w:t xml:space="preserve"> control as the Board determines is necessary to enable the preparation of the financial report </w:t>
      </w:r>
      <w:r w:rsidR="00CE6A37">
        <w:rPr>
          <w:rFonts w:ascii="Arial" w:hAnsi="Arial" w:cs="Arial"/>
          <w:sz w:val="20"/>
          <w:szCs w:val="20"/>
        </w:rPr>
        <w:t xml:space="preserve">that </w:t>
      </w:r>
      <w:r w:rsidRPr="00DE475B">
        <w:rPr>
          <w:rFonts w:ascii="Arial" w:hAnsi="Arial" w:cs="Arial"/>
          <w:sz w:val="20"/>
          <w:szCs w:val="20"/>
        </w:rPr>
        <w:t>is free from material misstatement, whether due to fraud or error.</w:t>
      </w:r>
    </w:p>
    <w:p w:rsidR="00CE6A37" w:rsidRPr="00DE475B" w:rsidRDefault="00CE6A37" w:rsidP="005353A3">
      <w:pPr>
        <w:spacing w:after="120"/>
        <w:rPr>
          <w:rFonts w:ascii="Arial" w:hAnsi="Arial" w:cs="Arial"/>
          <w:sz w:val="20"/>
          <w:szCs w:val="20"/>
        </w:rPr>
      </w:pPr>
      <w:r>
        <w:rPr>
          <w:rFonts w:ascii="Arial" w:hAnsi="Arial" w:cs="Arial"/>
          <w:sz w:val="20"/>
          <w:szCs w:val="20"/>
        </w:rPr>
        <w:t>The Board is also responsible for assessing the parent’s and the group’s ability to continue as a going concern, disclosing, as applicable, matters relating to going concern and using the going concern basis of accounting unless it is intended to abolish the parent of group or to otherwise cease operations.</w:t>
      </w:r>
    </w:p>
    <w:p w:rsidR="00AA7390" w:rsidRPr="00DE475B" w:rsidRDefault="00CA108A" w:rsidP="00A5735E">
      <w:pPr>
        <w:spacing w:after="40"/>
        <w:rPr>
          <w:rFonts w:ascii="Arial" w:hAnsi="Arial" w:cs="Arial"/>
          <w:i/>
          <w:sz w:val="20"/>
          <w:szCs w:val="20"/>
        </w:rPr>
      </w:pPr>
      <w:r>
        <w:rPr>
          <w:rFonts w:ascii="Arial" w:hAnsi="Arial" w:cs="Arial"/>
          <w:i/>
          <w:sz w:val="20"/>
          <w:szCs w:val="20"/>
        </w:rPr>
        <w:lastRenderedPageBreak/>
        <w:t>Auditor’s responsibilities for the audit of the financial report</w:t>
      </w:r>
    </w:p>
    <w:p w:rsidR="00A5735E" w:rsidRDefault="00A5735E" w:rsidP="00AA7390">
      <w:pPr>
        <w:spacing w:after="120"/>
        <w:rPr>
          <w:rFonts w:ascii="Arial" w:hAnsi="Arial" w:cs="Arial"/>
          <w:spacing w:val="-2"/>
          <w:sz w:val="20"/>
          <w:szCs w:val="20"/>
        </w:rPr>
      </w:pPr>
      <w:r>
        <w:rPr>
          <w:rFonts w:ascii="Arial" w:hAnsi="Arial" w:cs="Arial"/>
          <w:spacing w:val="-2"/>
          <w:sz w:val="20"/>
          <w:szCs w:val="20"/>
        </w:rPr>
        <w:t xml:space="preserve">My objectives are to obtain reasonable assurance about whether the financial report as a whole is free from material misstatement, whether due to fraud or error, and to issue an auditor’s report that includes my opinion. Reasonable assurance is </w:t>
      </w:r>
      <w:r w:rsidR="005353A3">
        <w:rPr>
          <w:rFonts w:ascii="Arial" w:hAnsi="Arial" w:cs="Arial"/>
          <w:spacing w:val="-2"/>
          <w:sz w:val="20"/>
          <w:szCs w:val="20"/>
        </w:rPr>
        <w:t xml:space="preserve">a </w:t>
      </w:r>
      <w:r>
        <w:rPr>
          <w:rFonts w:ascii="Arial" w:hAnsi="Arial" w:cs="Arial"/>
          <w:spacing w:val="-2"/>
          <w:sz w:val="20"/>
          <w:szCs w:val="20"/>
        </w:rPr>
        <w:t xml:space="preserve">high level </w:t>
      </w:r>
      <w:r w:rsidR="005353A3">
        <w:rPr>
          <w:rFonts w:ascii="Arial" w:hAnsi="Arial" w:cs="Arial"/>
          <w:spacing w:val="-2"/>
          <w:sz w:val="20"/>
          <w:szCs w:val="20"/>
        </w:rPr>
        <w:t xml:space="preserve">of </w:t>
      </w:r>
      <w:r>
        <w:rPr>
          <w:rFonts w:ascii="Arial" w:hAnsi="Arial" w:cs="Arial"/>
          <w:spacing w:val="-2"/>
          <w:sz w:val="20"/>
          <w:szCs w:val="20"/>
        </w:rPr>
        <w:t xml:space="preserve">assurance, but is not a guarantee that an audit conducted in accordance with the Australian Auditing Standards will always detect a material misstatement when it exists. Misstatements can arise from fraud </w:t>
      </w:r>
      <w:r w:rsidR="00936B1F">
        <w:rPr>
          <w:rFonts w:ascii="Arial" w:hAnsi="Arial" w:cs="Arial"/>
          <w:spacing w:val="-2"/>
          <w:sz w:val="20"/>
          <w:szCs w:val="20"/>
        </w:rPr>
        <w:t>or error and are considered material if, individually or in aggregate, they could reasonably be expected to influence the economic decisions of users taken on the basis of this financial report.</w:t>
      </w:r>
    </w:p>
    <w:p w:rsidR="00936B1F" w:rsidRDefault="00936B1F" w:rsidP="00AA7390">
      <w:pPr>
        <w:spacing w:after="120"/>
        <w:rPr>
          <w:rFonts w:ascii="Arial" w:hAnsi="Arial" w:cs="Arial"/>
          <w:spacing w:val="-2"/>
          <w:sz w:val="20"/>
          <w:szCs w:val="20"/>
        </w:rPr>
      </w:pPr>
      <w:r>
        <w:rPr>
          <w:rFonts w:ascii="Arial" w:hAnsi="Arial" w:cs="Arial"/>
          <w:spacing w:val="-2"/>
          <w:sz w:val="20"/>
          <w:szCs w:val="20"/>
        </w:rPr>
        <w:t>As part of an audit in accordance with the Australian Auditing Standards, I exercise professional judgement and maintain professional scepticism throughout the audit. I also:</w:t>
      </w:r>
    </w:p>
    <w:p w:rsidR="00A5735E" w:rsidRPr="00936B1F" w:rsidRDefault="00936B1F" w:rsidP="00470DF8">
      <w:pPr>
        <w:pStyle w:val="ListParagraph"/>
        <w:numPr>
          <w:ilvl w:val="0"/>
          <w:numId w:val="15"/>
        </w:numPr>
        <w:spacing w:after="40"/>
        <w:ind w:left="426" w:hanging="426"/>
        <w:rPr>
          <w:spacing w:val="-2"/>
          <w:sz w:val="20"/>
        </w:rPr>
      </w:pPr>
      <w:r w:rsidRPr="00936B1F">
        <w:rPr>
          <w:spacing w:val="-2"/>
          <w:sz w:val="20"/>
        </w:rPr>
        <w:t>Identify and assess the risks of material misstatement of the financial report, whether due to fraud and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 or the override of internal control.</w:t>
      </w:r>
    </w:p>
    <w:p w:rsidR="00936B1F" w:rsidRDefault="00936B1F" w:rsidP="00470DF8">
      <w:pPr>
        <w:pStyle w:val="ListParagraph"/>
        <w:numPr>
          <w:ilvl w:val="0"/>
          <w:numId w:val="15"/>
        </w:numPr>
        <w:spacing w:after="40"/>
        <w:ind w:left="426" w:hanging="426"/>
        <w:rPr>
          <w:spacing w:val="-2"/>
          <w:sz w:val="20"/>
        </w:rPr>
      </w:pPr>
      <w:r w:rsidRPr="00936B1F">
        <w:rPr>
          <w:spacing w:val="-2"/>
          <w:sz w:val="20"/>
        </w:rPr>
        <w:t>Obtain an understanding of internal control relevant to the audit in order to design audit procedures that are appropriate in the circumstances, but not for expressing an opinion on the effectiveness of the parent’s and group’s internal control.</w:t>
      </w:r>
    </w:p>
    <w:p w:rsidR="00936B1F" w:rsidRDefault="00936B1F" w:rsidP="00470DF8">
      <w:pPr>
        <w:pStyle w:val="ListParagraph"/>
        <w:numPr>
          <w:ilvl w:val="0"/>
          <w:numId w:val="15"/>
        </w:numPr>
        <w:spacing w:after="40"/>
        <w:ind w:left="426" w:hanging="426"/>
        <w:rPr>
          <w:spacing w:val="-2"/>
          <w:sz w:val="20"/>
        </w:rPr>
      </w:pPr>
      <w:r>
        <w:rPr>
          <w:spacing w:val="-2"/>
          <w:sz w:val="20"/>
        </w:rPr>
        <w:t>Evaluate the appropriateness of accounting policies used and the reasonableness of accounting estimates and related disclosures made by the group.</w:t>
      </w:r>
    </w:p>
    <w:p w:rsidR="00C97972" w:rsidRDefault="00C97972" w:rsidP="00470DF8">
      <w:pPr>
        <w:pStyle w:val="ListParagraph"/>
        <w:numPr>
          <w:ilvl w:val="0"/>
          <w:numId w:val="15"/>
        </w:numPr>
        <w:spacing w:after="40"/>
        <w:ind w:left="426" w:hanging="426"/>
        <w:rPr>
          <w:spacing w:val="-2"/>
          <w:sz w:val="20"/>
        </w:rPr>
      </w:pPr>
      <w:r>
        <w:rPr>
          <w:spacing w:val="-2"/>
          <w:sz w:val="20"/>
        </w:rPr>
        <w:t xml:space="preserve">Conclude on the appropriateness of the parent’s and group’s use of the going concern basis of accounting and, based on the audit evidence obtained, whether a material uncertainty exists related to events or conditions that may cast significant doubt on the parent’s or group’s ability to continue as an ongoing concern. If I conclude that a material uncertainty exists, I am required to draw attention to my auditor’s report to the related </w:t>
      </w:r>
      <w:r w:rsidR="006A6627">
        <w:rPr>
          <w:spacing w:val="-2"/>
          <w:sz w:val="20"/>
        </w:rPr>
        <w:t xml:space="preserve">disclosures in the financial report or, if such disclosures are inadequate, to modify my </w:t>
      </w:r>
      <w:r>
        <w:rPr>
          <w:spacing w:val="-2"/>
          <w:sz w:val="20"/>
        </w:rPr>
        <w:t xml:space="preserve">opinion. I base my conclusions on the audit evidence obtained up to the date of my auditor’s report. However, future events or conditions may cause the parent or group to cease to continue as a </w:t>
      </w:r>
      <w:r w:rsidR="006A6627">
        <w:rPr>
          <w:spacing w:val="-2"/>
          <w:sz w:val="20"/>
        </w:rPr>
        <w:t>g</w:t>
      </w:r>
      <w:r>
        <w:rPr>
          <w:spacing w:val="-2"/>
          <w:sz w:val="20"/>
        </w:rPr>
        <w:t xml:space="preserve">oing concern. </w:t>
      </w:r>
    </w:p>
    <w:p w:rsidR="00C97972" w:rsidRDefault="001F026E" w:rsidP="00470DF8">
      <w:pPr>
        <w:pStyle w:val="ListParagraph"/>
        <w:numPr>
          <w:ilvl w:val="0"/>
          <w:numId w:val="15"/>
        </w:numPr>
        <w:spacing w:after="40"/>
        <w:ind w:left="426" w:hanging="426"/>
        <w:rPr>
          <w:spacing w:val="-2"/>
          <w:sz w:val="20"/>
        </w:rPr>
      </w:pPr>
      <w:r>
        <w:rPr>
          <w:spacing w:val="-2"/>
          <w:sz w:val="20"/>
        </w:rPr>
        <w:t>Evaluate the overall presentation, structure and content of the financial report, including the disclosures, and whether the financial report represents the underlying transactions and events in a manner that achieves fair presentation.</w:t>
      </w:r>
    </w:p>
    <w:p w:rsidR="001F026E" w:rsidRDefault="001F026E" w:rsidP="00470DF8">
      <w:pPr>
        <w:pStyle w:val="ListParagraph"/>
        <w:numPr>
          <w:ilvl w:val="0"/>
          <w:numId w:val="15"/>
        </w:numPr>
        <w:spacing w:after="120"/>
        <w:ind w:left="426" w:hanging="426"/>
        <w:rPr>
          <w:spacing w:val="-2"/>
          <w:sz w:val="20"/>
        </w:rPr>
      </w:pPr>
      <w:r>
        <w:rPr>
          <w:spacing w:val="-2"/>
          <w:sz w:val="20"/>
        </w:rPr>
        <w:t>Obtain sufficient appropriate audit evidence regarding the financial information of the entities or business activities within the group to express an opinion on the financial report. I am responsible for the direction, supervision and performance of the audit of the group. I remain solely responsible for my audit opinion.</w:t>
      </w:r>
    </w:p>
    <w:p w:rsidR="001F026E" w:rsidRPr="001F026E" w:rsidRDefault="001F026E" w:rsidP="001F026E">
      <w:pPr>
        <w:spacing w:after="120"/>
        <w:rPr>
          <w:rFonts w:ascii="Arial" w:hAnsi="Arial" w:cs="Arial"/>
          <w:spacing w:val="-2"/>
          <w:sz w:val="20"/>
          <w:szCs w:val="20"/>
        </w:rPr>
      </w:pPr>
      <w:r w:rsidRPr="001F026E">
        <w:rPr>
          <w:rFonts w:ascii="Arial" w:hAnsi="Arial" w:cs="Arial"/>
          <w:spacing w:val="-2"/>
          <w:sz w:val="20"/>
          <w:szCs w:val="20"/>
        </w:rPr>
        <w:t xml:space="preserve">I </w:t>
      </w:r>
      <w:r>
        <w:rPr>
          <w:rFonts w:ascii="Arial" w:hAnsi="Arial" w:cs="Arial"/>
          <w:spacing w:val="-2"/>
          <w:sz w:val="20"/>
          <w:szCs w:val="20"/>
        </w:rPr>
        <w:t>communicate with the B</w:t>
      </w:r>
      <w:r w:rsidRPr="001F026E">
        <w:rPr>
          <w:rFonts w:ascii="Arial" w:hAnsi="Arial" w:cs="Arial"/>
          <w:spacing w:val="-2"/>
          <w:sz w:val="20"/>
          <w:szCs w:val="20"/>
        </w:rPr>
        <w:t xml:space="preserve">oard </w:t>
      </w:r>
      <w:r>
        <w:rPr>
          <w:rFonts w:ascii="Arial" w:hAnsi="Arial" w:cs="Arial"/>
          <w:spacing w:val="-2"/>
          <w:sz w:val="20"/>
          <w:szCs w:val="20"/>
        </w:rPr>
        <w:t>regarding, among other matters, the planned scope and timing of the audit and significant audit findings, including any significant deficiencies in internal control that I identify during my audit.</w:t>
      </w:r>
    </w:p>
    <w:p w:rsidR="00A05347" w:rsidRDefault="00AA7390" w:rsidP="009E4FF1">
      <w:pPr>
        <w:spacing w:after="40"/>
        <w:rPr>
          <w:rFonts w:ascii="Arial" w:hAnsi="Arial" w:cs="Arial"/>
          <w:i/>
          <w:sz w:val="20"/>
          <w:szCs w:val="20"/>
        </w:rPr>
      </w:pPr>
      <w:r w:rsidRPr="00DE475B">
        <w:rPr>
          <w:rFonts w:ascii="Arial" w:hAnsi="Arial" w:cs="Arial"/>
          <w:sz w:val="20"/>
          <w:szCs w:val="20"/>
        </w:rPr>
        <w:t xml:space="preserve">In accordance with s.40 of the </w:t>
      </w:r>
      <w:r w:rsidRPr="00DE475B">
        <w:rPr>
          <w:rFonts w:ascii="Arial" w:hAnsi="Arial" w:cs="Arial"/>
          <w:i/>
          <w:sz w:val="20"/>
          <w:szCs w:val="20"/>
        </w:rPr>
        <w:t>Auditor-General Act 2009</w:t>
      </w:r>
      <w:r w:rsidR="00A05347" w:rsidRPr="00A05347">
        <w:rPr>
          <w:rFonts w:ascii="Arial" w:hAnsi="Arial" w:cs="Arial"/>
          <w:sz w:val="20"/>
          <w:szCs w:val="20"/>
        </w:rPr>
        <w:t>, for the year ended 30 June 2017:</w:t>
      </w:r>
    </w:p>
    <w:p w:rsidR="00AA7390" w:rsidRPr="00DE475B" w:rsidRDefault="00A05347" w:rsidP="00412324">
      <w:pPr>
        <w:pStyle w:val="ListParagraph"/>
        <w:numPr>
          <w:ilvl w:val="0"/>
          <w:numId w:val="16"/>
        </w:numPr>
        <w:spacing w:after="40"/>
        <w:rPr>
          <w:sz w:val="20"/>
        </w:rPr>
      </w:pPr>
      <w:r>
        <w:rPr>
          <w:sz w:val="20"/>
        </w:rPr>
        <w:t xml:space="preserve">I </w:t>
      </w:r>
      <w:r w:rsidR="00AA7390" w:rsidRPr="00DE475B">
        <w:rPr>
          <w:sz w:val="20"/>
        </w:rPr>
        <w:t>received all the information and explanations I required</w:t>
      </w:r>
      <w:r>
        <w:rPr>
          <w:sz w:val="20"/>
        </w:rPr>
        <w:t>.</w:t>
      </w:r>
    </w:p>
    <w:p w:rsidR="00AA7390" w:rsidRPr="00DE475B" w:rsidRDefault="00A05347" w:rsidP="00412324">
      <w:pPr>
        <w:pStyle w:val="ListParagraph"/>
        <w:numPr>
          <w:ilvl w:val="0"/>
          <w:numId w:val="16"/>
        </w:numPr>
        <w:spacing w:after="40"/>
        <w:rPr>
          <w:sz w:val="20"/>
        </w:rPr>
      </w:pPr>
      <w:r>
        <w:rPr>
          <w:sz w:val="20"/>
        </w:rPr>
        <w:t>I</w:t>
      </w:r>
      <w:r w:rsidR="00AA7390" w:rsidRPr="00DE475B">
        <w:rPr>
          <w:sz w:val="20"/>
        </w:rPr>
        <w:t xml:space="preserve">n my opinion the prescribed requirements in relation to the establishment and keeping of accounts </w:t>
      </w:r>
      <w:r>
        <w:rPr>
          <w:sz w:val="20"/>
        </w:rPr>
        <w:t>were</w:t>
      </w:r>
      <w:r w:rsidR="00AA7390" w:rsidRPr="00DE475B">
        <w:rPr>
          <w:sz w:val="20"/>
        </w:rPr>
        <w:t xml:space="preserve"> complied with in all material respects</w:t>
      </w:r>
      <w:r>
        <w:rPr>
          <w:sz w:val="20"/>
        </w:rPr>
        <w:t>.</w:t>
      </w:r>
    </w:p>
    <w:p w:rsidR="00AA7390" w:rsidRPr="00DE475B" w:rsidRDefault="00AA7390" w:rsidP="00AA7390">
      <w:pPr>
        <w:spacing w:after="120"/>
        <w:rPr>
          <w:rFonts w:ascii="Arial" w:hAnsi="Arial" w:cs="Arial"/>
          <w:i/>
          <w:sz w:val="20"/>
          <w:szCs w:val="20"/>
        </w:rPr>
      </w:pPr>
    </w:p>
    <w:p w:rsidR="00A05347" w:rsidRPr="001F026E" w:rsidRDefault="00C81372" w:rsidP="003A3901">
      <w:pPr>
        <w:spacing w:after="120"/>
        <w:rPr>
          <w:rFonts w:ascii="Arial" w:hAnsi="Arial" w:cs="Arial"/>
          <w:sz w:val="20"/>
          <w:szCs w:val="20"/>
        </w:rPr>
        <w:sectPr w:rsidR="00A05347" w:rsidRPr="001F026E" w:rsidSect="00385DD9">
          <w:headerReference w:type="even" r:id="rId71"/>
          <w:headerReference w:type="default" r:id="rId72"/>
          <w:footerReference w:type="even" r:id="rId73"/>
          <w:footerReference w:type="default" r:id="rId74"/>
          <w:headerReference w:type="first" r:id="rId75"/>
          <w:footerReference w:type="first" r:id="rId76"/>
          <w:pgSz w:w="11906" w:h="16838"/>
          <w:pgMar w:top="1440" w:right="1440" w:bottom="1440" w:left="1440" w:header="680" w:footer="680" w:gutter="0"/>
          <w:cols w:space="720"/>
          <w:docGrid w:linePitch="360"/>
        </w:sectPr>
      </w:pPr>
      <w:r>
        <w:rPr>
          <w:rFonts w:ascii="Arial" w:hAnsi="Arial" w:cs="Arial"/>
          <w:noProof/>
          <w:sz w:val="20"/>
          <w:szCs w:val="20"/>
          <w:lang w:eastAsia="en-AU"/>
        </w:rPr>
        <w:drawing>
          <wp:inline distT="0" distB="0" distL="0" distR="0">
            <wp:extent cx="5490845" cy="84391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77">
                      <a:extLst>
                        <a:ext uri="{28A0092B-C50C-407E-A947-70E740481C1C}">
                          <a14:useLocalDpi xmlns:a14="http://schemas.microsoft.com/office/drawing/2010/main" val="0"/>
                        </a:ext>
                      </a:extLst>
                    </a:blip>
                    <a:stretch>
                      <a:fillRect/>
                    </a:stretch>
                  </pic:blipFill>
                  <pic:spPr>
                    <a:xfrm>
                      <a:off x="0" y="0"/>
                      <a:ext cx="5490845" cy="843915"/>
                    </a:xfrm>
                    <a:prstGeom prst="rect">
                      <a:avLst/>
                    </a:prstGeom>
                  </pic:spPr>
                </pic:pic>
              </a:graphicData>
            </a:graphic>
          </wp:inline>
        </w:drawing>
      </w: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F2469C" w:rsidRDefault="00F2469C" w:rsidP="00152C93">
      <w:pPr>
        <w:suppressAutoHyphens w:val="0"/>
        <w:autoSpaceDE/>
        <w:rPr>
          <w:color w:val="808080"/>
        </w:rPr>
      </w:pPr>
    </w:p>
    <w:p w:rsidR="00F2469C" w:rsidRDefault="00F2469C" w:rsidP="00152C93">
      <w:pPr>
        <w:suppressAutoHyphens w:val="0"/>
        <w:autoSpaceDE/>
        <w:rPr>
          <w:color w:val="808080"/>
        </w:rPr>
      </w:pPr>
    </w:p>
    <w:p w:rsidR="00F2469C" w:rsidRDefault="00F2469C" w:rsidP="00152C93">
      <w:pPr>
        <w:suppressAutoHyphens w:val="0"/>
        <w:autoSpaceDE/>
        <w:rPr>
          <w:color w:val="808080"/>
        </w:rPr>
      </w:pPr>
    </w:p>
    <w:p w:rsidR="00F2469C" w:rsidRDefault="00F2469C" w:rsidP="00152C93">
      <w:pPr>
        <w:suppressAutoHyphens w:val="0"/>
        <w:autoSpaceDE/>
        <w:rPr>
          <w:color w:val="808080"/>
        </w:rPr>
      </w:pPr>
    </w:p>
    <w:p w:rsidR="00F2469C" w:rsidRDefault="00F2469C" w:rsidP="00152C93">
      <w:pPr>
        <w:suppressAutoHyphens w:val="0"/>
        <w:autoSpaceDE/>
        <w:rPr>
          <w:color w:val="808080"/>
        </w:rPr>
      </w:pPr>
    </w:p>
    <w:p w:rsidR="00F2469C" w:rsidRDefault="00F2469C" w:rsidP="00152C93">
      <w:pPr>
        <w:suppressAutoHyphens w:val="0"/>
        <w:autoSpaceDE/>
        <w:rPr>
          <w:color w:val="808080"/>
        </w:rPr>
      </w:pPr>
    </w:p>
    <w:p w:rsidR="00F2469C" w:rsidRDefault="00F2469C" w:rsidP="00152C93">
      <w:pPr>
        <w:suppressAutoHyphens w:val="0"/>
        <w:autoSpaceDE/>
        <w:rPr>
          <w:color w:val="808080"/>
        </w:rPr>
      </w:pPr>
    </w:p>
    <w:p w:rsidR="00F2469C" w:rsidRDefault="00F2469C" w:rsidP="00152C93">
      <w:pPr>
        <w:suppressAutoHyphens w:val="0"/>
        <w:autoSpaceDE/>
        <w:rPr>
          <w:color w:val="808080"/>
        </w:rPr>
      </w:pPr>
    </w:p>
    <w:p w:rsidR="00F2469C" w:rsidRDefault="00F2469C" w:rsidP="00152C93">
      <w:pPr>
        <w:suppressAutoHyphens w:val="0"/>
        <w:autoSpaceDE/>
        <w:rPr>
          <w:color w:val="808080"/>
        </w:rPr>
      </w:pPr>
    </w:p>
    <w:p w:rsidR="00F2469C" w:rsidRDefault="00F2469C" w:rsidP="00152C93">
      <w:pPr>
        <w:suppressAutoHyphens w:val="0"/>
        <w:autoSpaceDE/>
        <w:rPr>
          <w:color w:val="808080"/>
        </w:rPr>
      </w:pPr>
    </w:p>
    <w:p w:rsidR="00F2469C" w:rsidRDefault="00F2469C" w:rsidP="00152C93">
      <w:pPr>
        <w:suppressAutoHyphens w:val="0"/>
        <w:autoSpaceDE/>
        <w:rPr>
          <w:color w:val="808080"/>
        </w:rPr>
      </w:pPr>
    </w:p>
    <w:p w:rsidR="00F2469C" w:rsidRDefault="00F2469C" w:rsidP="00152C93">
      <w:pPr>
        <w:suppressAutoHyphens w:val="0"/>
        <w:autoSpaceDE/>
        <w:rPr>
          <w:color w:val="808080"/>
        </w:rPr>
      </w:pPr>
    </w:p>
    <w:p w:rsidR="00F2469C" w:rsidRDefault="00F2469C" w:rsidP="00152C93">
      <w:pPr>
        <w:suppressAutoHyphens w:val="0"/>
        <w:autoSpaceDE/>
        <w:rPr>
          <w:color w:val="808080"/>
        </w:rPr>
      </w:pPr>
    </w:p>
    <w:p w:rsidR="00F2469C" w:rsidRPr="00F2469C" w:rsidRDefault="00F2469C" w:rsidP="00F2469C">
      <w:pPr>
        <w:suppressAutoHyphens w:val="0"/>
        <w:autoSpaceDE/>
        <w:jc w:val="center"/>
        <w:rPr>
          <w:rFonts w:ascii="Arial" w:hAnsi="Arial" w:cs="Arial"/>
          <w:color w:val="808080"/>
          <w:sz w:val="40"/>
          <w:szCs w:val="40"/>
        </w:rPr>
      </w:pPr>
      <w:r w:rsidRPr="00F2469C">
        <w:rPr>
          <w:rFonts w:ascii="Arial" w:hAnsi="Arial" w:cs="Arial"/>
          <w:color w:val="808080"/>
          <w:sz w:val="40"/>
          <w:szCs w:val="40"/>
        </w:rPr>
        <w:t xml:space="preserve">SLQ develops sustainable services, is innovative in its use of funding and establishes strong partnerships. </w:t>
      </w:r>
    </w:p>
    <w:p w:rsidR="00F2469C" w:rsidRPr="00F2469C" w:rsidRDefault="00F2469C" w:rsidP="00F2469C">
      <w:pPr>
        <w:suppressAutoHyphens w:val="0"/>
        <w:autoSpaceDE/>
        <w:jc w:val="center"/>
        <w:rPr>
          <w:rFonts w:ascii="Arial" w:hAnsi="Arial" w:cs="Arial"/>
          <w:color w:val="808080"/>
          <w:sz w:val="40"/>
          <w:szCs w:val="40"/>
        </w:rPr>
      </w:pPr>
    </w:p>
    <w:p w:rsidR="00152C93" w:rsidRPr="00F2469C" w:rsidRDefault="00F2469C" w:rsidP="00F2469C">
      <w:pPr>
        <w:suppressAutoHyphens w:val="0"/>
        <w:autoSpaceDE/>
        <w:jc w:val="center"/>
        <w:rPr>
          <w:rFonts w:ascii="Arial" w:hAnsi="Arial" w:cs="Arial"/>
          <w:color w:val="808080"/>
          <w:sz w:val="40"/>
          <w:szCs w:val="40"/>
        </w:rPr>
      </w:pPr>
      <w:r w:rsidRPr="00F2469C">
        <w:rPr>
          <w:rFonts w:ascii="Arial" w:hAnsi="Arial" w:cs="Arial"/>
          <w:color w:val="808080"/>
          <w:sz w:val="40"/>
          <w:szCs w:val="40"/>
        </w:rPr>
        <w:t>It inspires the way people live, work, play and learn, wherever they are.</w:t>
      </w:r>
    </w:p>
    <w:p w:rsidR="00152C93" w:rsidRPr="00F2469C" w:rsidRDefault="00152C93" w:rsidP="00F2469C">
      <w:pPr>
        <w:suppressAutoHyphens w:val="0"/>
        <w:autoSpaceDE/>
        <w:jc w:val="center"/>
        <w:rPr>
          <w:rFonts w:ascii="Arial" w:hAnsi="Arial" w:cs="Arial"/>
          <w:color w:val="808080"/>
          <w:sz w:val="40"/>
          <w:szCs w:val="40"/>
        </w:rPr>
      </w:pPr>
    </w:p>
    <w:p w:rsidR="007039DD" w:rsidRDefault="007039DD">
      <w:pPr>
        <w:suppressAutoHyphens w:val="0"/>
        <w:autoSpaceDE/>
        <w:rPr>
          <w:color w:val="808080"/>
        </w:rPr>
      </w:pPr>
      <w:r>
        <w:rPr>
          <w:color w:val="808080"/>
        </w:rPr>
        <w:br w:type="page"/>
      </w: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jc w:val="center"/>
        <w:rPr>
          <w:rFonts w:ascii="Arial" w:hAnsi="Arial" w:cs="Arial"/>
          <w:color w:val="808080"/>
          <w:sz w:val="40"/>
          <w:szCs w:val="40"/>
        </w:rPr>
      </w:pPr>
      <w:r>
        <w:rPr>
          <w:rFonts w:ascii="Arial" w:hAnsi="Arial" w:cs="Arial"/>
          <w:color w:val="808080"/>
          <w:sz w:val="40"/>
          <w:szCs w:val="40"/>
        </w:rPr>
        <w:t>Collection image to be inserted</w:t>
      </w: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rsidP="00152C93">
      <w:pPr>
        <w:suppressAutoHyphens w:val="0"/>
        <w:autoSpaceDE/>
        <w:rPr>
          <w:color w:val="808080"/>
        </w:rPr>
      </w:pPr>
    </w:p>
    <w:p w:rsidR="00152C93" w:rsidRDefault="00152C93">
      <w:pPr>
        <w:suppressAutoHyphens w:val="0"/>
        <w:autoSpaceDE/>
        <w:rPr>
          <w:rFonts w:ascii="Arial" w:hAnsi="Arial" w:cs="Arial"/>
          <w:color w:val="808080"/>
          <w:sz w:val="40"/>
          <w:szCs w:val="40"/>
        </w:rPr>
      </w:pPr>
      <w:r>
        <w:rPr>
          <w:color w:val="808080"/>
        </w:rPr>
        <w:br w:type="page"/>
      </w:r>
    </w:p>
    <w:p w:rsidR="00D346B4" w:rsidRPr="00DE475B" w:rsidRDefault="00B7056C">
      <w:pPr>
        <w:pStyle w:val="ARHeading1"/>
      </w:pPr>
      <w:r w:rsidRPr="00DE475B">
        <w:rPr>
          <w:color w:val="808080"/>
        </w:rPr>
        <w:lastRenderedPageBreak/>
        <w:t>Part 6</w:t>
      </w:r>
      <w:r w:rsidR="00D346B4" w:rsidRPr="00DE475B">
        <w:rPr>
          <w:color w:val="808080"/>
        </w:rPr>
        <w:t>: Appendices</w:t>
      </w:r>
    </w:p>
    <w:p w:rsidR="00D346B4" w:rsidRPr="00DE475B" w:rsidRDefault="00D346B4">
      <w:pPr>
        <w:pStyle w:val="ARHeading1"/>
      </w:pPr>
      <w:r w:rsidRPr="00DE475B">
        <w:t>Appendix A: Functions of the Library Board</w:t>
      </w:r>
    </w:p>
    <w:p w:rsidR="00D346B4" w:rsidRPr="00DE475B" w:rsidRDefault="00D346B4">
      <w:pPr>
        <w:pStyle w:val="ARHeading1"/>
        <w:rPr>
          <w:sz w:val="24"/>
          <w:szCs w:val="24"/>
        </w:rPr>
      </w:pPr>
    </w:p>
    <w:p w:rsidR="00D346B4" w:rsidRPr="00DE475B" w:rsidRDefault="00D346B4">
      <w:pPr>
        <w:sectPr w:rsidR="00D346B4" w:rsidRPr="00DE475B" w:rsidSect="00B53922">
          <w:headerReference w:type="even" r:id="rId78"/>
          <w:headerReference w:type="default" r:id="rId79"/>
          <w:footerReference w:type="even" r:id="rId80"/>
          <w:footerReference w:type="default" r:id="rId81"/>
          <w:headerReference w:type="first" r:id="rId82"/>
          <w:footerReference w:type="first" r:id="rId83"/>
          <w:pgSz w:w="11906" w:h="16838"/>
          <w:pgMar w:top="1440" w:right="1701" w:bottom="1440" w:left="1701" w:header="680" w:footer="680" w:gutter="0"/>
          <w:cols w:space="720"/>
          <w:docGrid w:linePitch="360"/>
        </w:sectPr>
      </w:pPr>
    </w:p>
    <w:p w:rsidR="00D346B4" w:rsidRPr="00DE475B" w:rsidRDefault="00D346B4">
      <w:pPr>
        <w:spacing w:after="40"/>
        <w:rPr>
          <w:rFonts w:ascii="Arial" w:hAnsi="Arial" w:cs="Arial"/>
          <w:spacing w:val="-2"/>
          <w:sz w:val="20"/>
          <w:szCs w:val="20"/>
        </w:rPr>
      </w:pPr>
      <w:r w:rsidRPr="00DE475B">
        <w:rPr>
          <w:rFonts w:ascii="Arial" w:hAnsi="Arial" w:cs="Arial"/>
          <w:spacing w:val="-2"/>
          <w:sz w:val="20"/>
          <w:szCs w:val="20"/>
        </w:rPr>
        <w:lastRenderedPageBreak/>
        <w:t xml:space="preserve">The functions of the Library Board, as set out in Section 20(1) of the </w:t>
      </w:r>
      <w:r w:rsidRPr="00DE475B">
        <w:rPr>
          <w:rFonts w:ascii="Arial" w:hAnsi="Arial" w:cs="Arial"/>
          <w:i/>
          <w:iCs/>
          <w:spacing w:val="-2"/>
          <w:sz w:val="20"/>
          <w:szCs w:val="20"/>
        </w:rPr>
        <w:t>Libraries Act 1988</w:t>
      </w:r>
      <w:r w:rsidRPr="00DE475B">
        <w:rPr>
          <w:rFonts w:ascii="Arial" w:hAnsi="Arial" w:cs="Arial"/>
          <w:spacing w:val="-2"/>
          <w:sz w:val="20"/>
          <w:szCs w:val="20"/>
        </w:rPr>
        <w:t>, are:</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(a) </w:t>
      </w:r>
      <w:proofErr w:type="gramStart"/>
      <w:r w:rsidRPr="00DE475B">
        <w:rPr>
          <w:rFonts w:ascii="Arial" w:hAnsi="Arial" w:cs="Arial"/>
          <w:sz w:val="20"/>
          <w:szCs w:val="20"/>
        </w:rPr>
        <w:t>to</w:t>
      </w:r>
      <w:proofErr w:type="gramEnd"/>
      <w:r w:rsidRPr="00DE475B">
        <w:rPr>
          <w:rFonts w:ascii="Arial" w:hAnsi="Arial" w:cs="Arial"/>
          <w:sz w:val="20"/>
          <w:szCs w:val="20"/>
        </w:rPr>
        <w:t xml:space="preserve"> promote the advancement and effective operation and coordination of public libraries of all descriptions throughout the State</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(b) </w:t>
      </w:r>
      <w:proofErr w:type="gramStart"/>
      <w:r w:rsidRPr="00DE475B">
        <w:rPr>
          <w:rFonts w:ascii="Arial" w:hAnsi="Arial" w:cs="Arial"/>
          <w:sz w:val="20"/>
          <w:szCs w:val="20"/>
        </w:rPr>
        <w:t>to</w:t>
      </w:r>
      <w:proofErr w:type="gramEnd"/>
      <w:r w:rsidRPr="00DE475B">
        <w:rPr>
          <w:rFonts w:ascii="Arial" w:hAnsi="Arial" w:cs="Arial"/>
          <w:sz w:val="20"/>
          <w:szCs w:val="20"/>
        </w:rPr>
        <w:t xml:space="preserve"> encourage and facilitate the use of public libraries of all descriptions throughout the State</w:t>
      </w:r>
    </w:p>
    <w:p w:rsidR="00D346B4" w:rsidRPr="00DE475B" w:rsidRDefault="00D346B4">
      <w:pPr>
        <w:spacing w:after="40"/>
        <w:rPr>
          <w:rFonts w:ascii="Arial" w:hAnsi="Arial" w:cs="Arial"/>
          <w:sz w:val="20"/>
          <w:szCs w:val="20"/>
        </w:rPr>
      </w:pPr>
      <w:r w:rsidRPr="00DE475B">
        <w:rPr>
          <w:rFonts w:ascii="Arial" w:hAnsi="Arial" w:cs="Arial"/>
          <w:sz w:val="20"/>
          <w:szCs w:val="20"/>
        </w:rPr>
        <w:t>(c) to promote mutual cooperation among persons and bodies in Queensland responsible for libraries of all descriptions and between such persons and bodies in Queensland and outside Queensland to enhance library and archival collections generally and to encourage their proper use</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(d) </w:t>
      </w:r>
      <w:proofErr w:type="gramStart"/>
      <w:r w:rsidRPr="00DE475B">
        <w:rPr>
          <w:rFonts w:ascii="Arial" w:hAnsi="Arial" w:cs="Arial"/>
          <w:sz w:val="20"/>
          <w:szCs w:val="20"/>
        </w:rPr>
        <w:t>to</w:t>
      </w:r>
      <w:proofErr w:type="gramEnd"/>
      <w:r w:rsidRPr="00DE475B">
        <w:rPr>
          <w:rFonts w:ascii="Arial" w:hAnsi="Arial" w:cs="Arial"/>
          <w:sz w:val="20"/>
          <w:szCs w:val="20"/>
        </w:rPr>
        <w:t xml:space="preserve"> control, maintain and manage State Library, to enhance, arrange and preserve the library, archival and other resources held by it and to exercise administrative control over access to the resources</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(e) </w:t>
      </w:r>
      <w:proofErr w:type="gramStart"/>
      <w:r w:rsidRPr="00DE475B">
        <w:rPr>
          <w:rFonts w:ascii="Arial" w:hAnsi="Arial" w:cs="Arial"/>
          <w:sz w:val="20"/>
          <w:szCs w:val="20"/>
        </w:rPr>
        <w:t>to</w:t>
      </w:r>
      <w:proofErr w:type="gramEnd"/>
      <w:r w:rsidRPr="00DE475B">
        <w:rPr>
          <w:rFonts w:ascii="Arial" w:hAnsi="Arial" w:cs="Arial"/>
          <w:sz w:val="20"/>
          <w:szCs w:val="20"/>
        </w:rPr>
        <w:t xml:space="preserve"> control, manage and maintain all lands, premises and other property vested in or p</w:t>
      </w:r>
      <w:r w:rsidR="000631C2" w:rsidRPr="00DE475B">
        <w:rPr>
          <w:rFonts w:ascii="Arial" w:hAnsi="Arial" w:cs="Arial"/>
          <w:sz w:val="20"/>
          <w:szCs w:val="20"/>
        </w:rPr>
        <w:t>laced under the control of the B</w:t>
      </w:r>
      <w:r w:rsidRPr="00DE475B">
        <w:rPr>
          <w:rFonts w:ascii="Arial" w:hAnsi="Arial" w:cs="Arial"/>
          <w:sz w:val="20"/>
          <w:szCs w:val="20"/>
        </w:rPr>
        <w:t>oard</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(f) </w:t>
      </w:r>
      <w:proofErr w:type="gramStart"/>
      <w:r w:rsidRPr="00DE475B">
        <w:rPr>
          <w:rFonts w:ascii="Arial" w:hAnsi="Arial" w:cs="Arial"/>
          <w:sz w:val="20"/>
          <w:szCs w:val="20"/>
        </w:rPr>
        <w:t>to</w:t>
      </w:r>
      <w:proofErr w:type="gramEnd"/>
      <w:r w:rsidRPr="00DE475B">
        <w:rPr>
          <w:rFonts w:ascii="Arial" w:hAnsi="Arial" w:cs="Arial"/>
          <w:sz w:val="20"/>
          <w:szCs w:val="20"/>
        </w:rPr>
        <w:t xml:space="preserve"> supervise in their duties all persons –</w:t>
      </w:r>
    </w:p>
    <w:p w:rsidR="00D346B4" w:rsidRPr="00DE475B" w:rsidRDefault="00D346B4">
      <w:pPr>
        <w:spacing w:after="40"/>
        <w:ind w:left="180"/>
        <w:rPr>
          <w:rFonts w:ascii="Arial" w:hAnsi="Arial" w:cs="Arial"/>
          <w:sz w:val="20"/>
          <w:szCs w:val="20"/>
        </w:rPr>
      </w:pPr>
      <w:r w:rsidRPr="00DE475B">
        <w:rPr>
          <w:rFonts w:ascii="Arial" w:hAnsi="Arial" w:cs="Arial"/>
          <w:sz w:val="20"/>
          <w:szCs w:val="20"/>
        </w:rPr>
        <w:t>(</w:t>
      </w:r>
      <w:proofErr w:type="spellStart"/>
      <w:r w:rsidRPr="00DE475B">
        <w:rPr>
          <w:rFonts w:ascii="Arial" w:hAnsi="Arial" w:cs="Arial"/>
          <w:sz w:val="20"/>
          <w:szCs w:val="20"/>
        </w:rPr>
        <w:t>i</w:t>
      </w:r>
      <w:proofErr w:type="spellEnd"/>
      <w:r w:rsidRPr="00DE475B">
        <w:rPr>
          <w:rFonts w:ascii="Arial" w:hAnsi="Arial" w:cs="Arial"/>
          <w:sz w:val="20"/>
          <w:szCs w:val="20"/>
        </w:rPr>
        <w:t xml:space="preserve">) </w:t>
      </w:r>
      <w:proofErr w:type="gramStart"/>
      <w:r w:rsidRPr="00DE475B">
        <w:rPr>
          <w:rFonts w:ascii="Arial" w:hAnsi="Arial" w:cs="Arial"/>
          <w:sz w:val="20"/>
          <w:szCs w:val="20"/>
        </w:rPr>
        <w:t>performing</w:t>
      </w:r>
      <w:proofErr w:type="gramEnd"/>
      <w:r w:rsidRPr="00DE475B">
        <w:rPr>
          <w:rFonts w:ascii="Arial" w:hAnsi="Arial" w:cs="Arial"/>
          <w:sz w:val="20"/>
          <w:szCs w:val="20"/>
        </w:rPr>
        <w:t xml:space="preserve"> work for the </w:t>
      </w:r>
      <w:r w:rsidR="000631C2" w:rsidRPr="00DE475B">
        <w:rPr>
          <w:rFonts w:ascii="Arial" w:hAnsi="Arial" w:cs="Arial"/>
          <w:sz w:val="20"/>
          <w:szCs w:val="20"/>
        </w:rPr>
        <w:t>B</w:t>
      </w:r>
      <w:r w:rsidRPr="00DE475B">
        <w:rPr>
          <w:rFonts w:ascii="Arial" w:hAnsi="Arial" w:cs="Arial"/>
          <w:sz w:val="20"/>
          <w:szCs w:val="20"/>
        </w:rPr>
        <w:t>oard under a work performance arrangement</w:t>
      </w:r>
    </w:p>
    <w:p w:rsidR="00D346B4" w:rsidRPr="00DE475B" w:rsidRDefault="00D346B4">
      <w:pPr>
        <w:spacing w:after="40"/>
        <w:ind w:left="180"/>
        <w:rPr>
          <w:rFonts w:ascii="Arial" w:hAnsi="Arial" w:cs="Arial"/>
          <w:sz w:val="20"/>
          <w:szCs w:val="20"/>
        </w:rPr>
      </w:pPr>
      <w:r w:rsidRPr="00DE475B">
        <w:rPr>
          <w:rFonts w:ascii="Arial" w:hAnsi="Arial" w:cs="Arial"/>
          <w:sz w:val="20"/>
          <w:szCs w:val="20"/>
        </w:rPr>
        <w:t xml:space="preserve">(ii) </w:t>
      </w:r>
      <w:proofErr w:type="gramStart"/>
      <w:r w:rsidRPr="00DE475B">
        <w:rPr>
          <w:rFonts w:ascii="Arial" w:hAnsi="Arial" w:cs="Arial"/>
          <w:sz w:val="20"/>
          <w:szCs w:val="20"/>
        </w:rPr>
        <w:t>appointed</w:t>
      </w:r>
      <w:proofErr w:type="gramEnd"/>
      <w:r w:rsidRPr="00DE475B">
        <w:rPr>
          <w:rFonts w:ascii="Arial" w:hAnsi="Arial" w:cs="Arial"/>
          <w:sz w:val="20"/>
          <w:szCs w:val="20"/>
        </w:rPr>
        <w:t xml:space="preserve"> or employed under this Act</w:t>
      </w:r>
    </w:p>
    <w:p w:rsidR="00D346B4" w:rsidRPr="00DE475B" w:rsidRDefault="00D346B4">
      <w:pPr>
        <w:spacing w:after="40"/>
        <w:rPr>
          <w:rFonts w:ascii="Arial" w:hAnsi="Arial" w:cs="Arial"/>
          <w:i/>
          <w:iCs/>
          <w:sz w:val="20"/>
          <w:szCs w:val="20"/>
        </w:rPr>
      </w:pPr>
      <w:r w:rsidRPr="00DE475B">
        <w:rPr>
          <w:rFonts w:ascii="Arial" w:hAnsi="Arial" w:cs="Arial"/>
          <w:sz w:val="20"/>
          <w:szCs w:val="20"/>
        </w:rPr>
        <w:t xml:space="preserve">(g) </w:t>
      </w:r>
      <w:proofErr w:type="gramStart"/>
      <w:r w:rsidRPr="00DE475B">
        <w:rPr>
          <w:rFonts w:ascii="Arial" w:hAnsi="Arial" w:cs="Arial"/>
          <w:sz w:val="20"/>
          <w:szCs w:val="20"/>
        </w:rPr>
        <w:t>to</w:t>
      </w:r>
      <w:proofErr w:type="gramEnd"/>
      <w:r w:rsidRPr="00DE475B">
        <w:rPr>
          <w:rFonts w:ascii="Arial" w:hAnsi="Arial" w:cs="Arial"/>
          <w:sz w:val="20"/>
          <w:szCs w:val="20"/>
        </w:rPr>
        <w:t xml:space="preserve"> collect, arrange, preserve and provide access to a comprehensive collection of library, archival and other resources relating to Queensland or produced by Queensland authors</w:t>
      </w:r>
    </w:p>
    <w:p w:rsidR="00D346B4" w:rsidRPr="00DE475B" w:rsidRDefault="00D346B4">
      <w:pPr>
        <w:spacing w:after="40"/>
        <w:rPr>
          <w:rFonts w:ascii="Arial" w:hAnsi="Arial" w:cs="Arial"/>
          <w:sz w:val="20"/>
          <w:szCs w:val="20"/>
        </w:rPr>
      </w:pPr>
      <w:r w:rsidRPr="00DE475B">
        <w:rPr>
          <w:rFonts w:ascii="Arial" w:hAnsi="Arial" w:cs="Arial"/>
          <w:i/>
          <w:iCs/>
          <w:sz w:val="20"/>
          <w:szCs w:val="20"/>
        </w:rPr>
        <w:t>Paragraph (h) is intentionally omitted</w:t>
      </w:r>
    </w:p>
    <w:p w:rsidR="00D346B4" w:rsidRPr="00DE475B" w:rsidRDefault="00D346B4">
      <w:pPr>
        <w:spacing w:after="40"/>
        <w:rPr>
          <w:rFonts w:ascii="Arial" w:hAnsi="Arial" w:cs="Arial"/>
          <w:sz w:val="20"/>
          <w:szCs w:val="20"/>
        </w:rPr>
      </w:pPr>
      <w:r w:rsidRPr="00DE475B">
        <w:rPr>
          <w:rFonts w:ascii="Arial" w:hAnsi="Arial" w:cs="Arial"/>
          <w:sz w:val="20"/>
          <w:szCs w:val="20"/>
        </w:rPr>
        <w:t>(</w:t>
      </w:r>
      <w:proofErr w:type="spellStart"/>
      <w:r w:rsidRPr="00DE475B">
        <w:rPr>
          <w:rFonts w:ascii="Arial" w:hAnsi="Arial" w:cs="Arial"/>
          <w:sz w:val="20"/>
          <w:szCs w:val="20"/>
        </w:rPr>
        <w:t>i</w:t>
      </w:r>
      <w:proofErr w:type="spellEnd"/>
      <w:r w:rsidRPr="00DE475B">
        <w:rPr>
          <w:rFonts w:ascii="Arial" w:hAnsi="Arial" w:cs="Arial"/>
          <w:sz w:val="20"/>
          <w:szCs w:val="20"/>
        </w:rPr>
        <w:t xml:space="preserve">) </w:t>
      </w:r>
      <w:proofErr w:type="gramStart"/>
      <w:r w:rsidRPr="00DE475B">
        <w:rPr>
          <w:rFonts w:ascii="Arial" w:hAnsi="Arial" w:cs="Arial"/>
          <w:sz w:val="20"/>
          <w:szCs w:val="20"/>
        </w:rPr>
        <w:t>to</w:t>
      </w:r>
      <w:proofErr w:type="gramEnd"/>
      <w:r w:rsidRPr="00DE475B">
        <w:rPr>
          <w:rFonts w:ascii="Arial" w:hAnsi="Arial" w:cs="Arial"/>
          <w:sz w:val="20"/>
          <w:szCs w:val="20"/>
        </w:rPr>
        <w:t xml:space="preserve"> provide advice, advisory services and other assistance concerning matters connected with libraries to local governments or other public authorities</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(j) </w:t>
      </w:r>
      <w:proofErr w:type="gramStart"/>
      <w:r w:rsidRPr="00DE475B">
        <w:rPr>
          <w:rFonts w:ascii="Arial" w:hAnsi="Arial" w:cs="Arial"/>
          <w:sz w:val="20"/>
          <w:szCs w:val="20"/>
        </w:rPr>
        <w:t>to</w:t>
      </w:r>
      <w:proofErr w:type="gramEnd"/>
      <w:r w:rsidRPr="00DE475B">
        <w:rPr>
          <w:rFonts w:ascii="Arial" w:hAnsi="Arial" w:cs="Arial"/>
          <w:sz w:val="20"/>
          <w:szCs w:val="20"/>
        </w:rPr>
        <w:t xml:space="preserve"> perform </w:t>
      </w:r>
      <w:r w:rsidR="000631C2" w:rsidRPr="00DE475B">
        <w:rPr>
          <w:rFonts w:ascii="Arial" w:hAnsi="Arial" w:cs="Arial"/>
          <w:sz w:val="20"/>
          <w:szCs w:val="20"/>
        </w:rPr>
        <w:t>the functions given to the B</w:t>
      </w:r>
      <w:r w:rsidRPr="00DE475B">
        <w:rPr>
          <w:rFonts w:ascii="Arial" w:hAnsi="Arial" w:cs="Arial"/>
          <w:sz w:val="20"/>
          <w:szCs w:val="20"/>
        </w:rPr>
        <w:t>oard under another Act</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(k) </w:t>
      </w:r>
      <w:proofErr w:type="gramStart"/>
      <w:r w:rsidRPr="00DE475B">
        <w:rPr>
          <w:rFonts w:ascii="Arial" w:hAnsi="Arial" w:cs="Arial"/>
          <w:sz w:val="20"/>
          <w:szCs w:val="20"/>
        </w:rPr>
        <w:t>to</w:t>
      </w:r>
      <w:proofErr w:type="gramEnd"/>
      <w:r w:rsidRPr="00DE475B">
        <w:rPr>
          <w:rFonts w:ascii="Arial" w:hAnsi="Arial" w:cs="Arial"/>
          <w:sz w:val="20"/>
          <w:szCs w:val="20"/>
        </w:rPr>
        <w:t xml:space="preserve"> perform functions that are incidental, complementary or helpful to, or likely to enhance the effective and efficient performance of, the functions mentioned in paragraphs (a) to (j)</w:t>
      </w:r>
    </w:p>
    <w:p w:rsidR="008108EA" w:rsidRPr="00DE475B" w:rsidRDefault="00D346B4">
      <w:pPr>
        <w:spacing w:after="40"/>
        <w:rPr>
          <w:rFonts w:ascii="Arial" w:hAnsi="Arial" w:cs="Arial"/>
          <w:sz w:val="20"/>
          <w:szCs w:val="20"/>
        </w:rPr>
      </w:pPr>
      <w:r w:rsidRPr="00DE475B">
        <w:rPr>
          <w:rFonts w:ascii="Arial" w:hAnsi="Arial" w:cs="Arial"/>
          <w:sz w:val="20"/>
          <w:szCs w:val="20"/>
        </w:rPr>
        <w:t xml:space="preserve">(l) </w:t>
      </w:r>
      <w:proofErr w:type="gramStart"/>
      <w:r w:rsidRPr="00DE475B">
        <w:rPr>
          <w:rFonts w:ascii="Arial" w:hAnsi="Arial" w:cs="Arial"/>
          <w:sz w:val="20"/>
          <w:szCs w:val="20"/>
        </w:rPr>
        <w:t>to</w:t>
      </w:r>
      <w:proofErr w:type="gramEnd"/>
      <w:r w:rsidRPr="00DE475B">
        <w:rPr>
          <w:rFonts w:ascii="Arial" w:hAnsi="Arial" w:cs="Arial"/>
          <w:sz w:val="20"/>
          <w:szCs w:val="20"/>
        </w:rPr>
        <w:t xml:space="preserve"> perform functions of the type to which paragraph (k) appl</w:t>
      </w:r>
      <w:r w:rsidR="000631C2" w:rsidRPr="00DE475B">
        <w:rPr>
          <w:rFonts w:ascii="Arial" w:hAnsi="Arial" w:cs="Arial"/>
          <w:sz w:val="20"/>
          <w:szCs w:val="20"/>
        </w:rPr>
        <w:t>ies and which are given to the B</w:t>
      </w:r>
      <w:r w:rsidRPr="00DE475B">
        <w:rPr>
          <w:rFonts w:ascii="Arial" w:hAnsi="Arial" w:cs="Arial"/>
          <w:sz w:val="20"/>
          <w:szCs w:val="20"/>
        </w:rPr>
        <w:t>oard in writing by the Minister.</w:t>
      </w:r>
      <w:r w:rsidR="008108EA" w:rsidRPr="00DE475B">
        <w:rPr>
          <w:rFonts w:ascii="Arial" w:hAnsi="Arial" w:cs="Arial"/>
          <w:sz w:val="20"/>
          <w:szCs w:val="20"/>
        </w:rPr>
        <w:br w:type="column"/>
      </w:r>
      <w:r w:rsidR="008108EA" w:rsidRPr="00DE475B">
        <w:rPr>
          <w:rFonts w:ascii="Arial" w:hAnsi="Arial" w:cs="Arial"/>
          <w:sz w:val="20"/>
          <w:szCs w:val="20"/>
        </w:rPr>
        <w:lastRenderedPageBreak/>
        <w:t xml:space="preserve">The general powers of the Library Board are set out in section 22 of the </w:t>
      </w:r>
      <w:r w:rsidR="008108EA" w:rsidRPr="00DE475B">
        <w:rPr>
          <w:rFonts w:ascii="Arial" w:hAnsi="Arial" w:cs="Arial"/>
          <w:i/>
          <w:sz w:val="20"/>
          <w:szCs w:val="20"/>
        </w:rPr>
        <w:t>Libraries Act</w:t>
      </w:r>
      <w:r w:rsidR="00E93942" w:rsidRPr="00DE475B">
        <w:rPr>
          <w:rFonts w:ascii="Arial" w:hAnsi="Arial" w:cs="Arial"/>
          <w:sz w:val="20"/>
          <w:szCs w:val="20"/>
        </w:rPr>
        <w:t xml:space="preserve"> as follows:</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(1) For performing its functions, the </w:t>
      </w:r>
      <w:r w:rsidR="000631C2" w:rsidRPr="00DE475B">
        <w:rPr>
          <w:rFonts w:ascii="Arial" w:hAnsi="Arial" w:cs="Arial"/>
          <w:sz w:val="20"/>
          <w:szCs w:val="20"/>
        </w:rPr>
        <w:t>B</w:t>
      </w:r>
      <w:r w:rsidRPr="00DE475B">
        <w:rPr>
          <w:rFonts w:ascii="Arial" w:hAnsi="Arial" w:cs="Arial"/>
          <w:sz w:val="20"/>
          <w:szCs w:val="20"/>
        </w:rPr>
        <w:t xml:space="preserve">oard has all the powers of an individual and </w:t>
      </w:r>
      <w:proofErr w:type="gramStart"/>
      <w:r w:rsidRPr="00DE475B">
        <w:rPr>
          <w:rFonts w:ascii="Arial" w:hAnsi="Arial" w:cs="Arial"/>
          <w:sz w:val="20"/>
          <w:szCs w:val="20"/>
        </w:rPr>
        <w:t>may</w:t>
      </w:r>
      <w:proofErr w:type="gramEnd"/>
      <w:r w:rsidRPr="00DE475B">
        <w:rPr>
          <w:rFonts w:ascii="Arial" w:hAnsi="Arial" w:cs="Arial"/>
          <w:sz w:val="20"/>
          <w:szCs w:val="20"/>
        </w:rPr>
        <w:t>, for example —</w:t>
      </w:r>
    </w:p>
    <w:p w:rsidR="00D346B4" w:rsidRPr="00DE475B" w:rsidRDefault="00D346B4" w:rsidP="002B0B4E">
      <w:pPr>
        <w:spacing w:after="40"/>
        <w:ind w:left="180"/>
        <w:rPr>
          <w:rFonts w:ascii="Arial" w:hAnsi="Arial" w:cs="Arial"/>
          <w:sz w:val="20"/>
          <w:szCs w:val="20"/>
        </w:rPr>
      </w:pPr>
      <w:r w:rsidRPr="00DE475B">
        <w:rPr>
          <w:rFonts w:ascii="Arial" w:hAnsi="Arial" w:cs="Arial"/>
          <w:sz w:val="20"/>
          <w:szCs w:val="20"/>
        </w:rPr>
        <w:t xml:space="preserve">(a) </w:t>
      </w:r>
      <w:proofErr w:type="gramStart"/>
      <w:r w:rsidRPr="00DE475B">
        <w:rPr>
          <w:rFonts w:ascii="Arial" w:hAnsi="Arial" w:cs="Arial"/>
          <w:sz w:val="20"/>
          <w:szCs w:val="20"/>
        </w:rPr>
        <w:t>enter</w:t>
      </w:r>
      <w:proofErr w:type="gramEnd"/>
      <w:r w:rsidRPr="00DE475B">
        <w:rPr>
          <w:rFonts w:ascii="Arial" w:hAnsi="Arial" w:cs="Arial"/>
          <w:sz w:val="20"/>
          <w:szCs w:val="20"/>
        </w:rPr>
        <w:t xml:space="preserve"> into arrangements, agreements, contracts and deeds; and</w:t>
      </w:r>
    </w:p>
    <w:p w:rsidR="00D346B4" w:rsidRPr="00DE475B" w:rsidRDefault="00D346B4" w:rsidP="002B0B4E">
      <w:pPr>
        <w:spacing w:after="40"/>
        <w:ind w:left="180"/>
        <w:rPr>
          <w:rFonts w:ascii="Arial" w:hAnsi="Arial" w:cs="Arial"/>
          <w:sz w:val="20"/>
          <w:szCs w:val="20"/>
        </w:rPr>
      </w:pPr>
      <w:r w:rsidRPr="00DE475B">
        <w:rPr>
          <w:rFonts w:ascii="Arial" w:hAnsi="Arial" w:cs="Arial"/>
          <w:sz w:val="20"/>
          <w:szCs w:val="20"/>
        </w:rPr>
        <w:t xml:space="preserve">(b) </w:t>
      </w:r>
      <w:proofErr w:type="gramStart"/>
      <w:r w:rsidRPr="00DE475B">
        <w:rPr>
          <w:rFonts w:ascii="Arial" w:hAnsi="Arial" w:cs="Arial"/>
          <w:sz w:val="20"/>
          <w:szCs w:val="20"/>
        </w:rPr>
        <w:t>acquire</w:t>
      </w:r>
      <w:proofErr w:type="gramEnd"/>
      <w:r w:rsidRPr="00DE475B">
        <w:rPr>
          <w:rFonts w:ascii="Arial" w:hAnsi="Arial" w:cs="Arial"/>
          <w:sz w:val="20"/>
          <w:szCs w:val="20"/>
        </w:rPr>
        <w:t>, hold, deal with and dispose of property; and</w:t>
      </w:r>
    </w:p>
    <w:p w:rsidR="00D346B4" w:rsidRPr="00DE475B" w:rsidRDefault="00D346B4" w:rsidP="002B0B4E">
      <w:pPr>
        <w:spacing w:after="40"/>
        <w:ind w:left="180"/>
        <w:rPr>
          <w:rFonts w:ascii="Arial" w:hAnsi="Arial" w:cs="Arial"/>
          <w:sz w:val="20"/>
          <w:szCs w:val="20"/>
        </w:rPr>
      </w:pPr>
      <w:r w:rsidRPr="00DE475B">
        <w:rPr>
          <w:rFonts w:ascii="Arial" w:hAnsi="Arial" w:cs="Arial"/>
          <w:sz w:val="20"/>
          <w:szCs w:val="20"/>
        </w:rPr>
        <w:t xml:space="preserve">(c) </w:t>
      </w:r>
      <w:proofErr w:type="gramStart"/>
      <w:r w:rsidRPr="00DE475B">
        <w:rPr>
          <w:rFonts w:ascii="Arial" w:hAnsi="Arial" w:cs="Arial"/>
          <w:sz w:val="20"/>
          <w:szCs w:val="20"/>
        </w:rPr>
        <w:t>engage</w:t>
      </w:r>
      <w:proofErr w:type="gramEnd"/>
      <w:r w:rsidRPr="00DE475B">
        <w:rPr>
          <w:rFonts w:ascii="Arial" w:hAnsi="Arial" w:cs="Arial"/>
          <w:sz w:val="20"/>
          <w:szCs w:val="20"/>
        </w:rPr>
        <w:t xml:space="preserve"> consultants; and</w:t>
      </w:r>
    </w:p>
    <w:p w:rsidR="00D346B4" w:rsidRPr="00DE475B" w:rsidRDefault="00D346B4" w:rsidP="002B0B4E">
      <w:pPr>
        <w:spacing w:after="40"/>
        <w:ind w:left="180"/>
        <w:rPr>
          <w:rFonts w:ascii="Arial" w:hAnsi="Arial" w:cs="Arial"/>
          <w:sz w:val="20"/>
          <w:szCs w:val="20"/>
        </w:rPr>
      </w:pPr>
      <w:r w:rsidRPr="00DE475B">
        <w:rPr>
          <w:rFonts w:ascii="Arial" w:hAnsi="Arial" w:cs="Arial"/>
          <w:sz w:val="20"/>
          <w:szCs w:val="20"/>
        </w:rPr>
        <w:t xml:space="preserve">(d) </w:t>
      </w:r>
      <w:proofErr w:type="gramStart"/>
      <w:r w:rsidRPr="00DE475B">
        <w:rPr>
          <w:rFonts w:ascii="Arial" w:hAnsi="Arial" w:cs="Arial"/>
          <w:sz w:val="20"/>
          <w:szCs w:val="20"/>
        </w:rPr>
        <w:t>appoint</w:t>
      </w:r>
      <w:proofErr w:type="gramEnd"/>
      <w:r w:rsidRPr="00DE475B">
        <w:rPr>
          <w:rFonts w:ascii="Arial" w:hAnsi="Arial" w:cs="Arial"/>
          <w:sz w:val="20"/>
          <w:szCs w:val="20"/>
        </w:rPr>
        <w:t xml:space="preserve"> agents and attorneys; and</w:t>
      </w:r>
    </w:p>
    <w:p w:rsidR="00D346B4" w:rsidRPr="00DE475B" w:rsidRDefault="00D346B4" w:rsidP="002B0B4E">
      <w:pPr>
        <w:spacing w:after="40"/>
        <w:ind w:left="180"/>
        <w:rPr>
          <w:rFonts w:ascii="Arial" w:hAnsi="Arial" w:cs="Arial"/>
          <w:sz w:val="20"/>
          <w:szCs w:val="20"/>
        </w:rPr>
      </w:pPr>
      <w:r w:rsidRPr="00DE475B">
        <w:rPr>
          <w:rFonts w:ascii="Arial" w:hAnsi="Arial" w:cs="Arial"/>
          <w:sz w:val="20"/>
          <w:szCs w:val="20"/>
        </w:rPr>
        <w:t xml:space="preserve">(e) </w:t>
      </w:r>
      <w:proofErr w:type="gramStart"/>
      <w:r w:rsidRPr="00DE475B">
        <w:rPr>
          <w:rFonts w:ascii="Arial" w:hAnsi="Arial" w:cs="Arial"/>
          <w:sz w:val="20"/>
          <w:szCs w:val="20"/>
        </w:rPr>
        <w:t>charge</w:t>
      </w:r>
      <w:proofErr w:type="gramEnd"/>
      <w:r w:rsidRPr="00DE475B">
        <w:rPr>
          <w:rFonts w:ascii="Arial" w:hAnsi="Arial" w:cs="Arial"/>
          <w:sz w:val="20"/>
          <w:szCs w:val="20"/>
        </w:rPr>
        <w:t>, and fix terms, for goods, services, facilities and information supplied by it; and</w:t>
      </w:r>
    </w:p>
    <w:p w:rsidR="00D346B4" w:rsidRPr="00DE475B" w:rsidRDefault="00D346B4" w:rsidP="002B0B4E">
      <w:pPr>
        <w:spacing w:after="40"/>
        <w:ind w:left="180"/>
        <w:rPr>
          <w:rFonts w:ascii="Arial" w:hAnsi="Arial" w:cs="Arial"/>
          <w:sz w:val="20"/>
          <w:szCs w:val="20"/>
        </w:rPr>
      </w:pPr>
      <w:r w:rsidRPr="00DE475B">
        <w:rPr>
          <w:rFonts w:ascii="Arial" w:hAnsi="Arial" w:cs="Arial"/>
          <w:sz w:val="20"/>
          <w:szCs w:val="20"/>
        </w:rPr>
        <w:t xml:space="preserve">(f) </w:t>
      </w:r>
      <w:proofErr w:type="gramStart"/>
      <w:r w:rsidRPr="00DE475B">
        <w:rPr>
          <w:rFonts w:ascii="Arial" w:hAnsi="Arial" w:cs="Arial"/>
          <w:sz w:val="20"/>
          <w:szCs w:val="20"/>
        </w:rPr>
        <w:t>do</w:t>
      </w:r>
      <w:proofErr w:type="gramEnd"/>
      <w:r w:rsidRPr="00DE475B">
        <w:rPr>
          <w:rFonts w:ascii="Arial" w:hAnsi="Arial" w:cs="Arial"/>
          <w:sz w:val="20"/>
          <w:szCs w:val="20"/>
        </w:rPr>
        <w:t xml:space="preserve"> anything else necessary or desirable to be done in performing its functions.</w:t>
      </w:r>
    </w:p>
    <w:p w:rsidR="00D346B4" w:rsidRPr="00DE475B" w:rsidRDefault="00D346B4">
      <w:pPr>
        <w:spacing w:after="40"/>
        <w:rPr>
          <w:rFonts w:ascii="Arial" w:hAnsi="Arial" w:cs="Arial"/>
          <w:sz w:val="20"/>
          <w:szCs w:val="20"/>
        </w:rPr>
      </w:pPr>
      <w:r w:rsidRPr="00DE475B">
        <w:rPr>
          <w:rFonts w:ascii="Arial" w:hAnsi="Arial" w:cs="Arial"/>
          <w:sz w:val="20"/>
          <w:szCs w:val="20"/>
        </w:rPr>
        <w:t xml:space="preserve">(2) Without limiting subsection (1), the </w:t>
      </w:r>
      <w:r w:rsidR="000631C2" w:rsidRPr="00DE475B">
        <w:rPr>
          <w:rFonts w:ascii="Arial" w:hAnsi="Arial" w:cs="Arial"/>
          <w:sz w:val="20"/>
          <w:szCs w:val="20"/>
        </w:rPr>
        <w:t>B</w:t>
      </w:r>
      <w:r w:rsidRPr="00DE475B">
        <w:rPr>
          <w:rFonts w:ascii="Arial" w:hAnsi="Arial" w:cs="Arial"/>
          <w:sz w:val="20"/>
          <w:szCs w:val="20"/>
        </w:rPr>
        <w:t>oard has the powers given to it under this or another Act.</w:t>
      </w:r>
    </w:p>
    <w:p w:rsidR="00D346B4" w:rsidRPr="00DE475B" w:rsidRDefault="00D346B4">
      <w:pPr>
        <w:spacing w:after="40"/>
        <w:rPr>
          <w:rFonts w:ascii="Arial" w:hAnsi="Arial" w:cs="Arial"/>
          <w:sz w:val="20"/>
          <w:szCs w:val="20"/>
        </w:rPr>
      </w:pPr>
      <w:r w:rsidRPr="00DE475B">
        <w:rPr>
          <w:rFonts w:ascii="Arial" w:hAnsi="Arial" w:cs="Arial"/>
          <w:sz w:val="20"/>
          <w:szCs w:val="20"/>
        </w:rPr>
        <w:t>(3) The board may exercise its powers inside and outside Queensland, including outside Australia.</w:t>
      </w:r>
    </w:p>
    <w:p w:rsidR="00D346B4" w:rsidRPr="00DE475B" w:rsidRDefault="00D346B4" w:rsidP="008108EA">
      <w:pPr>
        <w:spacing w:after="40"/>
        <w:rPr>
          <w:sz w:val="20"/>
          <w:szCs w:val="20"/>
        </w:rPr>
        <w:sectPr w:rsidR="00D346B4" w:rsidRPr="00DE475B" w:rsidSect="00B53922">
          <w:type w:val="continuous"/>
          <w:pgSz w:w="11906" w:h="16838"/>
          <w:pgMar w:top="1440" w:right="1701" w:bottom="1440" w:left="1701" w:header="680" w:footer="680" w:gutter="0"/>
          <w:cols w:num="2" w:space="397"/>
          <w:docGrid w:linePitch="360"/>
        </w:sectPr>
      </w:pPr>
      <w:r w:rsidRPr="00DE475B">
        <w:rPr>
          <w:rFonts w:ascii="Arial" w:hAnsi="Arial" w:cs="Arial"/>
          <w:sz w:val="20"/>
          <w:szCs w:val="20"/>
        </w:rPr>
        <w:t xml:space="preserve">(4) In this section — </w:t>
      </w:r>
      <w:r w:rsidRPr="00DE475B">
        <w:rPr>
          <w:rFonts w:ascii="Arial" w:hAnsi="Arial" w:cs="Arial"/>
          <w:b/>
          <w:i/>
          <w:sz w:val="20"/>
          <w:szCs w:val="20"/>
        </w:rPr>
        <w:t>power</w:t>
      </w:r>
      <w:r w:rsidRPr="00DE475B">
        <w:rPr>
          <w:rFonts w:ascii="Arial" w:hAnsi="Arial" w:cs="Arial"/>
          <w:sz w:val="20"/>
          <w:szCs w:val="20"/>
        </w:rPr>
        <w:t xml:space="preserve"> includes legal capacity</w:t>
      </w:r>
      <w:r w:rsidRPr="00DE475B">
        <w:rPr>
          <w:sz w:val="20"/>
          <w:szCs w:val="20"/>
        </w:rPr>
        <w:t>.</w:t>
      </w:r>
    </w:p>
    <w:p w:rsidR="00D346B4" w:rsidRPr="00DE475B" w:rsidRDefault="00D346B4">
      <w:pPr>
        <w:pStyle w:val="ARHeading1"/>
        <w:pageBreakBefore/>
      </w:pPr>
      <w:r w:rsidRPr="00DE475B">
        <w:lastRenderedPageBreak/>
        <w:t>Appendix B: Library Board member biographies</w:t>
      </w:r>
    </w:p>
    <w:p w:rsidR="00D346B4" w:rsidRPr="00DE475B" w:rsidRDefault="00D346B4">
      <w:pPr>
        <w:pStyle w:val="ARheading3"/>
        <w:rPr>
          <w:sz w:val="24"/>
          <w:szCs w:val="24"/>
        </w:rPr>
      </w:pPr>
    </w:p>
    <w:p w:rsidR="00D346B4" w:rsidRPr="00DE475B" w:rsidRDefault="00D346B4">
      <w:pPr>
        <w:sectPr w:rsidR="00D346B4" w:rsidRPr="00DE475B" w:rsidSect="00B53922">
          <w:type w:val="continuous"/>
          <w:pgSz w:w="11906" w:h="16838"/>
          <w:pgMar w:top="1440" w:right="1701" w:bottom="1440" w:left="1701" w:header="680" w:footer="680" w:gutter="0"/>
          <w:cols w:space="720"/>
          <w:docGrid w:linePitch="360"/>
        </w:sectPr>
      </w:pPr>
    </w:p>
    <w:p w:rsidR="00D346B4" w:rsidRPr="00DE475B" w:rsidRDefault="00D346B4">
      <w:pPr>
        <w:pStyle w:val="ARheading3"/>
        <w:rPr>
          <w:color w:val="808080"/>
        </w:rPr>
      </w:pPr>
      <w:r w:rsidRPr="00DE475B">
        <w:lastRenderedPageBreak/>
        <w:t>Chairperson</w:t>
      </w:r>
    </w:p>
    <w:p w:rsidR="00D346B4" w:rsidRPr="00DE475B" w:rsidRDefault="00D346B4" w:rsidP="00856EC5">
      <w:pPr>
        <w:pStyle w:val="ARheading3"/>
        <w:spacing w:after="40"/>
      </w:pPr>
      <w:bookmarkStart w:id="6" w:name="sussex"/>
      <w:bookmarkStart w:id="7" w:name="brodie"/>
      <w:bookmarkEnd w:id="6"/>
      <w:bookmarkEnd w:id="7"/>
      <w:r w:rsidRPr="00DE475B">
        <w:rPr>
          <w:color w:val="808080"/>
        </w:rPr>
        <w:t>Professor Andrew Griffiths</w:t>
      </w:r>
    </w:p>
    <w:p w:rsidR="008E67A3" w:rsidRPr="00DE475B" w:rsidRDefault="008E67A3" w:rsidP="008E67A3">
      <w:pPr>
        <w:pStyle w:val="ARText"/>
        <w:spacing w:before="0" w:after="120"/>
      </w:pPr>
      <w:r w:rsidRPr="00DE475B">
        <w:t>Andrew Griffiths is the Executive Dean, Faculty of Business, Economics and Law at The University of Queensland, and holds the Chair in Business Sustainability and Strategy, and is the current Chair of the Library Board of Queensland.</w:t>
      </w:r>
    </w:p>
    <w:p w:rsidR="008E67A3" w:rsidRPr="00DE475B" w:rsidRDefault="008E67A3" w:rsidP="008E67A3">
      <w:pPr>
        <w:pStyle w:val="ARheading3"/>
        <w:rPr>
          <w:b w:val="0"/>
          <w:lang w:eastAsia="en-AU"/>
        </w:rPr>
      </w:pPr>
      <w:r w:rsidRPr="00DE475B">
        <w:rPr>
          <w:b w:val="0"/>
          <w:lang w:eastAsia="en-AU"/>
        </w:rPr>
        <w:t xml:space="preserve">He is an internationally recognised scholar with research areas including the management of corporate change and innovation, and strategic issues relating to the pursuit of corporate sustainability and innovation. Andrew has published four books and had works published in </w:t>
      </w:r>
      <w:r w:rsidRPr="00DE475B">
        <w:rPr>
          <w:b w:val="0"/>
          <w:i/>
          <w:iCs/>
          <w:lang w:eastAsia="en-AU"/>
        </w:rPr>
        <w:t>The Academy of Management Review</w:t>
      </w:r>
      <w:r w:rsidRPr="00DE475B">
        <w:rPr>
          <w:b w:val="0"/>
          <w:lang w:eastAsia="en-AU"/>
        </w:rPr>
        <w:t xml:space="preserve"> and the </w:t>
      </w:r>
      <w:r w:rsidRPr="00DE475B">
        <w:rPr>
          <w:b w:val="0"/>
          <w:i/>
          <w:iCs/>
          <w:lang w:eastAsia="en-AU"/>
        </w:rPr>
        <w:t>Journal of Management Studies</w:t>
      </w:r>
      <w:r w:rsidRPr="00DE475B">
        <w:rPr>
          <w:b w:val="0"/>
          <w:lang w:eastAsia="en-AU"/>
        </w:rPr>
        <w:t>.</w:t>
      </w:r>
    </w:p>
    <w:p w:rsidR="008E67A3" w:rsidRPr="00DE475B" w:rsidRDefault="008E67A3" w:rsidP="008E67A3">
      <w:pPr>
        <w:pStyle w:val="ARheading3"/>
        <w:rPr>
          <w:lang w:eastAsia="en-AU"/>
        </w:rPr>
      </w:pPr>
    </w:p>
    <w:p w:rsidR="00ED7F4C" w:rsidRPr="00DE475B" w:rsidRDefault="00ED7F4C" w:rsidP="008E67A3">
      <w:pPr>
        <w:pStyle w:val="ARheading3"/>
        <w:rPr>
          <w:color w:val="808080"/>
        </w:rPr>
      </w:pPr>
      <w:r w:rsidRPr="00DE475B">
        <w:t>Members</w:t>
      </w:r>
    </w:p>
    <w:p w:rsidR="008E67A3" w:rsidRPr="00DE475B" w:rsidRDefault="008E67A3" w:rsidP="008E67A3">
      <w:pPr>
        <w:pStyle w:val="ARheading3"/>
        <w:spacing w:after="40"/>
        <w:rPr>
          <w:color w:val="808080"/>
        </w:rPr>
      </w:pPr>
      <w:r w:rsidRPr="00DE475B">
        <w:rPr>
          <w:color w:val="808080"/>
        </w:rPr>
        <w:t xml:space="preserve">Ms Linda </w:t>
      </w:r>
      <w:proofErr w:type="spellStart"/>
      <w:r w:rsidRPr="00DE475B">
        <w:rPr>
          <w:color w:val="808080"/>
        </w:rPr>
        <w:t>Apelt</w:t>
      </w:r>
      <w:proofErr w:type="spellEnd"/>
    </w:p>
    <w:p w:rsidR="008E67A3" w:rsidRPr="00DE475B" w:rsidRDefault="008E67A3" w:rsidP="00B11813">
      <w:pPr>
        <w:pStyle w:val="ARText"/>
        <w:spacing w:before="0" w:after="120"/>
      </w:pPr>
      <w:r w:rsidRPr="00DE475B">
        <w:t xml:space="preserve">Linda </w:t>
      </w:r>
      <w:proofErr w:type="spellStart"/>
      <w:r w:rsidRPr="00DE475B">
        <w:t>Apelt</w:t>
      </w:r>
      <w:proofErr w:type="spellEnd"/>
      <w:r w:rsidRPr="00DE475B">
        <w:t xml:space="preserve"> is a champion for social inclusion, and is currently CEO of Montrose, a not-for-profit allied health services organisation. Prior </w:t>
      </w:r>
      <w:r w:rsidR="00660C8E">
        <w:t>to this she had a successful 14-</w:t>
      </w:r>
      <w:r w:rsidRPr="00DE475B">
        <w:t>year span as Director-General of larg</w:t>
      </w:r>
      <w:r w:rsidR="00660C8E">
        <w:t>e, complex, community services d</w:t>
      </w:r>
      <w:r w:rsidRPr="00DE475B">
        <w:t xml:space="preserve">epartments. </w:t>
      </w:r>
    </w:p>
    <w:p w:rsidR="008E67A3" w:rsidRPr="00DE475B" w:rsidRDefault="008E67A3" w:rsidP="008E67A3">
      <w:pPr>
        <w:pStyle w:val="ARText"/>
        <w:spacing w:before="0" w:after="240"/>
      </w:pPr>
      <w:r w:rsidRPr="00DE475B">
        <w:t>She has led comm</w:t>
      </w:r>
      <w:r w:rsidR="00660C8E">
        <w:t>ercialisation strategies; large-</w:t>
      </w:r>
      <w:r w:rsidRPr="00DE475B">
        <w:t xml:space="preserve">scale public policy reforms; affordable housing strategies and developments, family and </w:t>
      </w:r>
      <w:r w:rsidR="00CD440C">
        <w:t>community support programs and s</w:t>
      </w:r>
      <w:r w:rsidRPr="00DE475B">
        <w:t>tat</w:t>
      </w:r>
      <w:r w:rsidR="00CD440C">
        <w:t>e-</w:t>
      </w:r>
      <w:r w:rsidRPr="00DE475B">
        <w:t>wide community recove</w:t>
      </w:r>
      <w:r w:rsidR="00660C8E">
        <w:t>ry for natural disasters. Linda’</w:t>
      </w:r>
      <w:r w:rsidRPr="00DE475B">
        <w:t>s qualifications include Masters in Education Studies and Company Directorship, and she is also an Adjunct Professor in the Faculty of Social and Behavioural Sciences, The University of Queensland.</w:t>
      </w:r>
    </w:p>
    <w:p w:rsidR="008E67A3" w:rsidRPr="00DE475B" w:rsidRDefault="008E67A3" w:rsidP="008E67A3">
      <w:pPr>
        <w:pStyle w:val="ARheading3"/>
        <w:spacing w:after="40"/>
        <w:rPr>
          <w:color w:val="808080"/>
        </w:rPr>
      </w:pPr>
      <w:r w:rsidRPr="00DE475B">
        <w:rPr>
          <w:color w:val="808080"/>
        </w:rPr>
        <w:t xml:space="preserve">Emeritus Professor Tom Cochrane </w:t>
      </w:r>
      <w:r w:rsidRPr="00DE475B">
        <w:rPr>
          <w:smallCaps/>
          <w:color w:val="808080"/>
        </w:rPr>
        <w:t>am</w:t>
      </w:r>
    </w:p>
    <w:p w:rsidR="008E67A3" w:rsidRPr="00DE475B" w:rsidRDefault="008E67A3" w:rsidP="008E67A3">
      <w:pPr>
        <w:shd w:val="clear" w:color="auto" w:fill="FFFFFF"/>
        <w:spacing w:after="240" w:line="0" w:lineRule="atLeast"/>
        <w:textAlignment w:val="baseline"/>
      </w:pPr>
      <w:r w:rsidRPr="00DE475B">
        <w:rPr>
          <w:rFonts w:ascii="Arial" w:eastAsia="Batang" w:hAnsi="Arial" w:cs="Arial"/>
          <w:bCs/>
          <w:color w:val="auto"/>
          <w:kern w:val="1"/>
          <w:sz w:val="20"/>
          <w:szCs w:val="22"/>
        </w:rPr>
        <w:t xml:space="preserve">Tom Cochrane </w:t>
      </w:r>
      <w:r w:rsidRPr="00DE475B">
        <w:rPr>
          <w:rFonts w:ascii="Arial" w:hAnsi="Arial" w:cs="Arial"/>
          <w:smallCaps/>
          <w:kern w:val="20"/>
          <w:sz w:val="20"/>
          <w:szCs w:val="20"/>
        </w:rPr>
        <w:t>am</w:t>
      </w:r>
      <w:r w:rsidRPr="00DE475B">
        <w:rPr>
          <w:rFonts w:ascii="Arial" w:eastAsia="Batang" w:hAnsi="Arial" w:cs="Arial"/>
          <w:bCs/>
          <w:smallCaps/>
          <w:color w:val="auto"/>
          <w:kern w:val="20"/>
          <w:sz w:val="20"/>
          <w:szCs w:val="22"/>
        </w:rPr>
        <w:t xml:space="preserve"> </w:t>
      </w:r>
      <w:r w:rsidRPr="00DE475B">
        <w:rPr>
          <w:rFonts w:ascii="Arial" w:eastAsia="Batang" w:hAnsi="Arial" w:cs="Arial"/>
          <w:bCs/>
          <w:color w:val="auto"/>
          <w:kern w:val="1"/>
          <w:sz w:val="20"/>
          <w:szCs w:val="22"/>
        </w:rPr>
        <w:t>was appointed a Member of the Order of Australia (</w:t>
      </w:r>
      <w:r w:rsidRPr="00DE475B">
        <w:rPr>
          <w:rFonts w:ascii="Arial" w:hAnsi="Arial" w:cs="Arial"/>
          <w:smallCaps/>
          <w:kern w:val="20"/>
          <w:sz w:val="20"/>
          <w:szCs w:val="20"/>
        </w:rPr>
        <w:t>am</w:t>
      </w:r>
      <w:r w:rsidRPr="00DE475B">
        <w:rPr>
          <w:rFonts w:ascii="Arial" w:eastAsia="Batang" w:hAnsi="Arial" w:cs="Arial"/>
          <w:bCs/>
          <w:color w:val="auto"/>
          <w:kern w:val="1"/>
          <w:sz w:val="20"/>
          <w:szCs w:val="22"/>
        </w:rPr>
        <w:t>) for his service to library and information management, and to education through digital learning initiatives. He is currently an Emeritus Professor, Faculty of Law, Queensland University of Technology, working in Innovation. Tom is also a Fellow of the Australian Library and Information Association, Director at the Australian Digital Alliance, and has just concluded a second term as Queensland Museum Board Member.</w:t>
      </w:r>
    </w:p>
    <w:p w:rsidR="008E67A3" w:rsidRPr="00DE475B" w:rsidRDefault="008E67A3" w:rsidP="008E67A3">
      <w:pPr>
        <w:pStyle w:val="ARheading3"/>
        <w:spacing w:after="40"/>
        <w:rPr>
          <w:color w:val="808080"/>
        </w:rPr>
      </w:pPr>
      <w:r w:rsidRPr="00DE475B">
        <w:rPr>
          <w:color w:val="808080"/>
        </w:rPr>
        <w:t xml:space="preserve">Dr Anita </w:t>
      </w:r>
      <w:proofErr w:type="spellStart"/>
      <w:r w:rsidRPr="00DE475B">
        <w:rPr>
          <w:color w:val="808080"/>
        </w:rPr>
        <w:t>Heiss</w:t>
      </w:r>
      <w:proofErr w:type="spellEnd"/>
    </w:p>
    <w:p w:rsidR="008E67A3" w:rsidRPr="00DE475B" w:rsidRDefault="008E67A3" w:rsidP="00B11813">
      <w:pPr>
        <w:pStyle w:val="ARText"/>
        <w:spacing w:before="0" w:after="120"/>
      </w:pPr>
      <w:r w:rsidRPr="00DE475B">
        <w:t xml:space="preserve">Dr Anita </w:t>
      </w:r>
      <w:proofErr w:type="spellStart"/>
      <w:r w:rsidRPr="00DE475B">
        <w:t>Heiss</w:t>
      </w:r>
      <w:proofErr w:type="spellEnd"/>
      <w:r w:rsidRPr="00DE475B">
        <w:t xml:space="preserve"> is a prolific author of non-fiction, histo</w:t>
      </w:r>
      <w:r w:rsidR="00660C8E">
        <w:t>rical fiction, commercial women’</w:t>
      </w:r>
      <w:r w:rsidRPr="00DE475B">
        <w:t xml:space="preserve">s </w:t>
      </w:r>
      <w:r w:rsidRPr="00DE475B">
        <w:lastRenderedPageBreak/>
        <w:t>fiction, poetry, social commentary and travel articles and a Lifetime Ambassador of the Indigenous Literacy Foundation. She is also an Adjunct Professor with Jumbunna Indigenous House of Learning and University Technology Sydney. </w:t>
      </w:r>
    </w:p>
    <w:p w:rsidR="008E67A3" w:rsidRPr="00DE475B" w:rsidRDefault="008E67A3" w:rsidP="008E67A3">
      <w:pPr>
        <w:pStyle w:val="ARText"/>
        <w:spacing w:before="0" w:after="240"/>
      </w:pPr>
      <w:r w:rsidRPr="00DE475B">
        <w:t xml:space="preserve">Anita is an Ambassador of </w:t>
      </w:r>
      <w:proofErr w:type="spellStart"/>
      <w:r w:rsidRPr="00DE475B">
        <w:t>Worawa</w:t>
      </w:r>
      <w:proofErr w:type="spellEnd"/>
      <w:r w:rsidRPr="00DE475B">
        <w:t xml:space="preserve"> Aboriginal College and manages the Epic Good Foundation. She was a finalist in the 2012 Human Rights Awards and the 2013 Australian of the Year Awards.</w:t>
      </w:r>
    </w:p>
    <w:p w:rsidR="008E67A3" w:rsidRPr="00DE475B" w:rsidRDefault="008E67A3" w:rsidP="008E67A3">
      <w:pPr>
        <w:pStyle w:val="ARheading3"/>
        <w:spacing w:after="40"/>
        <w:rPr>
          <w:color w:val="808080"/>
        </w:rPr>
      </w:pPr>
      <w:r w:rsidRPr="00DE475B">
        <w:rPr>
          <w:color w:val="808080"/>
        </w:rPr>
        <w:t xml:space="preserve">Professor Marek </w:t>
      </w:r>
      <w:proofErr w:type="spellStart"/>
      <w:r w:rsidRPr="00DE475B">
        <w:rPr>
          <w:color w:val="808080"/>
        </w:rPr>
        <w:t>Kowalkiewicz</w:t>
      </w:r>
      <w:proofErr w:type="spellEnd"/>
    </w:p>
    <w:p w:rsidR="008E67A3" w:rsidRPr="00DE475B" w:rsidRDefault="008E67A3" w:rsidP="00B11813">
      <w:pPr>
        <w:pStyle w:val="ARText"/>
        <w:spacing w:before="0" w:after="120"/>
      </w:pPr>
      <w:r w:rsidRPr="00DE475B">
        <w:t xml:space="preserve">Marek </w:t>
      </w:r>
      <w:proofErr w:type="spellStart"/>
      <w:r w:rsidRPr="00DE475B">
        <w:t>Kowalkiewicz</w:t>
      </w:r>
      <w:proofErr w:type="spellEnd"/>
      <w:r w:rsidRPr="00DE475B">
        <w:t xml:space="preserve"> is the inaugural Chair in Digital Economy at </w:t>
      </w:r>
      <w:proofErr w:type="spellStart"/>
      <w:r w:rsidRPr="00DE475B">
        <w:t>QUT</w:t>
      </w:r>
      <w:proofErr w:type="spellEnd"/>
      <w:r w:rsidRPr="00DE475B">
        <w:t xml:space="preserve"> and is an academic and industry leader with extensive experience conducting academically sound research in the digital economy field. He has led significant technology and innovation research projects and co-invented with industry and university partners to deliver ground-breaking technologies to market. </w:t>
      </w:r>
    </w:p>
    <w:p w:rsidR="008E67A3" w:rsidRPr="00DE475B" w:rsidRDefault="008E67A3" w:rsidP="008E67A3">
      <w:pPr>
        <w:pStyle w:val="ARText"/>
        <w:spacing w:before="0" w:after="240"/>
      </w:pPr>
      <w:r w:rsidRPr="00DE475B">
        <w:t>Marek has worked with SAP Australia, SAP Americas and SAP Asia, Microsoft Research Asia, and is co-founder of Business Information Systems Institute.</w:t>
      </w:r>
    </w:p>
    <w:p w:rsidR="008E67A3" w:rsidRPr="00DE475B" w:rsidRDefault="008E67A3" w:rsidP="008E67A3">
      <w:pPr>
        <w:pStyle w:val="ARheading3"/>
        <w:spacing w:after="40"/>
        <w:rPr>
          <w:color w:val="808080"/>
        </w:rPr>
      </w:pPr>
      <w:bookmarkStart w:id="8" w:name="Leu"/>
      <w:bookmarkEnd w:id="8"/>
      <w:r w:rsidRPr="00DE475B">
        <w:rPr>
          <w:color w:val="808080"/>
        </w:rPr>
        <w:t xml:space="preserve">Mayor Julia </w:t>
      </w:r>
      <w:proofErr w:type="spellStart"/>
      <w:r w:rsidRPr="00DE475B">
        <w:rPr>
          <w:color w:val="808080"/>
        </w:rPr>
        <w:t>Leu</w:t>
      </w:r>
      <w:proofErr w:type="spellEnd"/>
    </w:p>
    <w:p w:rsidR="008E67A3" w:rsidRPr="00DE475B" w:rsidRDefault="008E67A3" w:rsidP="008E67A3">
      <w:pPr>
        <w:pStyle w:val="ARText"/>
        <w:spacing w:before="0" w:after="240"/>
        <w:rPr>
          <w:spacing w:val="-2"/>
          <w:kern w:val="20"/>
        </w:rPr>
      </w:pPr>
      <w:r w:rsidRPr="00DE475B">
        <w:rPr>
          <w:spacing w:val="-2"/>
          <w:kern w:val="20"/>
        </w:rPr>
        <w:t xml:space="preserve">Julia </w:t>
      </w:r>
      <w:proofErr w:type="spellStart"/>
      <w:r w:rsidRPr="00DE475B">
        <w:rPr>
          <w:spacing w:val="-2"/>
          <w:kern w:val="20"/>
        </w:rPr>
        <w:t>Leu</w:t>
      </w:r>
      <w:proofErr w:type="spellEnd"/>
      <w:r w:rsidRPr="00DE475B">
        <w:rPr>
          <w:spacing w:val="-2"/>
          <w:kern w:val="20"/>
        </w:rPr>
        <w:t xml:space="preserve"> is a local council veteran with over 20 years’ experience, and has been Mayor of the Douglas Shire Council since 2014. She has also worked in community services and education and holds a Masters of Business Administration. </w:t>
      </w:r>
    </w:p>
    <w:p w:rsidR="008E67A3" w:rsidRPr="00DE475B" w:rsidRDefault="008E67A3" w:rsidP="008E67A3">
      <w:pPr>
        <w:pStyle w:val="ARText"/>
        <w:spacing w:before="0" w:after="240"/>
        <w:rPr>
          <w:spacing w:val="-2"/>
          <w:kern w:val="20"/>
        </w:rPr>
      </w:pPr>
      <w:r w:rsidRPr="00DE475B">
        <w:rPr>
          <w:spacing w:val="-2"/>
          <w:kern w:val="20"/>
        </w:rPr>
        <w:t xml:space="preserve">Julia is an advocate for regional communities, holding positions on the Australian Coastal Councils Association, Regional Development Australia, Far North Queensland and Torres Strait </w:t>
      </w:r>
      <w:proofErr w:type="spellStart"/>
      <w:r w:rsidRPr="00DE475B">
        <w:rPr>
          <w:spacing w:val="-2"/>
          <w:kern w:val="20"/>
        </w:rPr>
        <w:t>Inc</w:t>
      </w:r>
      <w:proofErr w:type="spellEnd"/>
      <w:r w:rsidRPr="00DE475B">
        <w:rPr>
          <w:spacing w:val="-2"/>
          <w:kern w:val="20"/>
        </w:rPr>
        <w:t xml:space="preserve">, North Queensland Local Government Association. Ms </w:t>
      </w:r>
      <w:proofErr w:type="spellStart"/>
      <w:r w:rsidRPr="00DE475B">
        <w:rPr>
          <w:spacing w:val="-2"/>
          <w:kern w:val="20"/>
        </w:rPr>
        <w:t>Leu</w:t>
      </w:r>
      <w:proofErr w:type="spellEnd"/>
      <w:r w:rsidRPr="00DE475B">
        <w:rPr>
          <w:spacing w:val="-2"/>
          <w:kern w:val="20"/>
        </w:rPr>
        <w:t xml:space="preserve"> is the local government representative on the Library Board of Queensland.</w:t>
      </w:r>
    </w:p>
    <w:p w:rsidR="008E67A3" w:rsidRPr="00DE475B" w:rsidRDefault="008E67A3" w:rsidP="008E67A3">
      <w:pPr>
        <w:pStyle w:val="ARheading3"/>
        <w:spacing w:after="40"/>
        <w:rPr>
          <w:color w:val="808080"/>
        </w:rPr>
      </w:pPr>
      <w:r w:rsidRPr="00DE475B">
        <w:rPr>
          <w:color w:val="808080"/>
        </w:rPr>
        <w:t>Mr Malcolm McMillan</w:t>
      </w:r>
    </w:p>
    <w:p w:rsidR="008E67A3" w:rsidRPr="00DE475B" w:rsidRDefault="008E67A3" w:rsidP="00B11813">
      <w:pPr>
        <w:pStyle w:val="ARText"/>
        <w:spacing w:before="0" w:after="120"/>
        <w:rPr>
          <w:spacing w:val="-2"/>
          <w:kern w:val="20"/>
        </w:rPr>
      </w:pPr>
      <w:r w:rsidRPr="00DE475B">
        <w:rPr>
          <w:spacing w:val="-2"/>
          <w:kern w:val="20"/>
        </w:rPr>
        <w:t>Malcom McMillan has over 40 years’ experience across the public, private, and not</w:t>
      </w:r>
      <w:r w:rsidR="00D35E94">
        <w:rPr>
          <w:spacing w:val="-2"/>
          <w:kern w:val="20"/>
        </w:rPr>
        <w:t>-for-</w:t>
      </w:r>
      <w:r w:rsidRPr="00DE475B">
        <w:rPr>
          <w:spacing w:val="-2"/>
          <w:kern w:val="20"/>
        </w:rPr>
        <w:t>profit sectors in stakeholder relations, international business, corporate communications, policy analysis, strategy, and corporate governance. </w:t>
      </w:r>
    </w:p>
    <w:p w:rsidR="008E67A3" w:rsidRPr="00DE475B" w:rsidRDefault="008E67A3" w:rsidP="008E67A3">
      <w:pPr>
        <w:pStyle w:val="ARText"/>
        <w:spacing w:before="0" w:after="240"/>
        <w:rPr>
          <w:spacing w:val="-2"/>
          <w:kern w:val="20"/>
        </w:rPr>
      </w:pPr>
      <w:r w:rsidRPr="00DE475B">
        <w:rPr>
          <w:spacing w:val="-2"/>
          <w:kern w:val="20"/>
        </w:rPr>
        <w:t>He was a Board Director of the North Sydney</w:t>
      </w:r>
      <w:r w:rsidR="00D35E94">
        <w:rPr>
          <w:spacing w:val="-2"/>
          <w:kern w:val="20"/>
        </w:rPr>
        <w:t>-</w:t>
      </w:r>
      <w:r w:rsidRPr="00DE475B">
        <w:rPr>
          <w:spacing w:val="-2"/>
          <w:kern w:val="20"/>
        </w:rPr>
        <w:t xml:space="preserve">based Mary McKillop Foundation for five years. Malcolm has an interest in global and local public affairs. He has completed oral </w:t>
      </w:r>
      <w:r w:rsidRPr="00DE475B">
        <w:rPr>
          <w:spacing w:val="-2"/>
          <w:kern w:val="20"/>
        </w:rPr>
        <w:lastRenderedPageBreak/>
        <w:t>history interviews with 10 prominent Australian political</w:t>
      </w:r>
      <w:r w:rsidR="00D35E94">
        <w:rPr>
          <w:spacing w:val="-2"/>
          <w:kern w:val="20"/>
        </w:rPr>
        <w:t>,</w:t>
      </w:r>
      <w:r w:rsidRPr="00DE475B">
        <w:rPr>
          <w:spacing w:val="-2"/>
          <w:kern w:val="20"/>
        </w:rPr>
        <w:t xml:space="preserve"> legal and business leaders for the National Library of Australia.</w:t>
      </w:r>
    </w:p>
    <w:p w:rsidR="008E67A3" w:rsidRPr="00DE475B" w:rsidRDefault="008E67A3" w:rsidP="008E67A3">
      <w:pPr>
        <w:pStyle w:val="ARheading3"/>
        <w:spacing w:after="40"/>
        <w:rPr>
          <w:color w:val="808080"/>
        </w:rPr>
      </w:pPr>
      <w:r w:rsidRPr="00DE475B">
        <w:rPr>
          <w:color w:val="808080"/>
        </w:rPr>
        <w:t>Dr Sandra Phil</w:t>
      </w:r>
      <w:r w:rsidR="00585810">
        <w:rPr>
          <w:color w:val="808080"/>
        </w:rPr>
        <w:t>l</w:t>
      </w:r>
      <w:r w:rsidRPr="00DE475B">
        <w:rPr>
          <w:color w:val="808080"/>
        </w:rPr>
        <w:t>ips</w:t>
      </w:r>
    </w:p>
    <w:p w:rsidR="008E67A3" w:rsidRPr="00DE475B" w:rsidRDefault="008E67A3" w:rsidP="00B11813">
      <w:pPr>
        <w:pStyle w:val="ARText"/>
        <w:spacing w:before="0" w:after="120"/>
      </w:pPr>
      <w:r w:rsidRPr="00DE475B">
        <w:t xml:space="preserve">A member of the </w:t>
      </w:r>
      <w:proofErr w:type="spellStart"/>
      <w:r w:rsidRPr="00DE475B">
        <w:t>Wakka</w:t>
      </w:r>
      <w:proofErr w:type="spellEnd"/>
      <w:r w:rsidRPr="00DE475B">
        <w:t xml:space="preserve"> </w:t>
      </w:r>
      <w:proofErr w:type="spellStart"/>
      <w:r w:rsidRPr="00DE475B">
        <w:t>Wakka</w:t>
      </w:r>
      <w:proofErr w:type="spellEnd"/>
      <w:r w:rsidRPr="00DE475B">
        <w:t xml:space="preserve"> nation, Sandra Phillips is a respected academic, researcher, editor and former publisher. Currently lecturing in communication and publishing studies at </w:t>
      </w:r>
      <w:proofErr w:type="spellStart"/>
      <w:r w:rsidRPr="00DE475B">
        <w:t>QUT</w:t>
      </w:r>
      <w:proofErr w:type="spellEnd"/>
      <w:r w:rsidRPr="00DE475B">
        <w:t xml:space="preserve"> Creative Industries, Sandra’s research interests are in Indigenous story and its publishing, its readership and its communities of practice. Once Deputy Chair of the former Aboriginal and Torres Strait Islander Arts Board of the Australia Council, Sandra </w:t>
      </w:r>
      <w:proofErr w:type="gramStart"/>
      <w:r w:rsidRPr="00DE475B">
        <w:t>has</w:t>
      </w:r>
      <w:proofErr w:type="gramEnd"/>
      <w:r w:rsidRPr="00DE475B">
        <w:t xml:space="preserve"> held many leadership roles in the arts and culture sector. Sandra has a Doctor of Philosophy (Literary Studies) and Bachelor of Arts (Sociology and Government).</w:t>
      </w:r>
    </w:p>
    <w:p w:rsidR="008E67A3" w:rsidRPr="00DE475B" w:rsidRDefault="008E67A3" w:rsidP="008E67A3">
      <w:pPr>
        <w:pStyle w:val="ARheading3"/>
        <w:spacing w:after="40"/>
        <w:rPr>
          <w:color w:val="808080"/>
        </w:rPr>
      </w:pPr>
      <w:r w:rsidRPr="00DE475B">
        <w:rPr>
          <w:color w:val="808080"/>
        </w:rPr>
        <w:t xml:space="preserve">Mr Bob </w:t>
      </w:r>
      <w:proofErr w:type="spellStart"/>
      <w:r w:rsidRPr="00DE475B">
        <w:rPr>
          <w:color w:val="808080"/>
        </w:rPr>
        <w:t>Shead</w:t>
      </w:r>
      <w:proofErr w:type="spellEnd"/>
    </w:p>
    <w:p w:rsidR="00B11813" w:rsidRPr="00DE475B" w:rsidRDefault="008E67A3" w:rsidP="00B11813">
      <w:pPr>
        <w:shd w:val="clear" w:color="auto" w:fill="FFFFFF"/>
        <w:spacing w:after="120" w:line="0" w:lineRule="atLeast"/>
        <w:textAlignment w:val="baseline"/>
        <w:rPr>
          <w:rFonts w:ascii="Arial" w:eastAsia="Batang" w:hAnsi="Arial" w:cs="Arial"/>
          <w:bCs/>
          <w:color w:val="auto"/>
          <w:kern w:val="1"/>
          <w:sz w:val="20"/>
          <w:szCs w:val="22"/>
        </w:rPr>
      </w:pPr>
      <w:r w:rsidRPr="00DE475B">
        <w:rPr>
          <w:rFonts w:ascii="Arial" w:eastAsia="Batang" w:hAnsi="Arial" w:cs="Arial"/>
          <w:bCs/>
          <w:color w:val="auto"/>
          <w:kern w:val="1"/>
          <w:sz w:val="20"/>
          <w:szCs w:val="22"/>
        </w:rPr>
        <w:t xml:space="preserve">Bob </w:t>
      </w:r>
      <w:proofErr w:type="spellStart"/>
      <w:r w:rsidRPr="00DE475B">
        <w:rPr>
          <w:rFonts w:ascii="Arial" w:eastAsia="Batang" w:hAnsi="Arial" w:cs="Arial"/>
          <w:bCs/>
          <w:color w:val="auto"/>
          <w:kern w:val="1"/>
          <w:sz w:val="20"/>
          <w:szCs w:val="22"/>
        </w:rPr>
        <w:t>Shead</w:t>
      </w:r>
      <w:proofErr w:type="spellEnd"/>
      <w:r w:rsidRPr="00DE475B">
        <w:rPr>
          <w:rFonts w:ascii="Arial" w:eastAsia="Batang" w:hAnsi="Arial" w:cs="Arial"/>
          <w:bCs/>
          <w:color w:val="auto"/>
          <w:kern w:val="1"/>
          <w:sz w:val="20"/>
          <w:szCs w:val="22"/>
        </w:rPr>
        <w:t xml:space="preserve"> is a retired partner at </w:t>
      </w:r>
      <w:proofErr w:type="spellStart"/>
      <w:r w:rsidRPr="00DE475B">
        <w:rPr>
          <w:rFonts w:ascii="Arial" w:eastAsia="Batang" w:hAnsi="Arial" w:cs="Arial"/>
          <w:bCs/>
          <w:color w:val="auto"/>
          <w:kern w:val="1"/>
          <w:sz w:val="20"/>
          <w:szCs w:val="22"/>
        </w:rPr>
        <w:t>BDO</w:t>
      </w:r>
      <w:proofErr w:type="spellEnd"/>
      <w:r w:rsidRPr="00DE475B">
        <w:rPr>
          <w:rFonts w:ascii="Arial" w:eastAsia="Batang" w:hAnsi="Arial" w:cs="Arial"/>
          <w:bCs/>
          <w:color w:val="auto"/>
          <w:kern w:val="1"/>
          <w:sz w:val="20"/>
          <w:szCs w:val="22"/>
        </w:rPr>
        <w:t xml:space="preserve"> and a former director and audit committee member of Energex and a number of other companies and public sector entities. He has over 40 years’ experience in financial management and public policy, working for the last 15 years as a consulta</w:t>
      </w:r>
      <w:r w:rsidR="00D35E94">
        <w:rPr>
          <w:rFonts w:ascii="Arial" w:eastAsia="Batang" w:hAnsi="Arial" w:cs="Arial"/>
          <w:bCs/>
          <w:color w:val="auto"/>
          <w:kern w:val="1"/>
          <w:sz w:val="20"/>
          <w:szCs w:val="22"/>
        </w:rPr>
        <w:t xml:space="preserve">nt in Australia and in </w:t>
      </w:r>
      <w:r w:rsidR="00D35E94">
        <w:rPr>
          <w:rFonts w:ascii="Arial" w:eastAsia="Batang" w:hAnsi="Arial" w:cs="Arial"/>
          <w:bCs/>
          <w:color w:val="auto"/>
          <w:kern w:val="1"/>
          <w:sz w:val="20"/>
          <w:szCs w:val="22"/>
        </w:rPr>
        <w:lastRenderedPageBreak/>
        <w:t>capacity-</w:t>
      </w:r>
      <w:r w:rsidRPr="00DE475B">
        <w:rPr>
          <w:rFonts w:ascii="Arial" w:eastAsia="Batang" w:hAnsi="Arial" w:cs="Arial"/>
          <w:bCs/>
          <w:color w:val="auto"/>
          <w:kern w:val="1"/>
          <w:sz w:val="20"/>
          <w:szCs w:val="22"/>
        </w:rPr>
        <w:t>building roles in Pacific Island countries and in China.</w:t>
      </w:r>
      <w:r w:rsidR="00B11813" w:rsidRPr="00DE475B">
        <w:rPr>
          <w:rFonts w:ascii="Arial" w:eastAsia="Batang" w:hAnsi="Arial" w:cs="Arial"/>
          <w:bCs/>
          <w:color w:val="auto"/>
          <w:kern w:val="1"/>
          <w:sz w:val="20"/>
          <w:szCs w:val="22"/>
        </w:rPr>
        <w:t xml:space="preserve"> </w:t>
      </w:r>
    </w:p>
    <w:p w:rsidR="00EC386B" w:rsidRPr="00DE475B" w:rsidRDefault="008E67A3" w:rsidP="00B11813">
      <w:pPr>
        <w:shd w:val="clear" w:color="auto" w:fill="FFFFFF"/>
        <w:spacing w:line="0" w:lineRule="atLeast"/>
        <w:textAlignment w:val="baseline"/>
      </w:pPr>
      <w:r w:rsidRPr="00DE475B">
        <w:rPr>
          <w:rFonts w:ascii="Arial" w:eastAsia="Batang" w:hAnsi="Arial" w:cs="Arial"/>
          <w:bCs/>
          <w:color w:val="auto"/>
          <w:kern w:val="1"/>
          <w:sz w:val="20"/>
          <w:szCs w:val="22"/>
        </w:rPr>
        <w:t>Bob holds an MBA (Hons) and a Bachelor of Business (Accountancy). He has published in a number of academic and industry publications on issues relating to public policy and climate change.</w:t>
      </w:r>
    </w:p>
    <w:p w:rsidR="00E35937" w:rsidRPr="00DE475B" w:rsidRDefault="00E35937" w:rsidP="00E35937">
      <w:pPr>
        <w:pStyle w:val="ARText"/>
        <w:spacing w:before="0"/>
      </w:pPr>
    </w:p>
    <w:p w:rsidR="00E35937" w:rsidRPr="00DE475B" w:rsidRDefault="00E35937" w:rsidP="00E35937">
      <w:pPr>
        <w:pStyle w:val="ARheading3"/>
      </w:pPr>
      <w:r w:rsidRPr="00DE475B">
        <w:t>Observer: State Librarian and CEO</w:t>
      </w:r>
    </w:p>
    <w:p w:rsidR="00E35937" w:rsidRPr="00DE475B" w:rsidRDefault="00E35937" w:rsidP="00E35937">
      <w:pPr>
        <w:pStyle w:val="ARheading3"/>
        <w:spacing w:after="40"/>
        <w:rPr>
          <w:color w:val="808080"/>
        </w:rPr>
      </w:pPr>
      <w:r w:rsidRPr="00DE475B">
        <w:rPr>
          <w:color w:val="808080"/>
        </w:rPr>
        <w:t>Ms Vicki McDonald</w:t>
      </w:r>
    </w:p>
    <w:p w:rsidR="00ED02E4" w:rsidRDefault="00ED02E4" w:rsidP="00ED02E4">
      <w:pPr>
        <w:shd w:val="clear" w:color="auto" w:fill="FFFFFF"/>
        <w:spacing w:after="120" w:line="0" w:lineRule="atLeast"/>
        <w:textAlignment w:val="baseline"/>
        <w:rPr>
          <w:rFonts w:ascii="Arial" w:eastAsia="Batang" w:hAnsi="Arial" w:cs="Arial"/>
          <w:bCs/>
          <w:color w:val="auto"/>
          <w:kern w:val="1"/>
          <w:sz w:val="20"/>
          <w:szCs w:val="22"/>
        </w:rPr>
      </w:pPr>
      <w:r w:rsidRPr="00ED02E4">
        <w:rPr>
          <w:rFonts w:ascii="Arial" w:eastAsia="Batang" w:hAnsi="Arial" w:cs="Arial"/>
          <w:bCs/>
          <w:color w:val="auto"/>
          <w:kern w:val="1"/>
          <w:sz w:val="20"/>
          <w:szCs w:val="22"/>
        </w:rPr>
        <w:t>Vicki McDonald is a key player in the transformation of the library sector in Queensland. As State Librarian and CEO of State Library of Queensland</w:t>
      </w:r>
      <w:r w:rsidR="00D35E94">
        <w:rPr>
          <w:rFonts w:ascii="Arial" w:eastAsia="Batang" w:hAnsi="Arial" w:cs="Arial"/>
          <w:bCs/>
          <w:color w:val="auto"/>
          <w:kern w:val="1"/>
          <w:sz w:val="20"/>
          <w:szCs w:val="22"/>
        </w:rPr>
        <w:t>,</w:t>
      </w:r>
      <w:r w:rsidRPr="00ED02E4">
        <w:rPr>
          <w:rFonts w:ascii="Arial" w:eastAsia="Batang" w:hAnsi="Arial" w:cs="Arial"/>
          <w:bCs/>
          <w:color w:val="auto"/>
          <w:kern w:val="1"/>
          <w:sz w:val="20"/>
          <w:szCs w:val="22"/>
        </w:rPr>
        <w:t xml:space="preserve"> she understands the need for a strong, relevant and innovative library service. </w:t>
      </w:r>
    </w:p>
    <w:p w:rsidR="00ED02E4" w:rsidRPr="00ED02E4" w:rsidRDefault="00ED02E4" w:rsidP="00ED02E4">
      <w:pPr>
        <w:shd w:val="clear" w:color="auto" w:fill="FFFFFF"/>
        <w:spacing w:after="120" w:line="0" w:lineRule="atLeast"/>
        <w:textAlignment w:val="baseline"/>
        <w:rPr>
          <w:rFonts w:ascii="Arial" w:eastAsia="Batang" w:hAnsi="Arial" w:cs="Arial"/>
          <w:bCs/>
          <w:color w:val="auto"/>
          <w:kern w:val="1"/>
          <w:sz w:val="20"/>
          <w:szCs w:val="22"/>
        </w:rPr>
      </w:pPr>
      <w:r w:rsidRPr="00ED02E4">
        <w:rPr>
          <w:rFonts w:ascii="Arial" w:eastAsia="Batang" w:hAnsi="Arial" w:cs="Arial"/>
          <w:bCs/>
          <w:color w:val="auto"/>
          <w:kern w:val="1"/>
          <w:sz w:val="20"/>
          <w:szCs w:val="22"/>
        </w:rPr>
        <w:t>Ms McDonald’s extensive national and international experience includes executive roles with State Library of NSW and Queensland University of Technology. As State Librarian, Ms McDonald is a custodian of Queensland memory and works in partnership with public libraries and Indigenous Knowledge Centres. Her appointment as State Librarian in 2016 follows a career of advocacy that started among the bookshelves of the Dalby-</w:t>
      </w:r>
      <w:proofErr w:type="spellStart"/>
      <w:r w:rsidRPr="00ED02E4">
        <w:rPr>
          <w:rFonts w:ascii="Arial" w:eastAsia="Batang" w:hAnsi="Arial" w:cs="Arial"/>
          <w:bCs/>
          <w:color w:val="auto"/>
          <w:kern w:val="1"/>
          <w:sz w:val="20"/>
          <w:szCs w:val="22"/>
        </w:rPr>
        <w:t>Wambo</w:t>
      </w:r>
      <w:proofErr w:type="spellEnd"/>
      <w:r w:rsidRPr="00ED02E4">
        <w:rPr>
          <w:rFonts w:ascii="Arial" w:eastAsia="Batang" w:hAnsi="Arial" w:cs="Arial"/>
          <w:bCs/>
          <w:color w:val="auto"/>
          <w:kern w:val="1"/>
          <w:sz w:val="20"/>
          <w:szCs w:val="22"/>
        </w:rPr>
        <w:t xml:space="preserve"> Public Library.   </w:t>
      </w:r>
    </w:p>
    <w:p w:rsidR="00ED02E4" w:rsidRPr="00DE475B" w:rsidRDefault="00ED02E4" w:rsidP="00E35937">
      <w:pPr>
        <w:pStyle w:val="ARText"/>
        <w:spacing w:before="0"/>
        <w:sectPr w:rsidR="00ED02E4" w:rsidRPr="00DE475B" w:rsidSect="00B53922">
          <w:type w:val="continuous"/>
          <w:pgSz w:w="11906" w:h="16838"/>
          <w:pgMar w:top="1440" w:right="1700" w:bottom="1440" w:left="1701" w:header="680" w:footer="680" w:gutter="0"/>
          <w:cols w:num="2" w:space="397" w:equalWidth="0">
            <w:col w:w="4054" w:space="397"/>
            <w:col w:w="4054"/>
          </w:cols>
          <w:docGrid w:linePitch="360"/>
        </w:sectPr>
      </w:pPr>
    </w:p>
    <w:p w:rsidR="00D346B4" w:rsidRPr="00DE475B" w:rsidRDefault="00D346B4">
      <w:pPr>
        <w:pStyle w:val="ARheading3"/>
        <w:spacing w:after="40"/>
        <w:rPr>
          <w:color w:val="808080"/>
        </w:rPr>
      </w:pPr>
    </w:p>
    <w:p w:rsidR="00D346B4" w:rsidRPr="00DE475B" w:rsidRDefault="00D346B4" w:rsidP="00AC15D9">
      <w:pPr>
        <w:pStyle w:val="ARHeading1"/>
        <w:pageBreakBefore/>
      </w:pPr>
      <w:r w:rsidRPr="0057480B">
        <w:lastRenderedPageBreak/>
        <w:t>Appendix C: Library Board committee and advisory groups</w:t>
      </w:r>
    </w:p>
    <w:p w:rsidR="00D346B4" w:rsidRPr="00DE475B" w:rsidRDefault="00D346B4">
      <w:pPr>
        <w:rPr>
          <w:rFonts w:ascii="Arial" w:hAnsi="Arial" w:cs="Arial"/>
          <w:b/>
          <w:bCs/>
        </w:rPr>
      </w:pPr>
    </w:p>
    <w:p w:rsidR="00D346B4" w:rsidRPr="00DE475B" w:rsidRDefault="00D346B4">
      <w:pPr>
        <w:spacing w:after="40"/>
        <w:rPr>
          <w:rFonts w:ascii="Arial" w:hAnsi="Arial" w:cs="Arial"/>
          <w:sz w:val="20"/>
          <w:szCs w:val="20"/>
        </w:rPr>
      </w:pPr>
      <w:r w:rsidRPr="00DE475B">
        <w:rPr>
          <w:rFonts w:ascii="Arial" w:hAnsi="Arial" w:cs="Arial"/>
          <w:b/>
          <w:bCs/>
          <w:sz w:val="20"/>
          <w:szCs w:val="20"/>
        </w:rPr>
        <w:t>Audit and Risk Management Committee</w:t>
      </w:r>
    </w:p>
    <w:p w:rsidR="00D346B4" w:rsidRPr="00DE475B" w:rsidRDefault="00D346B4" w:rsidP="00B13592">
      <w:pPr>
        <w:spacing w:after="200"/>
        <w:rPr>
          <w:rFonts w:ascii="Arial" w:hAnsi="Arial" w:cs="Arial"/>
          <w:sz w:val="20"/>
          <w:szCs w:val="20"/>
        </w:rPr>
      </w:pPr>
      <w:r w:rsidRPr="00DE475B">
        <w:rPr>
          <w:rFonts w:ascii="Arial" w:hAnsi="Arial" w:cs="Arial"/>
          <w:sz w:val="20"/>
          <w:szCs w:val="20"/>
        </w:rPr>
        <w:t>The Audit and Risk Management Committee (</w:t>
      </w:r>
      <w:proofErr w:type="spellStart"/>
      <w:r w:rsidRPr="00DE475B">
        <w:rPr>
          <w:rFonts w:ascii="Arial" w:hAnsi="Arial" w:cs="Arial"/>
          <w:sz w:val="20"/>
          <w:szCs w:val="20"/>
        </w:rPr>
        <w:t>ARMC</w:t>
      </w:r>
      <w:proofErr w:type="spellEnd"/>
      <w:r w:rsidRPr="00DE475B">
        <w:rPr>
          <w:rFonts w:ascii="Arial" w:hAnsi="Arial" w:cs="Arial"/>
          <w:sz w:val="20"/>
          <w:szCs w:val="20"/>
        </w:rPr>
        <w:t xml:space="preserve">) Charter has been approved by the Library Board of Queensland. The purpose of the Charter is to outline the role, responsibilities, composition and operating guidelines of the </w:t>
      </w:r>
      <w:proofErr w:type="spellStart"/>
      <w:r w:rsidRPr="00DE475B">
        <w:rPr>
          <w:rFonts w:ascii="Arial" w:hAnsi="Arial" w:cs="Arial"/>
          <w:sz w:val="20"/>
          <w:szCs w:val="20"/>
        </w:rPr>
        <w:t>ARMC</w:t>
      </w:r>
      <w:proofErr w:type="spellEnd"/>
      <w:r w:rsidRPr="00DE475B">
        <w:rPr>
          <w:rFonts w:ascii="Arial" w:hAnsi="Arial" w:cs="Arial"/>
          <w:sz w:val="20"/>
          <w:szCs w:val="20"/>
        </w:rPr>
        <w:t xml:space="preserve">. The Committee has observed the terms of this Charter and has due regard to Queensland Treasury’s </w:t>
      </w:r>
      <w:r w:rsidRPr="00DE475B">
        <w:rPr>
          <w:rFonts w:ascii="Arial" w:hAnsi="Arial" w:cs="Arial"/>
          <w:i/>
          <w:sz w:val="20"/>
          <w:szCs w:val="20"/>
        </w:rPr>
        <w:t>Audit Committee Guidelines</w:t>
      </w:r>
      <w:r w:rsidRPr="00DE475B">
        <w:rPr>
          <w:rFonts w:ascii="Arial" w:hAnsi="Arial" w:cs="Arial"/>
          <w:sz w:val="20"/>
          <w:szCs w:val="20"/>
        </w:rPr>
        <w:t xml:space="preserve">. The Committee </w:t>
      </w:r>
      <w:r w:rsidR="00BC0070" w:rsidRPr="00DE475B">
        <w:rPr>
          <w:rFonts w:ascii="Arial" w:hAnsi="Arial" w:cs="Arial"/>
          <w:sz w:val="20"/>
          <w:szCs w:val="20"/>
        </w:rPr>
        <w:t xml:space="preserve">meets </w:t>
      </w:r>
      <w:r w:rsidR="0049705A" w:rsidRPr="00DE475B">
        <w:rPr>
          <w:rFonts w:ascii="Arial" w:hAnsi="Arial" w:cs="Arial"/>
          <w:sz w:val="20"/>
          <w:szCs w:val="20"/>
        </w:rPr>
        <w:t xml:space="preserve">at least three to </w:t>
      </w:r>
      <w:r w:rsidR="00BC0070" w:rsidRPr="00DE475B">
        <w:rPr>
          <w:rFonts w:ascii="Arial" w:hAnsi="Arial" w:cs="Arial"/>
          <w:sz w:val="20"/>
          <w:szCs w:val="20"/>
        </w:rPr>
        <w:t>four times per year</w:t>
      </w:r>
      <w:r w:rsidRPr="00DE475B">
        <w:rPr>
          <w:rFonts w:ascii="Arial" w:hAnsi="Arial" w:cs="Arial"/>
          <w:sz w:val="20"/>
          <w:szCs w:val="20"/>
        </w:rPr>
        <w:t xml:space="preserve"> and members </w:t>
      </w:r>
      <w:r w:rsidR="0049705A" w:rsidRPr="00DE475B">
        <w:rPr>
          <w:rFonts w:ascii="Arial" w:hAnsi="Arial" w:cs="Arial"/>
          <w:sz w:val="20"/>
          <w:szCs w:val="20"/>
        </w:rPr>
        <w:t>may be</w:t>
      </w:r>
      <w:r w:rsidRPr="00DE475B">
        <w:rPr>
          <w:rFonts w:ascii="Arial" w:hAnsi="Arial" w:cs="Arial"/>
          <w:sz w:val="20"/>
          <w:szCs w:val="20"/>
        </w:rPr>
        <w:t xml:space="preserve"> remunerated for their role on this Committee in accordance with the guidelines for the </w:t>
      </w:r>
      <w:r w:rsidRPr="00DE475B">
        <w:rPr>
          <w:rFonts w:ascii="Arial" w:hAnsi="Arial" w:cs="Arial"/>
          <w:i/>
          <w:sz w:val="20"/>
          <w:szCs w:val="20"/>
        </w:rPr>
        <w:t>Remuneration of part-time chairs and members of government boards</w:t>
      </w:r>
      <w:r w:rsidR="00BC0070" w:rsidRPr="00DE475B">
        <w:rPr>
          <w:rFonts w:ascii="Arial" w:hAnsi="Arial" w:cs="Arial"/>
          <w:i/>
          <w:sz w:val="20"/>
          <w:szCs w:val="20"/>
        </w:rPr>
        <w:t>,</w:t>
      </w:r>
      <w:r w:rsidRPr="00DE475B">
        <w:rPr>
          <w:rFonts w:ascii="Arial" w:hAnsi="Arial" w:cs="Arial"/>
          <w:i/>
          <w:sz w:val="20"/>
          <w:szCs w:val="20"/>
        </w:rPr>
        <w:t xml:space="preserve"> committees and statutory authorities</w:t>
      </w:r>
      <w:r w:rsidRPr="00DE475B">
        <w:rPr>
          <w:rFonts w:ascii="Arial" w:hAnsi="Arial" w:cs="Arial"/>
          <w:sz w:val="20"/>
          <w:szCs w:val="20"/>
        </w:rPr>
        <w:t xml:space="preserve">. For more information on the role and achievements of the </w:t>
      </w:r>
      <w:proofErr w:type="spellStart"/>
      <w:r w:rsidRPr="00DE475B">
        <w:rPr>
          <w:rFonts w:ascii="Arial" w:hAnsi="Arial" w:cs="Arial"/>
          <w:sz w:val="20"/>
          <w:szCs w:val="20"/>
        </w:rPr>
        <w:t>ARMC</w:t>
      </w:r>
      <w:proofErr w:type="spellEnd"/>
      <w:r w:rsidRPr="00DE475B">
        <w:rPr>
          <w:rFonts w:ascii="Arial" w:hAnsi="Arial" w:cs="Arial"/>
          <w:sz w:val="20"/>
          <w:szCs w:val="20"/>
        </w:rPr>
        <w:t>, see Governance, accountability and risk</w:t>
      </w:r>
      <w:r w:rsidR="00D56961" w:rsidRPr="00DE475B">
        <w:rPr>
          <w:rFonts w:ascii="Arial" w:hAnsi="Arial" w:cs="Arial"/>
          <w:sz w:val="20"/>
          <w:szCs w:val="20"/>
        </w:rPr>
        <w:t xml:space="preserve"> </w:t>
      </w:r>
      <w:r w:rsidR="00D56961" w:rsidRPr="00D715C3">
        <w:rPr>
          <w:rFonts w:ascii="Arial" w:hAnsi="Arial" w:cs="Arial"/>
          <w:sz w:val="20"/>
          <w:szCs w:val="20"/>
        </w:rPr>
        <w:t>(p</w:t>
      </w:r>
      <w:r w:rsidR="00D715C3" w:rsidRPr="00D715C3">
        <w:rPr>
          <w:rFonts w:ascii="Arial" w:hAnsi="Arial" w:cs="Arial"/>
          <w:sz w:val="20"/>
          <w:szCs w:val="20"/>
        </w:rPr>
        <w:t xml:space="preserve">age </w:t>
      </w:r>
      <w:r w:rsidR="008A457E" w:rsidRPr="00D715C3">
        <w:rPr>
          <w:rFonts w:ascii="Arial" w:hAnsi="Arial" w:cs="Arial"/>
          <w:sz w:val="20"/>
          <w:szCs w:val="20"/>
        </w:rPr>
        <w:t>3</w:t>
      </w:r>
      <w:r w:rsidR="00D35E94">
        <w:rPr>
          <w:rFonts w:ascii="Arial" w:hAnsi="Arial" w:cs="Arial"/>
          <w:sz w:val="20"/>
          <w:szCs w:val="20"/>
        </w:rPr>
        <w:t>4</w:t>
      </w:r>
      <w:r w:rsidR="00D56961" w:rsidRPr="00D715C3">
        <w:rPr>
          <w:rFonts w:ascii="Arial" w:hAnsi="Arial" w:cs="Arial"/>
          <w:sz w:val="20"/>
          <w:szCs w:val="20"/>
        </w:rPr>
        <w:t>)</w:t>
      </w:r>
      <w:r w:rsidRPr="00D715C3">
        <w:rPr>
          <w:rFonts w:ascii="Arial" w:hAnsi="Arial" w:cs="Arial"/>
          <w:sz w:val="20"/>
          <w:szCs w:val="20"/>
        </w:rPr>
        <w:t>.</w:t>
      </w:r>
    </w:p>
    <w:p w:rsidR="00411B20" w:rsidRPr="00DE475B" w:rsidRDefault="00411B20" w:rsidP="006D7F08">
      <w:pPr>
        <w:spacing w:after="40"/>
        <w:rPr>
          <w:rFonts w:ascii="Arial" w:hAnsi="Arial" w:cs="Arial"/>
          <w:b/>
          <w:bCs/>
          <w:color w:val="808080"/>
          <w:sz w:val="20"/>
          <w:szCs w:val="20"/>
        </w:rPr>
      </w:pPr>
      <w:r w:rsidRPr="00DE475B">
        <w:rPr>
          <w:rFonts w:ascii="Arial" w:hAnsi="Arial" w:cs="Arial"/>
          <w:b/>
          <w:bCs/>
          <w:color w:val="808080"/>
          <w:sz w:val="20"/>
          <w:szCs w:val="20"/>
        </w:rPr>
        <w:t>Members</w:t>
      </w:r>
      <w:r w:rsidR="00ED7F4C" w:rsidRPr="00DE475B">
        <w:rPr>
          <w:rFonts w:ascii="Arial" w:hAnsi="Arial" w:cs="Arial"/>
          <w:b/>
          <w:bCs/>
          <w:color w:val="808080"/>
          <w:sz w:val="20"/>
          <w:szCs w:val="20"/>
        </w:rPr>
        <w:t xml:space="preserve"> until February 2017</w:t>
      </w:r>
    </w:p>
    <w:p w:rsidR="006D7F08" w:rsidRPr="00DE475B" w:rsidRDefault="006D7F08" w:rsidP="006D7F08">
      <w:pPr>
        <w:spacing w:after="40"/>
        <w:rPr>
          <w:rFonts w:ascii="Arial" w:hAnsi="Arial" w:cs="Arial"/>
          <w:b/>
          <w:bCs/>
          <w:sz w:val="20"/>
          <w:szCs w:val="20"/>
        </w:rPr>
      </w:pPr>
      <w:r w:rsidRPr="00DE475B">
        <w:rPr>
          <w:rFonts w:ascii="Arial" w:hAnsi="Arial" w:cs="Arial"/>
          <w:b/>
          <w:bCs/>
          <w:sz w:val="20"/>
          <w:szCs w:val="20"/>
        </w:rPr>
        <w:t xml:space="preserve">Mr Matthew McDonnell </w:t>
      </w:r>
      <w:r w:rsidRPr="00DE475B">
        <w:rPr>
          <w:rFonts w:ascii="Arial" w:hAnsi="Arial" w:cs="Arial"/>
          <w:b/>
          <w:sz w:val="20"/>
          <w:szCs w:val="20"/>
        </w:rPr>
        <w:t>(Committee Chairperson)</w:t>
      </w:r>
      <w:r w:rsidRPr="00DE475B">
        <w:rPr>
          <w:rFonts w:ascii="Arial" w:hAnsi="Arial" w:cs="Arial"/>
          <w:b/>
          <w:bCs/>
          <w:sz w:val="20"/>
          <w:szCs w:val="20"/>
        </w:rPr>
        <w:t xml:space="preserve"> </w:t>
      </w:r>
      <w:r w:rsidRPr="00DE475B">
        <w:rPr>
          <w:rFonts w:ascii="Arial" w:hAnsi="Arial" w:cs="Arial"/>
          <w:sz w:val="20"/>
          <w:szCs w:val="20"/>
        </w:rPr>
        <w:t xml:space="preserve">— Member, Library Board of Queensland </w:t>
      </w:r>
    </w:p>
    <w:p w:rsidR="006D7F08" w:rsidRPr="00DE475B" w:rsidRDefault="006D7F08" w:rsidP="006D7F08">
      <w:pPr>
        <w:spacing w:after="40"/>
        <w:rPr>
          <w:rFonts w:ascii="Arial" w:hAnsi="Arial" w:cs="Arial"/>
          <w:b/>
          <w:bCs/>
          <w:sz w:val="20"/>
          <w:szCs w:val="20"/>
        </w:rPr>
      </w:pPr>
      <w:r w:rsidRPr="00DE475B">
        <w:rPr>
          <w:rFonts w:ascii="Arial" w:hAnsi="Arial" w:cs="Arial"/>
          <w:b/>
          <w:sz w:val="20"/>
          <w:szCs w:val="20"/>
        </w:rPr>
        <w:t xml:space="preserve">Ms Heather Linaker </w:t>
      </w:r>
      <w:r w:rsidRPr="00DE475B">
        <w:rPr>
          <w:rFonts w:ascii="Arial" w:hAnsi="Arial" w:cs="Arial"/>
          <w:sz w:val="20"/>
          <w:szCs w:val="20"/>
        </w:rPr>
        <w:t xml:space="preserve">— Member, Library Board of Queensland </w:t>
      </w:r>
    </w:p>
    <w:p w:rsidR="006D7F08" w:rsidRPr="00DE475B" w:rsidRDefault="006D7F08" w:rsidP="006D7F08">
      <w:pPr>
        <w:spacing w:after="40"/>
        <w:rPr>
          <w:rFonts w:ascii="Arial" w:hAnsi="Arial" w:cs="Arial"/>
          <w:b/>
          <w:sz w:val="20"/>
          <w:szCs w:val="20"/>
        </w:rPr>
      </w:pPr>
      <w:r w:rsidRPr="00DE475B">
        <w:rPr>
          <w:rFonts w:ascii="Arial" w:hAnsi="Arial" w:cs="Arial"/>
          <w:b/>
          <w:bCs/>
          <w:sz w:val="20"/>
          <w:szCs w:val="20"/>
        </w:rPr>
        <w:t xml:space="preserve">Mr Scott Reid </w:t>
      </w:r>
      <w:r w:rsidRPr="00DE475B">
        <w:rPr>
          <w:rFonts w:ascii="Arial" w:hAnsi="Arial" w:cs="Arial"/>
          <w:sz w:val="20"/>
          <w:szCs w:val="20"/>
        </w:rPr>
        <w:t>— Member, Library Board of Queensland</w:t>
      </w:r>
    </w:p>
    <w:p w:rsidR="0053750B" w:rsidRPr="00DE475B" w:rsidRDefault="006D7F08" w:rsidP="0053750B">
      <w:pPr>
        <w:spacing w:after="40"/>
        <w:rPr>
          <w:rFonts w:ascii="Arial" w:hAnsi="Arial" w:cs="Arial"/>
          <w:spacing w:val="-2"/>
          <w:sz w:val="20"/>
          <w:szCs w:val="20"/>
        </w:rPr>
      </w:pPr>
      <w:r w:rsidRPr="00DE475B">
        <w:rPr>
          <w:rFonts w:ascii="Arial" w:hAnsi="Arial" w:cs="Arial"/>
          <w:b/>
          <w:spacing w:val="-2"/>
          <w:sz w:val="20"/>
          <w:szCs w:val="20"/>
        </w:rPr>
        <w:t>Professor Emeritus Roland Sussex</w:t>
      </w:r>
      <w:r w:rsidR="0040211C" w:rsidRPr="00DE475B">
        <w:rPr>
          <w:rFonts w:ascii="Arial" w:hAnsi="Arial" w:cs="Arial"/>
          <w:b/>
          <w:spacing w:val="-2"/>
          <w:sz w:val="20"/>
          <w:szCs w:val="20"/>
        </w:rPr>
        <w:t xml:space="preserve"> </w:t>
      </w:r>
      <w:proofErr w:type="spellStart"/>
      <w:r w:rsidR="0040211C" w:rsidRPr="00DE475B">
        <w:rPr>
          <w:rFonts w:ascii="Arial" w:hAnsi="Arial" w:cs="Arial"/>
          <w:smallCaps/>
          <w:spacing w:val="-2"/>
          <w:sz w:val="20"/>
          <w:szCs w:val="20"/>
        </w:rPr>
        <w:t>oam</w:t>
      </w:r>
      <w:proofErr w:type="spellEnd"/>
      <w:r w:rsidRPr="00DE475B">
        <w:rPr>
          <w:rFonts w:ascii="Arial" w:hAnsi="Arial" w:cs="Arial"/>
          <w:b/>
          <w:spacing w:val="-2"/>
          <w:sz w:val="20"/>
          <w:szCs w:val="20"/>
        </w:rPr>
        <w:t xml:space="preserve"> </w:t>
      </w:r>
      <w:r w:rsidRPr="00DE475B">
        <w:rPr>
          <w:rFonts w:ascii="Arial" w:hAnsi="Arial" w:cs="Arial"/>
          <w:spacing w:val="-2"/>
          <w:sz w:val="20"/>
          <w:szCs w:val="20"/>
        </w:rPr>
        <w:t xml:space="preserve">— </w:t>
      </w:r>
      <w:r w:rsidR="00015A74" w:rsidRPr="00DE475B">
        <w:rPr>
          <w:rFonts w:ascii="Arial" w:hAnsi="Arial" w:cs="Arial"/>
          <w:spacing w:val="-2"/>
          <w:sz w:val="20"/>
          <w:szCs w:val="20"/>
        </w:rPr>
        <w:t xml:space="preserve">Deputy Chairperson, </w:t>
      </w:r>
      <w:r w:rsidRPr="00DE475B">
        <w:rPr>
          <w:rFonts w:ascii="Arial" w:hAnsi="Arial" w:cs="Arial"/>
          <w:spacing w:val="-2"/>
          <w:sz w:val="20"/>
          <w:szCs w:val="20"/>
        </w:rPr>
        <w:t xml:space="preserve">Library Board </w:t>
      </w:r>
      <w:r w:rsidR="00015A74" w:rsidRPr="00DE475B">
        <w:rPr>
          <w:rFonts w:ascii="Arial" w:hAnsi="Arial" w:cs="Arial"/>
          <w:spacing w:val="-2"/>
          <w:sz w:val="20"/>
          <w:szCs w:val="20"/>
        </w:rPr>
        <w:t>of Queensland</w:t>
      </w:r>
    </w:p>
    <w:p w:rsidR="0053750B" w:rsidRPr="00DE475B" w:rsidRDefault="0053750B" w:rsidP="00B13592">
      <w:pPr>
        <w:spacing w:after="200"/>
        <w:rPr>
          <w:rFonts w:ascii="Arial" w:hAnsi="Arial" w:cs="Arial"/>
          <w:spacing w:val="-2"/>
          <w:sz w:val="20"/>
          <w:szCs w:val="20"/>
        </w:rPr>
      </w:pPr>
      <w:r w:rsidRPr="00DE475B">
        <w:rPr>
          <w:rFonts w:ascii="Arial" w:hAnsi="Arial" w:cs="Arial"/>
          <w:b/>
          <w:spacing w:val="-2"/>
          <w:sz w:val="20"/>
          <w:szCs w:val="20"/>
        </w:rPr>
        <w:t xml:space="preserve">Mr Max Walters </w:t>
      </w:r>
      <w:proofErr w:type="spellStart"/>
      <w:r w:rsidRPr="00DE475B">
        <w:rPr>
          <w:rFonts w:ascii="Arial" w:hAnsi="Arial" w:cs="Arial"/>
          <w:smallCaps/>
          <w:sz w:val="20"/>
          <w:szCs w:val="20"/>
        </w:rPr>
        <w:t>oam</w:t>
      </w:r>
      <w:proofErr w:type="spellEnd"/>
      <w:r w:rsidRPr="00DE475B">
        <w:rPr>
          <w:rFonts w:ascii="Arial" w:hAnsi="Arial" w:cs="Arial"/>
          <w:spacing w:val="-2"/>
          <w:sz w:val="20"/>
          <w:szCs w:val="20"/>
        </w:rPr>
        <w:t xml:space="preserve"> — President</w:t>
      </w:r>
      <w:r w:rsidR="00D35E94">
        <w:rPr>
          <w:rFonts w:ascii="Arial" w:hAnsi="Arial" w:cs="Arial"/>
          <w:spacing w:val="-2"/>
          <w:sz w:val="20"/>
          <w:szCs w:val="20"/>
        </w:rPr>
        <w:t>,</w:t>
      </w:r>
      <w:r w:rsidRPr="00DE475B">
        <w:rPr>
          <w:rFonts w:ascii="Arial" w:hAnsi="Arial" w:cs="Arial"/>
          <w:spacing w:val="-2"/>
          <w:sz w:val="20"/>
          <w:szCs w:val="20"/>
        </w:rPr>
        <w:t xml:space="preserve"> Queensland Library Foundation </w:t>
      </w:r>
    </w:p>
    <w:p w:rsidR="00ED7F4C" w:rsidRPr="00DE475B" w:rsidRDefault="00ED7F4C" w:rsidP="00ED7F4C">
      <w:pPr>
        <w:spacing w:after="40"/>
        <w:rPr>
          <w:rFonts w:ascii="Arial" w:hAnsi="Arial" w:cs="Arial"/>
          <w:b/>
          <w:bCs/>
          <w:color w:val="808080"/>
          <w:sz w:val="20"/>
          <w:szCs w:val="20"/>
        </w:rPr>
      </w:pPr>
      <w:r w:rsidRPr="00DE475B">
        <w:rPr>
          <w:rFonts w:ascii="Arial" w:hAnsi="Arial" w:cs="Arial"/>
          <w:b/>
          <w:bCs/>
          <w:color w:val="808080"/>
          <w:sz w:val="20"/>
          <w:szCs w:val="20"/>
        </w:rPr>
        <w:t>Members from March 2017</w:t>
      </w:r>
    </w:p>
    <w:p w:rsidR="002D10C2" w:rsidRPr="00DE475B" w:rsidRDefault="002D10C2" w:rsidP="002D10C2">
      <w:pPr>
        <w:spacing w:after="40"/>
        <w:rPr>
          <w:rFonts w:ascii="Arial" w:hAnsi="Arial" w:cs="Arial"/>
          <w:b/>
          <w:bCs/>
          <w:sz w:val="20"/>
          <w:szCs w:val="20"/>
        </w:rPr>
      </w:pPr>
      <w:r w:rsidRPr="00DE475B">
        <w:rPr>
          <w:rFonts w:ascii="Arial" w:hAnsi="Arial" w:cs="Arial"/>
          <w:b/>
          <w:spacing w:val="-2"/>
          <w:sz w:val="20"/>
          <w:szCs w:val="20"/>
        </w:rPr>
        <w:t xml:space="preserve">Mr Bob </w:t>
      </w:r>
      <w:proofErr w:type="spellStart"/>
      <w:r w:rsidRPr="00DE475B">
        <w:rPr>
          <w:rFonts w:ascii="Arial" w:hAnsi="Arial" w:cs="Arial"/>
          <w:b/>
          <w:spacing w:val="-2"/>
          <w:sz w:val="20"/>
          <w:szCs w:val="20"/>
        </w:rPr>
        <w:t>Shead</w:t>
      </w:r>
      <w:proofErr w:type="spellEnd"/>
      <w:r w:rsidRPr="00DE475B">
        <w:rPr>
          <w:rFonts w:ascii="Arial" w:hAnsi="Arial" w:cs="Arial"/>
          <w:b/>
          <w:spacing w:val="-2"/>
          <w:sz w:val="20"/>
          <w:szCs w:val="20"/>
        </w:rPr>
        <w:t xml:space="preserve"> (Committee Chairperson) </w:t>
      </w:r>
      <w:r w:rsidRPr="00DE475B">
        <w:rPr>
          <w:rFonts w:ascii="Arial" w:hAnsi="Arial" w:cs="Arial"/>
          <w:sz w:val="20"/>
          <w:szCs w:val="20"/>
        </w:rPr>
        <w:t>— Member, Library Board of Queensland</w:t>
      </w:r>
    </w:p>
    <w:p w:rsidR="002D10C2" w:rsidRPr="00DE475B" w:rsidRDefault="002D10C2" w:rsidP="002D10C2">
      <w:pPr>
        <w:spacing w:after="40"/>
        <w:rPr>
          <w:rFonts w:ascii="Arial" w:hAnsi="Arial" w:cs="Arial"/>
          <w:b/>
          <w:bCs/>
          <w:sz w:val="20"/>
          <w:szCs w:val="20"/>
        </w:rPr>
      </w:pPr>
      <w:r w:rsidRPr="00DE475B">
        <w:rPr>
          <w:rFonts w:ascii="Arial" w:hAnsi="Arial" w:cs="Arial"/>
          <w:b/>
          <w:spacing w:val="-2"/>
          <w:sz w:val="20"/>
          <w:szCs w:val="20"/>
        </w:rPr>
        <w:t xml:space="preserve">Professor Marek </w:t>
      </w:r>
      <w:proofErr w:type="spellStart"/>
      <w:r w:rsidRPr="00DE475B">
        <w:rPr>
          <w:rFonts w:ascii="Arial" w:hAnsi="Arial" w:cs="Arial"/>
          <w:b/>
          <w:spacing w:val="-2"/>
          <w:sz w:val="20"/>
          <w:szCs w:val="20"/>
        </w:rPr>
        <w:t>Kowalkiewicz</w:t>
      </w:r>
      <w:proofErr w:type="spellEnd"/>
      <w:r w:rsidRPr="00DE475B">
        <w:rPr>
          <w:rFonts w:ascii="Arial" w:hAnsi="Arial" w:cs="Arial"/>
          <w:b/>
          <w:spacing w:val="-2"/>
          <w:sz w:val="20"/>
          <w:szCs w:val="20"/>
        </w:rPr>
        <w:t xml:space="preserve"> </w:t>
      </w:r>
      <w:r w:rsidRPr="00DE475B">
        <w:rPr>
          <w:rFonts w:ascii="Arial" w:hAnsi="Arial" w:cs="Arial"/>
          <w:sz w:val="20"/>
          <w:szCs w:val="20"/>
        </w:rPr>
        <w:t>— Member, Library Board of Queensland</w:t>
      </w:r>
    </w:p>
    <w:p w:rsidR="002D10C2" w:rsidRPr="00DE475B" w:rsidRDefault="002D10C2" w:rsidP="002D10C2">
      <w:pPr>
        <w:spacing w:after="40"/>
        <w:rPr>
          <w:rFonts w:ascii="Arial" w:hAnsi="Arial" w:cs="Arial"/>
          <w:b/>
          <w:bCs/>
          <w:sz w:val="20"/>
          <w:szCs w:val="20"/>
        </w:rPr>
      </w:pPr>
      <w:r w:rsidRPr="00DE475B">
        <w:rPr>
          <w:rFonts w:ascii="Arial" w:hAnsi="Arial" w:cs="Arial"/>
          <w:b/>
          <w:spacing w:val="-2"/>
          <w:sz w:val="20"/>
          <w:szCs w:val="20"/>
        </w:rPr>
        <w:t xml:space="preserve">Emeritus Professor Tom Cochrane </w:t>
      </w:r>
      <w:r w:rsidRPr="00DE475B">
        <w:rPr>
          <w:rFonts w:ascii="Arial" w:hAnsi="Arial" w:cs="Arial"/>
          <w:b/>
          <w:smallCaps/>
          <w:spacing w:val="-2"/>
          <w:sz w:val="20"/>
          <w:szCs w:val="20"/>
        </w:rPr>
        <w:t>am</w:t>
      </w:r>
      <w:r w:rsidRPr="00DE475B">
        <w:rPr>
          <w:rFonts w:ascii="Arial" w:hAnsi="Arial" w:cs="Arial"/>
          <w:sz w:val="20"/>
          <w:szCs w:val="20"/>
        </w:rPr>
        <w:t xml:space="preserve"> — Member, Library Board of Queensland</w:t>
      </w:r>
    </w:p>
    <w:p w:rsidR="002D10C2" w:rsidRPr="00DE475B" w:rsidRDefault="002D10C2" w:rsidP="00B13592">
      <w:pPr>
        <w:spacing w:after="200"/>
        <w:rPr>
          <w:rFonts w:ascii="Arial" w:hAnsi="Arial" w:cs="Arial"/>
          <w:sz w:val="20"/>
          <w:szCs w:val="20"/>
        </w:rPr>
      </w:pPr>
      <w:r w:rsidRPr="00DE475B">
        <w:rPr>
          <w:rFonts w:ascii="Arial" w:hAnsi="Arial" w:cs="Arial"/>
          <w:b/>
          <w:spacing w:val="-2"/>
          <w:sz w:val="20"/>
          <w:szCs w:val="20"/>
        </w:rPr>
        <w:t xml:space="preserve">Mr Danny Short </w:t>
      </w:r>
      <w:r w:rsidRPr="00DE475B">
        <w:rPr>
          <w:rFonts w:ascii="Arial" w:hAnsi="Arial" w:cs="Arial"/>
          <w:sz w:val="20"/>
          <w:szCs w:val="20"/>
        </w:rPr>
        <w:t>— Chief Financial Officer, Department of Science, Information Technology and Innovation (</w:t>
      </w:r>
      <w:proofErr w:type="spellStart"/>
      <w:r w:rsidRPr="00DE475B">
        <w:rPr>
          <w:rFonts w:ascii="Arial" w:hAnsi="Arial" w:cs="Arial"/>
          <w:sz w:val="20"/>
          <w:szCs w:val="20"/>
        </w:rPr>
        <w:t>DSITI</w:t>
      </w:r>
      <w:proofErr w:type="spellEnd"/>
      <w:r w:rsidRPr="00DE475B">
        <w:rPr>
          <w:rFonts w:ascii="Arial" w:hAnsi="Arial" w:cs="Arial"/>
          <w:sz w:val="20"/>
          <w:szCs w:val="20"/>
        </w:rPr>
        <w:t>)</w:t>
      </w:r>
    </w:p>
    <w:p w:rsidR="00D346B4" w:rsidRPr="00DE475B" w:rsidRDefault="00D346B4">
      <w:pPr>
        <w:spacing w:after="40"/>
        <w:rPr>
          <w:rFonts w:ascii="Arial" w:hAnsi="Arial" w:cs="Arial"/>
          <w:b/>
          <w:bCs/>
          <w:sz w:val="20"/>
          <w:szCs w:val="20"/>
        </w:rPr>
      </w:pPr>
      <w:r w:rsidRPr="00DE475B">
        <w:rPr>
          <w:rFonts w:ascii="Arial" w:hAnsi="Arial" w:cs="Arial"/>
          <w:b/>
          <w:bCs/>
          <w:color w:val="808080"/>
          <w:sz w:val="20"/>
          <w:szCs w:val="20"/>
        </w:rPr>
        <w:t>Secretariat</w:t>
      </w:r>
    </w:p>
    <w:p w:rsidR="00D346B4" w:rsidRPr="00DE475B" w:rsidRDefault="00D346B4">
      <w:pPr>
        <w:spacing w:after="40"/>
        <w:rPr>
          <w:rFonts w:ascii="Arial" w:hAnsi="Arial" w:cs="Arial"/>
          <w:b/>
          <w:bCs/>
          <w:sz w:val="20"/>
          <w:szCs w:val="20"/>
        </w:rPr>
      </w:pPr>
      <w:r w:rsidRPr="00DE475B">
        <w:rPr>
          <w:rFonts w:ascii="Arial" w:hAnsi="Arial" w:cs="Arial"/>
          <w:b/>
          <w:bCs/>
          <w:sz w:val="20"/>
          <w:szCs w:val="20"/>
        </w:rPr>
        <w:t xml:space="preserve">Ms Rita McLucas </w:t>
      </w:r>
      <w:r w:rsidRPr="00DE475B">
        <w:rPr>
          <w:rFonts w:ascii="Arial" w:hAnsi="Arial" w:cs="Arial"/>
          <w:b/>
          <w:sz w:val="20"/>
          <w:szCs w:val="20"/>
        </w:rPr>
        <w:t xml:space="preserve">(Executive Officer to the Committee) </w:t>
      </w:r>
      <w:r w:rsidRPr="00DE475B">
        <w:rPr>
          <w:rFonts w:ascii="Arial" w:hAnsi="Arial" w:cs="Arial"/>
          <w:sz w:val="20"/>
          <w:szCs w:val="20"/>
        </w:rPr>
        <w:t xml:space="preserve">— </w:t>
      </w:r>
      <w:r w:rsidR="005321B9" w:rsidRPr="00DE475B">
        <w:rPr>
          <w:rFonts w:ascii="Arial" w:hAnsi="Arial" w:cs="Arial"/>
          <w:sz w:val="20"/>
          <w:szCs w:val="20"/>
        </w:rPr>
        <w:t xml:space="preserve">Executive </w:t>
      </w:r>
      <w:r w:rsidRPr="00DE475B">
        <w:rPr>
          <w:rFonts w:ascii="Arial" w:hAnsi="Arial" w:cs="Arial"/>
          <w:sz w:val="20"/>
          <w:szCs w:val="20"/>
        </w:rPr>
        <w:t>Director</w:t>
      </w:r>
      <w:r w:rsidR="0008329F">
        <w:rPr>
          <w:rFonts w:ascii="Arial" w:hAnsi="Arial" w:cs="Arial"/>
          <w:sz w:val="20"/>
          <w:szCs w:val="20"/>
        </w:rPr>
        <w:t>,</w:t>
      </w:r>
      <w:r w:rsidRPr="00DE475B">
        <w:rPr>
          <w:rFonts w:ascii="Arial" w:hAnsi="Arial" w:cs="Arial"/>
          <w:sz w:val="20"/>
          <w:szCs w:val="20"/>
        </w:rPr>
        <w:t xml:space="preserve"> Corporate </w:t>
      </w:r>
      <w:r w:rsidR="00F37EAB" w:rsidRPr="00DE475B">
        <w:rPr>
          <w:rFonts w:ascii="Arial" w:hAnsi="Arial" w:cs="Arial"/>
          <w:sz w:val="20"/>
          <w:szCs w:val="20"/>
        </w:rPr>
        <w:t>Governance and Operations</w:t>
      </w:r>
      <w:r w:rsidRPr="00DE475B">
        <w:rPr>
          <w:rFonts w:ascii="Arial" w:hAnsi="Arial" w:cs="Arial"/>
          <w:sz w:val="20"/>
          <w:szCs w:val="20"/>
        </w:rPr>
        <w:t xml:space="preserve">, SLQ </w:t>
      </w:r>
    </w:p>
    <w:p w:rsidR="00D346B4" w:rsidRPr="00DE475B" w:rsidRDefault="00D346B4" w:rsidP="00C83FBB">
      <w:pPr>
        <w:spacing w:after="120"/>
        <w:rPr>
          <w:rFonts w:ascii="Arial" w:hAnsi="Arial" w:cs="Arial"/>
          <w:sz w:val="20"/>
          <w:szCs w:val="20"/>
        </w:rPr>
      </w:pPr>
      <w:r w:rsidRPr="00DE475B">
        <w:rPr>
          <w:rFonts w:ascii="Arial" w:hAnsi="Arial" w:cs="Arial"/>
          <w:b/>
          <w:bCs/>
          <w:sz w:val="20"/>
          <w:szCs w:val="20"/>
        </w:rPr>
        <w:t xml:space="preserve">Ms Val Johnston </w:t>
      </w:r>
      <w:r w:rsidRPr="00DE475B">
        <w:rPr>
          <w:rFonts w:ascii="Arial" w:hAnsi="Arial" w:cs="Arial"/>
          <w:b/>
          <w:sz w:val="20"/>
          <w:szCs w:val="20"/>
        </w:rPr>
        <w:t>(Assistant Executive Officer to the Committee)</w:t>
      </w:r>
      <w:r w:rsidRPr="00DE475B">
        <w:rPr>
          <w:rFonts w:ascii="Arial" w:hAnsi="Arial" w:cs="Arial"/>
          <w:b/>
          <w:bCs/>
          <w:sz w:val="20"/>
          <w:szCs w:val="20"/>
        </w:rPr>
        <w:t xml:space="preserve"> </w:t>
      </w:r>
      <w:r w:rsidRPr="00DE475B">
        <w:rPr>
          <w:rFonts w:ascii="Arial" w:hAnsi="Arial" w:cs="Arial"/>
          <w:sz w:val="20"/>
          <w:szCs w:val="20"/>
        </w:rPr>
        <w:t>— Executive Manager</w:t>
      </w:r>
      <w:r w:rsidR="0008329F">
        <w:rPr>
          <w:rFonts w:ascii="Arial" w:hAnsi="Arial" w:cs="Arial"/>
          <w:sz w:val="20"/>
          <w:szCs w:val="20"/>
        </w:rPr>
        <w:t>,</w:t>
      </w:r>
      <w:r w:rsidRPr="00DE475B">
        <w:rPr>
          <w:rFonts w:ascii="Arial" w:hAnsi="Arial" w:cs="Arial"/>
          <w:sz w:val="20"/>
          <w:szCs w:val="20"/>
        </w:rPr>
        <w:t xml:space="preserve"> Finance</w:t>
      </w:r>
      <w:r w:rsidR="0072610F" w:rsidRPr="00DE475B">
        <w:rPr>
          <w:rFonts w:ascii="Arial" w:hAnsi="Arial" w:cs="Arial"/>
          <w:sz w:val="20"/>
          <w:szCs w:val="20"/>
        </w:rPr>
        <w:t>,</w:t>
      </w:r>
      <w:r w:rsidRPr="00DE475B">
        <w:rPr>
          <w:rFonts w:ascii="Arial" w:hAnsi="Arial" w:cs="Arial"/>
          <w:sz w:val="20"/>
          <w:szCs w:val="20"/>
        </w:rPr>
        <w:t xml:space="preserve"> Facilities and Administration, SLQ</w:t>
      </w:r>
    </w:p>
    <w:p w:rsidR="001242B1" w:rsidRPr="00DE475B" w:rsidRDefault="001242B1" w:rsidP="007E27B9">
      <w:pPr>
        <w:spacing w:after="40"/>
        <w:rPr>
          <w:rFonts w:ascii="Arial" w:hAnsi="Arial" w:cs="Arial"/>
          <w:b/>
          <w:bCs/>
          <w:sz w:val="20"/>
          <w:szCs w:val="20"/>
        </w:rPr>
      </w:pPr>
    </w:p>
    <w:p w:rsidR="007E27B9" w:rsidRPr="00DE475B" w:rsidRDefault="007E27B9" w:rsidP="007E27B9">
      <w:pPr>
        <w:spacing w:after="40"/>
        <w:rPr>
          <w:rFonts w:ascii="Arial" w:hAnsi="Arial" w:cs="Arial"/>
          <w:sz w:val="20"/>
          <w:szCs w:val="20"/>
        </w:rPr>
      </w:pPr>
      <w:r w:rsidRPr="00DE475B">
        <w:rPr>
          <w:rFonts w:ascii="Arial" w:hAnsi="Arial" w:cs="Arial"/>
          <w:b/>
          <w:bCs/>
          <w:sz w:val="20"/>
          <w:szCs w:val="20"/>
        </w:rPr>
        <w:t>Public Libraries Advisory Group</w:t>
      </w:r>
    </w:p>
    <w:p w:rsidR="007E27B9" w:rsidRPr="00DE475B" w:rsidRDefault="007E27B9" w:rsidP="007E27B9">
      <w:pPr>
        <w:spacing w:after="40"/>
        <w:rPr>
          <w:rFonts w:ascii="Arial" w:hAnsi="Arial" w:cs="Arial"/>
          <w:sz w:val="20"/>
          <w:szCs w:val="20"/>
        </w:rPr>
      </w:pPr>
      <w:r w:rsidRPr="00DE475B">
        <w:rPr>
          <w:rFonts w:ascii="Arial" w:hAnsi="Arial" w:cs="Arial"/>
          <w:sz w:val="20"/>
          <w:szCs w:val="20"/>
        </w:rPr>
        <w:t>The objectives of the Public Libraries Advisory Group (</w:t>
      </w:r>
      <w:proofErr w:type="spellStart"/>
      <w:r w:rsidRPr="00DE475B">
        <w:rPr>
          <w:rFonts w:ascii="Arial" w:hAnsi="Arial" w:cs="Arial"/>
          <w:sz w:val="20"/>
          <w:szCs w:val="20"/>
        </w:rPr>
        <w:t>PLAG</w:t>
      </w:r>
      <w:proofErr w:type="spellEnd"/>
      <w:r w:rsidRPr="00DE475B">
        <w:rPr>
          <w:rFonts w:ascii="Arial" w:hAnsi="Arial" w:cs="Arial"/>
          <w:sz w:val="20"/>
          <w:szCs w:val="20"/>
        </w:rPr>
        <w:t>) are to:</w:t>
      </w:r>
    </w:p>
    <w:p w:rsidR="007E27B9" w:rsidRPr="00DE475B" w:rsidRDefault="007E27B9" w:rsidP="00337D67">
      <w:pPr>
        <w:numPr>
          <w:ilvl w:val="0"/>
          <w:numId w:val="10"/>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provide advice to the Library Board on policy and strategy matters concerning public libraries</w:t>
      </w:r>
    </w:p>
    <w:p w:rsidR="007E27B9" w:rsidRPr="00DE475B" w:rsidRDefault="007E27B9" w:rsidP="00337D67">
      <w:pPr>
        <w:numPr>
          <w:ilvl w:val="0"/>
          <w:numId w:val="10"/>
        </w:numPr>
        <w:tabs>
          <w:tab w:val="left" w:pos="284"/>
          <w:tab w:val="left" w:pos="360"/>
        </w:tabs>
        <w:spacing w:after="120"/>
        <w:ind w:left="284" w:hanging="284"/>
        <w:rPr>
          <w:rFonts w:ascii="Arial" w:hAnsi="Arial" w:cs="Arial"/>
          <w:sz w:val="20"/>
          <w:szCs w:val="20"/>
        </w:rPr>
      </w:pPr>
      <w:proofErr w:type="gramStart"/>
      <w:r w:rsidRPr="00DE475B">
        <w:rPr>
          <w:rFonts w:ascii="Arial" w:hAnsi="Arial" w:cs="Arial"/>
          <w:sz w:val="20"/>
          <w:szCs w:val="20"/>
        </w:rPr>
        <w:t>represent</w:t>
      </w:r>
      <w:proofErr w:type="gramEnd"/>
      <w:r w:rsidRPr="00DE475B">
        <w:rPr>
          <w:rFonts w:ascii="Arial" w:hAnsi="Arial" w:cs="Arial"/>
          <w:sz w:val="20"/>
          <w:szCs w:val="20"/>
        </w:rPr>
        <w:t xml:space="preserve"> the views of public librarians, </w:t>
      </w:r>
      <w:r w:rsidR="0021141C" w:rsidRPr="00DE475B">
        <w:rPr>
          <w:rFonts w:ascii="Arial" w:hAnsi="Arial" w:cs="Arial"/>
          <w:sz w:val="20"/>
          <w:szCs w:val="20"/>
        </w:rPr>
        <w:t>l</w:t>
      </w:r>
      <w:r w:rsidRPr="00DE475B">
        <w:rPr>
          <w:rFonts w:ascii="Arial" w:hAnsi="Arial" w:cs="Arial"/>
          <w:sz w:val="20"/>
          <w:szCs w:val="20"/>
        </w:rPr>
        <w:t xml:space="preserve">ocal </w:t>
      </w:r>
      <w:r w:rsidR="0021141C" w:rsidRPr="00DE475B">
        <w:rPr>
          <w:rFonts w:ascii="Arial" w:hAnsi="Arial" w:cs="Arial"/>
          <w:sz w:val="20"/>
          <w:szCs w:val="20"/>
        </w:rPr>
        <w:t>g</w:t>
      </w:r>
      <w:r w:rsidRPr="00DE475B">
        <w:rPr>
          <w:rFonts w:ascii="Arial" w:hAnsi="Arial" w:cs="Arial"/>
          <w:sz w:val="20"/>
          <w:szCs w:val="20"/>
        </w:rPr>
        <w:t>overnment and relevant stakeholders to the Library Board through formal community engagement processes.</w:t>
      </w:r>
    </w:p>
    <w:p w:rsidR="007E27B9" w:rsidRPr="00DE475B" w:rsidRDefault="007E27B9" w:rsidP="00B13592">
      <w:pPr>
        <w:spacing w:after="200"/>
        <w:rPr>
          <w:rFonts w:ascii="Arial" w:hAnsi="Arial" w:cs="Arial"/>
          <w:b/>
          <w:bCs/>
          <w:color w:val="778591"/>
          <w:sz w:val="20"/>
          <w:szCs w:val="20"/>
        </w:rPr>
      </w:pPr>
      <w:proofErr w:type="spellStart"/>
      <w:r w:rsidRPr="00DE475B">
        <w:rPr>
          <w:rFonts w:ascii="Arial" w:hAnsi="Arial" w:cs="Arial"/>
          <w:sz w:val="20"/>
          <w:szCs w:val="20"/>
        </w:rPr>
        <w:t>PLAG</w:t>
      </w:r>
      <w:proofErr w:type="spellEnd"/>
      <w:r w:rsidRPr="00DE475B">
        <w:rPr>
          <w:rFonts w:ascii="Arial" w:hAnsi="Arial" w:cs="Arial"/>
          <w:sz w:val="20"/>
          <w:szCs w:val="20"/>
        </w:rPr>
        <w:t xml:space="preserve"> members are no</w:t>
      </w:r>
      <w:r w:rsidR="00D56961" w:rsidRPr="00DE475B">
        <w:rPr>
          <w:rFonts w:ascii="Arial" w:hAnsi="Arial" w:cs="Arial"/>
          <w:sz w:val="20"/>
          <w:szCs w:val="20"/>
        </w:rPr>
        <w:t>t paid for sitting on the group;</w:t>
      </w:r>
      <w:r w:rsidRPr="00DE475B">
        <w:rPr>
          <w:rFonts w:ascii="Arial" w:hAnsi="Arial" w:cs="Arial"/>
          <w:sz w:val="20"/>
          <w:szCs w:val="20"/>
        </w:rPr>
        <w:t xml:space="preserve"> however, they will be reimbursed for reasonable expenses associated with meeting attendance on presentation of documentary evidence of the expense.</w:t>
      </w:r>
    </w:p>
    <w:p w:rsidR="007E27B9" w:rsidRPr="00DE475B" w:rsidRDefault="007E27B9" w:rsidP="007E27B9">
      <w:pPr>
        <w:spacing w:after="40"/>
        <w:rPr>
          <w:rFonts w:ascii="Arial" w:hAnsi="Arial" w:cs="Arial"/>
          <w:b/>
          <w:bCs/>
          <w:sz w:val="20"/>
          <w:szCs w:val="20"/>
        </w:rPr>
      </w:pPr>
      <w:r w:rsidRPr="00DE475B">
        <w:rPr>
          <w:rFonts w:ascii="Arial" w:hAnsi="Arial" w:cs="Arial"/>
          <w:b/>
          <w:bCs/>
          <w:color w:val="808080"/>
          <w:sz w:val="20"/>
          <w:szCs w:val="20"/>
        </w:rPr>
        <w:t>Members</w:t>
      </w:r>
    </w:p>
    <w:p w:rsidR="007E27B9" w:rsidRPr="00DE475B" w:rsidRDefault="007E27B9" w:rsidP="007E27B9">
      <w:pPr>
        <w:autoSpaceDN w:val="0"/>
        <w:adjustRightInd w:val="0"/>
        <w:spacing w:after="40"/>
        <w:rPr>
          <w:rFonts w:ascii="Arial" w:hAnsi="Arial" w:cs="Arial"/>
          <w:sz w:val="20"/>
          <w:szCs w:val="20"/>
        </w:rPr>
      </w:pPr>
      <w:r w:rsidRPr="00DE475B">
        <w:rPr>
          <w:rFonts w:ascii="Arial" w:hAnsi="Arial" w:cs="Arial"/>
          <w:b/>
          <w:sz w:val="20"/>
          <w:szCs w:val="20"/>
        </w:rPr>
        <w:t xml:space="preserve">Professor Andrew Griffiths (Chairperson) </w:t>
      </w:r>
      <w:r w:rsidRPr="00DE475B">
        <w:rPr>
          <w:rFonts w:ascii="Arial" w:hAnsi="Arial" w:cs="Arial"/>
          <w:sz w:val="20"/>
          <w:szCs w:val="20"/>
        </w:rPr>
        <w:t>— Member, Library Board of Queensland</w:t>
      </w:r>
      <w:r w:rsidR="0039395D" w:rsidRPr="00DE475B">
        <w:rPr>
          <w:rFonts w:ascii="Arial" w:hAnsi="Arial" w:cs="Arial"/>
          <w:sz w:val="20"/>
          <w:szCs w:val="20"/>
        </w:rPr>
        <w:t xml:space="preserve"> (until </w:t>
      </w:r>
      <w:r w:rsidR="00F37EAB" w:rsidRPr="00DE475B">
        <w:rPr>
          <w:rFonts w:ascii="Arial" w:hAnsi="Arial" w:cs="Arial"/>
          <w:sz w:val="20"/>
          <w:szCs w:val="20"/>
        </w:rPr>
        <w:t>September 2016</w:t>
      </w:r>
      <w:r w:rsidR="0039395D" w:rsidRPr="00DE475B">
        <w:rPr>
          <w:rFonts w:ascii="Arial" w:hAnsi="Arial" w:cs="Arial"/>
          <w:sz w:val="20"/>
          <w:szCs w:val="20"/>
        </w:rPr>
        <w:t>)</w:t>
      </w:r>
    </w:p>
    <w:p w:rsidR="0039395D" w:rsidRPr="00DE475B" w:rsidRDefault="0039395D" w:rsidP="0039395D">
      <w:pPr>
        <w:autoSpaceDN w:val="0"/>
        <w:adjustRightInd w:val="0"/>
        <w:spacing w:after="40"/>
        <w:rPr>
          <w:rFonts w:ascii="Arial" w:hAnsi="Arial" w:cs="Arial"/>
          <w:sz w:val="20"/>
          <w:szCs w:val="20"/>
        </w:rPr>
      </w:pPr>
      <w:r w:rsidRPr="00DE475B">
        <w:rPr>
          <w:rFonts w:ascii="Arial" w:hAnsi="Arial" w:cs="Arial"/>
          <w:b/>
          <w:sz w:val="20"/>
          <w:szCs w:val="20"/>
        </w:rPr>
        <w:t xml:space="preserve">Cr Julia </w:t>
      </w:r>
      <w:proofErr w:type="spellStart"/>
      <w:r w:rsidRPr="00DE475B">
        <w:rPr>
          <w:rFonts w:ascii="Arial" w:hAnsi="Arial" w:cs="Arial"/>
          <w:b/>
          <w:sz w:val="20"/>
          <w:szCs w:val="20"/>
        </w:rPr>
        <w:t>Leu</w:t>
      </w:r>
      <w:proofErr w:type="spellEnd"/>
      <w:r w:rsidRPr="00DE475B">
        <w:rPr>
          <w:rFonts w:ascii="Arial" w:hAnsi="Arial" w:cs="Arial"/>
          <w:sz w:val="20"/>
          <w:szCs w:val="20"/>
        </w:rPr>
        <w:t xml:space="preserve"> </w:t>
      </w:r>
      <w:r w:rsidRPr="00DE475B">
        <w:rPr>
          <w:rFonts w:ascii="Arial" w:hAnsi="Arial" w:cs="Arial"/>
          <w:b/>
          <w:sz w:val="20"/>
          <w:szCs w:val="20"/>
        </w:rPr>
        <w:t xml:space="preserve">(Chairperson) </w:t>
      </w:r>
      <w:r w:rsidRPr="00DE475B">
        <w:rPr>
          <w:rFonts w:ascii="Arial" w:hAnsi="Arial" w:cs="Arial"/>
          <w:sz w:val="20"/>
          <w:szCs w:val="20"/>
        </w:rPr>
        <w:t xml:space="preserve">— Member, Library Board of Queensland (from </w:t>
      </w:r>
      <w:r w:rsidR="00F37EAB" w:rsidRPr="00DE475B">
        <w:rPr>
          <w:rFonts w:ascii="Arial" w:hAnsi="Arial" w:cs="Arial"/>
          <w:sz w:val="20"/>
          <w:szCs w:val="20"/>
        </w:rPr>
        <w:t>September 2016</w:t>
      </w:r>
      <w:r w:rsidRPr="00DE475B">
        <w:rPr>
          <w:rFonts w:ascii="Arial" w:hAnsi="Arial" w:cs="Arial"/>
          <w:sz w:val="20"/>
          <w:szCs w:val="20"/>
        </w:rPr>
        <w:t xml:space="preserve">) </w:t>
      </w:r>
    </w:p>
    <w:p w:rsidR="00772AAE" w:rsidRPr="00DE475B" w:rsidRDefault="00772AAE" w:rsidP="007E27B9">
      <w:pPr>
        <w:spacing w:after="40"/>
        <w:rPr>
          <w:rFonts w:ascii="Arial" w:hAnsi="Arial" w:cs="Arial"/>
          <w:sz w:val="20"/>
          <w:szCs w:val="20"/>
        </w:rPr>
      </w:pPr>
      <w:r w:rsidRPr="00DE475B">
        <w:rPr>
          <w:rFonts w:ascii="Arial" w:hAnsi="Arial" w:cs="Arial"/>
          <w:b/>
          <w:bCs/>
          <w:sz w:val="20"/>
          <w:szCs w:val="20"/>
        </w:rPr>
        <w:t>M</w:t>
      </w:r>
      <w:r w:rsidR="009352BD" w:rsidRPr="00DE475B">
        <w:rPr>
          <w:rFonts w:ascii="Arial" w:hAnsi="Arial" w:cs="Arial"/>
          <w:b/>
          <w:bCs/>
          <w:sz w:val="20"/>
          <w:szCs w:val="20"/>
        </w:rPr>
        <w:t>r</w:t>
      </w:r>
      <w:r w:rsidRPr="00DE475B">
        <w:rPr>
          <w:rFonts w:ascii="Arial" w:hAnsi="Arial" w:cs="Arial"/>
          <w:b/>
          <w:bCs/>
          <w:sz w:val="20"/>
          <w:szCs w:val="20"/>
        </w:rPr>
        <w:t xml:space="preserve">s Sonia Cooper </w:t>
      </w:r>
      <w:r w:rsidRPr="00DE475B">
        <w:rPr>
          <w:rFonts w:ascii="Arial" w:hAnsi="Arial" w:cs="Arial"/>
          <w:sz w:val="20"/>
          <w:szCs w:val="20"/>
        </w:rPr>
        <w:t>— State L</w:t>
      </w:r>
      <w:r w:rsidR="00401B77" w:rsidRPr="00DE475B">
        <w:rPr>
          <w:rFonts w:ascii="Arial" w:hAnsi="Arial" w:cs="Arial"/>
          <w:sz w:val="20"/>
          <w:szCs w:val="20"/>
        </w:rPr>
        <w:t>ibrarian</w:t>
      </w:r>
      <w:r w:rsidR="00F37EAB" w:rsidRPr="00DE475B">
        <w:rPr>
          <w:rFonts w:ascii="Arial" w:hAnsi="Arial" w:cs="Arial"/>
          <w:sz w:val="20"/>
          <w:szCs w:val="20"/>
        </w:rPr>
        <w:t xml:space="preserve"> and CEO</w:t>
      </w:r>
      <w:r w:rsidR="00401B77" w:rsidRPr="00DE475B">
        <w:rPr>
          <w:rFonts w:ascii="Arial" w:hAnsi="Arial" w:cs="Arial"/>
          <w:sz w:val="20"/>
          <w:szCs w:val="20"/>
        </w:rPr>
        <w:t>, SLQ (</w:t>
      </w:r>
      <w:r w:rsidR="00DE4001" w:rsidRPr="00DE475B">
        <w:rPr>
          <w:rFonts w:ascii="Arial" w:hAnsi="Arial" w:cs="Arial"/>
          <w:sz w:val="20"/>
          <w:szCs w:val="20"/>
        </w:rPr>
        <w:t>until</w:t>
      </w:r>
      <w:r w:rsidR="00401B77" w:rsidRPr="00DE475B">
        <w:rPr>
          <w:rFonts w:ascii="Arial" w:hAnsi="Arial" w:cs="Arial"/>
          <w:sz w:val="20"/>
          <w:szCs w:val="20"/>
        </w:rPr>
        <w:t xml:space="preserve"> </w:t>
      </w:r>
      <w:r w:rsidR="00DE4001" w:rsidRPr="00DE475B">
        <w:rPr>
          <w:rFonts w:ascii="Arial" w:hAnsi="Arial" w:cs="Arial"/>
          <w:sz w:val="20"/>
          <w:szCs w:val="20"/>
        </w:rPr>
        <w:t>September</w:t>
      </w:r>
      <w:r w:rsidR="00401B77" w:rsidRPr="00DE475B">
        <w:rPr>
          <w:rFonts w:ascii="Arial" w:hAnsi="Arial" w:cs="Arial"/>
          <w:sz w:val="20"/>
          <w:szCs w:val="20"/>
        </w:rPr>
        <w:t xml:space="preserve"> 201</w:t>
      </w:r>
      <w:r w:rsidR="00DE4001" w:rsidRPr="00DE475B">
        <w:rPr>
          <w:rFonts w:ascii="Arial" w:hAnsi="Arial" w:cs="Arial"/>
          <w:sz w:val="20"/>
          <w:szCs w:val="20"/>
        </w:rPr>
        <w:t>6</w:t>
      </w:r>
      <w:r w:rsidRPr="00DE475B">
        <w:rPr>
          <w:rFonts w:ascii="Arial" w:hAnsi="Arial" w:cs="Arial"/>
          <w:sz w:val="20"/>
          <w:szCs w:val="20"/>
        </w:rPr>
        <w:t>)</w:t>
      </w:r>
    </w:p>
    <w:p w:rsidR="00DE4001" w:rsidRPr="00DE475B" w:rsidRDefault="00DE4001" w:rsidP="00DE4001">
      <w:pPr>
        <w:spacing w:after="40"/>
        <w:rPr>
          <w:rFonts w:ascii="Arial" w:hAnsi="Arial" w:cs="Arial"/>
          <w:sz w:val="20"/>
          <w:szCs w:val="20"/>
        </w:rPr>
      </w:pPr>
      <w:r w:rsidRPr="00DE475B">
        <w:rPr>
          <w:rFonts w:ascii="Arial" w:hAnsi="Arial" w:cs="Arial"/>
          <w:b/>
          <w:bCs/>
          <w:sz w:val="20"/>
          <w:szCs w:val="20"/>
        </w:rPr>
        <w:t xml:space="preserve">Ms Vicki McDonald </w:t>
      </w:r>
      <w:r w:rsidRPr="00DE475B">
        <w:rPr>
          <w:rFonts w:ascii="Arial" w:hAnsi="Arial" w:cs="Arial"/>
          <w:sz w:val="20"/>
          <w:szCs w:val="20"/>
        </w:rPr>
        <w:t>— State Librarian</w:t>
      </w:r>
      <w:r w:rsidR="00F37EAB" w:rsidRPr="00DE475B">
        <w:rPr>
          <w:rFonts w:ascii="Arial" w:hAnsi="Arial" w:cs="Arial"/>
          <w:sz w:val="20"/>
          <w:szCs w:val="20"/>
        </w:rPr>
        <w:t xml:space="preserve"> and CEO</w:t>
      </w:r>
      <w:r w:rsidRPr="00DE475B">
        <w:rPr>
          <w:rFonts w:ascii="Arial" w:hAnsi="Arial" w:cs="Arial"/>
          <w:sz w:val="20"/>
          <w:szCs w:val="20"/>
        </w:rPr>
        <w:t>, SLQ (from September 2016)</w:t>
      </w:r>
    </w:p>
    <w:p w:rsidR="00104968" w:rsidRPr="00DE475B" w:rsidRDefault="00104968" w:rsidP="00104968">
      <w:pPr>
        <w:spacing w:after="40"/>
        <w:rPr>
          <w:rFonts w:ascii="Arial" w:hAnsi="Arial" w:cs="Arial"/>
          <w:b/>
          <w:bCs/>
          <w:sz w:val="20"/>
          <w:szCs w:val="20"/>
        </w:rPr>
      </w:pPr>
      <w:r w:rsidRPr="00DE475B">
        <w:rPr>
          <w:rFonts w:ascii="Arial" w:hAnsi="Arial" w:cs="Arial"/>
          <w:b/>
          <w:bCs/>
          <w:sz w:val="20"/>
          <w:szCs w:val="20"/>
        </w:rPr>
        <w:t>Ms Louise Denoon</w:t>
      </w:r>
      <w:r w:rsidRPr="00DE475B">
        <w:rPr>
          <w:rFonts w:ascii="Arial" w:hAnsi="Arial" w:cs="Arial"/>
          <w:bCs/>
          <w:sz w:val="20"/>
          <w:szCs w:val="20"/>
        </w:rPr>
        <w:t xml:space="preserve"> — </w:t>
      </w:r>
      <w:r w:rsidR="005321B9" w:rsidRPr="00DE475B">
        <w:rPr>
          <w:rFonts w:ascii="Arial" w:hAnsi="Arial" w:cs="Arial"/>
          <w:bCs/>
          <w:sz w:val="20"/>
          <w:szCs w:val="20"/>
        </w:rPr>
        <w:t xml:space="preserve">Executive </w:t>
      </w:r>
      <w:r w:rsidRPr="00DE475B">
        <w:rPr>
          <w:rFonts w:ascii="Arial" w:hAnsi="Arial" w:cs="Arial"/>
          <w:bCs/>
          <w:sz w:val="20"/>
          <w:szCs w:val="20"/>
        </w:rPr>
        <w:t>Director</w:t>
      </w:r>
      <w:r w:rsidR="0008329F">
        <w:rPr>
          <w:rFonts w:ascii="Arial" w:hAnsi="Arial" w:cs="Arial"/>
          <w:bCs/>
          <w:sz w:val="20"/>
          <w:szCs w:val="20"/>
        </w:rPr>
        <w:t>,</w:t>
      </w:r>
      <w:r w:rsidRPr="00DE475B">
        <w:rPr>
          <w:rFonts w:ascii="Arial" w:hAnsi="Arial" w:cs="Arial"/>
          <w:bCs/>
          <w:sz w:val="20"/>
          <w:szCs w:val="20"/>
        </w:rPr>
        <w:t xml:space="preserve"> Regional A</w:t>
      </w:r>
      <w:r w:rsidR="001242B1" w:rsidRPr="00DE475B">
        <w:rPr>
          <w:rFonts w:ascii="Arial" w:hAnsi="Arial" w:cs="Arial"/>
          <w:bCs/>
          <w:sz w:val="20"/>
          <w:szCs w:val="20"/>
        </w:rPr>
        <w:t>ccess and Public Libraries, SLQ</w:t>
      </w:r>
    </w:p>
    <w:p w:rsidR="007E27B9" w:rsidRPr="00DE475B" w:rsidRDefault="007E27B9" w:rsidP="007E27B9">
      <w:pPr>
        <w:spacing w:after="40"/>
        <w:rPr>
          <w:rFonts w:ascii="Arial" w:hAnsi="Arial" w:cs="Arial"/>
          <w:sz w:val="20"/>
          <w:szCs w:val="20"/>
        </w:rPr>
      </w:pPr>
      <w:r w:rsidRPr="00DE475B">
        <w:rPr>
          <w:rFonts w:ascii="Arial" w:hAnsi="Arial" w:cs="Arial"/>
          <w:b/>
          <w:bCs/>
          <w:sz w:val="20"/>
          <w:szCs w:val="20"/>
        </w:rPr>
        <w:t xml:space="preserve">Mr Stephan </w:t>
      </w:r>
      <w:proofErr w:type="spellStart"/>
      <w:r w:rsidRPr="00DE475B">
        <w:rPr>
          <w:rFonts w:ascii="Arial" w:hAnsi="Arial" w:cs="Arial"/>
          <w:b/>
          <w:bCs/>
          <w:sz w:val="20"/>
          <w:szCs w:val="20"/>
        </w:rPr>
        <w:t>Bohnen</w:t>
      </w:r>
      <w:proofErr w:type="spellEnd"/>
      <w:r w:rsidRPr="00DE475B">
        <w:rPr>
          <w:rFonts w:ascii="Arial" w:hAnsi="Arial" w:cs="Arial"/>
          <w:b/>
          <w:bCs/>
          <w:sz w:val="20"/>
          <w:szCs w:val="20"/>
        </w:rPr>
        <w:t xml:space="preserve"> </w:t>
      </w:r>
      <w:r w:rsidRPr="00DE475B">
        <w:rPr>
          <w:rFonts w:ascii="Arial" w:hAnsi="Arial" w:cs="Arial"/>
          <w:sz w:val="20"/>
          <w:szCs w:val="20"/>
        </w:rPr>
        <w:t>— Principal Advisor Intergovernmental Relations, Local Government Association of Queensland</w:t>
      </w:r>
    </w:p>
    <w:p w:rsidR="003832A3" w:rsidRPr="00DE475B" w:rsidRDefault="003832A3" w:rsidP="003832A3">
      <w:pPr>
        <w:spacing w:after="40"/>
        <w:rPr>
          <w:rFonts w:ascii="Arial" w:hAnsi="Arial" w:cs="Arial"/>
          <w:b/>
          <w:sz w:val="20"/>
          <w:szCs w:val="20"/>
        </w:rPr>
      </w:pPr>
      <w:r w:rsidRPr="00DE475B">
        <w:rPr>
          <w:rFonts w:ascii="Arial" w:hAnsi="Arial" w:cs="Arial"/>
          <w:b/>
          <w:sz w:val="20"/>
          <w:szCs w:val="20"/>
        </w:rPr>
        <w:t>Mr David Burges</w:t>
      </w:r>
      <w:r w:rsidRPr="00DE475B">
        <w:rPr>
          <w:rFonts w:ascii="Arial" w:hAnsi="Arial" w:cs="Arial"/>
          <w:sz w:val="20"/>
          <w:szCs w:val="20"/>
        </w:rPr>
        <w:t xml:space="preserve"> — Chief Executive </w:t>
      </w:r>
      <w:r w:rsidR="005A46D2" w:rsidRPr="00DE475B">
        <w:rPr>
          <w:rFonts w:ascii="Arial" w:hAnsi="Arial" w:cs="Arial"/>
          <w:sz w:val="20"/>
          <w:szCs w:val="20"/>
        </w:rPr>
        <w:t>Officer, Quilpie Shire Council</w:t>
      </w:r>
    </w:p>
    <w:p w:rsidR="005A46D2" w:rsidRPr="00DE475B" w:rsidRDefault="00022EEF" w:rsidP="005A46D2">
      <w:pPr>
        <w:spacing w:after="40"/>
        <w:rPr>
          <w:rFonts w:ascii="Arial" w:hAnsi="Arial" w:cs="Arial"/>
          <w:sz w:val="20"/>
          <w:szCs w:val="20"/>
        </w:rPr>
      </w:pPr>
      <w:r w:rsidRPr="00DE475B">
        <w:rPr>
          <w:rFonts w:ascii="Arial" w:hAnsi="Arial" w:cs="Arial"/>
          <w:b/>
          <w:sz w:val="20"/>
          <w:szCs w:val="20"/>
        </w:rPr>
        <w:lastRenderedPageBreak/>
        <w:t xml:space="preserve">Ms </w:t>
      </w:r>
      <w:r w:rsidR="005A46D2" w:rsidRPr="00DE475B">
        <w:rPr>
          <w:rFonts w:ascii="Arial" w:hAnsi="Arial" w:cs="Arial"/>
          <w:b/>
          <w:sz w:val="20"/>
          <w:szCs w:val="20"/>
        </w:rPr>
        <w:t>Esther Buys</w:t>
      </w:r>
      <w:r w:rsidR="005A46D2" w:rsidRPr="00DE475B">
        <w:rPr>
          <w:rFonts w:ascii="Arial" w:hAnsi="Arial" w:cs="Arial"/>
          <w:sz w:val="20"/>
          <w:szCs w:val="20"/>
        </w:rPr>
        <w:t xml:space="preserve"> — Vice President</w:t>
      </w:r>
      <w:r w:rsidR="0008329F">
        <w:rPr>
          <w:rFonts w:ascii="Arial" w:hAnsi="Arial" w:cs="Arial"/>
          <w:sz w:val="20"/>
          <w:szCs w:val="20"/>
        </w:rPr>
        <w:t>,</w:t>
      </w:r>
      <w:r w:rsidR="005A46D2" w:rsidRPr="00DE475B">
        <w:rPr>
          <w:rFonts w:ascii="Arial" w:hAnsi="Arial" w:cs="Arial"/>
          <w:sz w:val="20"/>
          <w:szCs w:val="20"/>
        </w:rPr>
        <w:t xml:space="preserve"> Queensland Public Libraries Association (from </w:t>
      </w:r>
      <w:r w:rsidR="005321B9" w:rsidRPr="00DE475B">
        <w:rPr>
          <w:rFonts w:ascii="Arial" w:hAnsi="Arial" w:cs="Arial"/>
          <w:sz w:val="20"/>
          <w:szCs w:val="20"/>
        </w:rPr>
        <w:t>March 2017</w:t>
      </w:r>
      <w:r w:rsidR="005A46D2" w:rsidRPr="00DE475B">
        <w:rPr>
          <w:rFonts w:ascii="Arial" w:hAnsi="Arial" w:cs="Arial"/>
          <w:sz w:val="20"/>
          <w:szCs w:val="20"/>
        </w:rPr>
        <w:t>)</w:t>
      </w:r>
    </w:p>
    <w:p w:rsidR="007E27B9" w:rsidRPr="00DE475B" w:rsidRDefault="007E27B9" w:rsidP="007E27B9">
      <w:pPr>
        <w:spacing w:after="40"/>
        <w:rPr>
          <w:rFonts w:ascii="Arial" w:hAnsi="Arial" w:cs="Arial"/>
          <w:b/>
          <w:bCs/>
          <w:sz w:val="20"/>
          <w:szCs w:val="20"/>
        </w:rPr>
      </w:pPr>
      <w:r w:rsidRPr="00DE475B">
        <w:rPr>
          <w:rFonts w:ascii="Arial" w:hAnsi="Arial" w:cs="Arial"/>
          <w:b/>
          <w:sz w:val="20"/>
          <w:szCs w:val="20"/>
        </w:rPr>
        <w:t>Ms Sharan Harvey</w:t>
      </w:r>
      <w:r w:rsidRPr="00DE475B">
        <w:rPr>
          <w:rFonts w:ascii="Arial" w:hAnsi="Arial" w:cs="Arial"/>
          <w:sz w:val="20"/>
          <w:szCs w:val="20"/>
        </w:rPr>
        <w:t xml:space="preserve"> — Manager Library Services, Brisbane City Council</w:t>
      </w:r>
    </w:p>
    <w:p w:rsidR="005A46D2" w:rsidRPr="00DE475B" w:rsidRDefault="005A46D2" w:rsidP="005A46D2">
      <w:pPr>
        <w:spacing w:after="40"/>
        <w:rPr>
          <w:rFonts w:ascii="Arial" w:hAnsi="Arial" w:cs="Arial"/>
          <w:sz w:val="20"/>
          <w:szCs w:val="20"/>
        </w:rPr>
      </w:pPr>
      <w:r w:rsidRPr="00DE475B">
        <w:rPr>
          <w:rFonts w:ascii="Arial" w:hAnsi="Arial" w:cs="Arial"/>
          <w:b/>
          <w:sz w:val="20"/>
          <w:szCs w:val="20"/>
        </w:rPr>
        <w:t xml:space="preserve">Cr Alf </w:t>
      </w:r>
      <w:proofErr w:type="spellStart"/>
      <w:r w:rsidRPr="00DE475B">
        <w:rPr>
          <w:rFonts w:ascii="Arial" w:hAnsi="Arial" w:cs="Arial"/>
          <w:b/>
          <w:sz w:val="20"/>
          <w:szCs w:val="20"/>
        </w:rPr>
        <w:t>Lacey</w:t>
      </w:r>
      <w:proofErr w:type="spellEnd"/>
      <w:r w:rsidRPr="00DE475B">
        <w:rPr>
          <w:rFonts w:ascii="Arial" w:hAnsi="Arial" w:cs="Arial"/>
          <w:sz w:val="20"/>
          <w:szCs w:val="20"/>
        </w:rPr>
        <w:t xml:space="preserve"> — Ma</w:t>
      </w:r>
      <w:r w:rsidR="005321B9" w:rsidRPr="00DE475B">
        <w:rPr>
          <w:rFonts w:ascii="Arial" w:hAnsi="Arial" w:cs="Arial"/>
          <w:sz w:val="20"/>
          <w:szCs w:val="20"/>
        </w:rPr>
        <w:t>y</w:t>
      </w:r>
      <w:r w:rsidRPr="00DE475B">
        <w:rPr>
          <w:rFonts w:ascii="Arial" w:hAnsi="Arial" w:cs="Arial"/>
          <w:sz w:val="20"/>
          <w:szCs w:val="20"/>
        </w:rPr>
        <w:t xml:space="preserve">or, Palm Island Aboriginal Shire Council (from </w:t>
      </w:r>
      <w:r w:rsidR="005321B9" w:rsidRPr="00DE475B">
        <w:rPr>
          <w:rFonts w:ascii="Arial" w:hAnsi="Arial" w:cs="Arial"/>
          <w:sz w:val="20"/>
          <w:szCs w:val="20"/>
        </w:rPr>
        <w:t>March 2017</w:t>
      </w:r>
      <w:r w:rsidRPr="00DE475B">
        <w:rPr>
          <w:rFonts w:ascii="Arial" w:hAnsi="Arial" w:cs="Arial"/>
          <w:sz w:val="20"/>
          <w:szCs w:val="20"/>
        </w:rPr>
        <w:t>)</w:t>
      </w:r>
    </w:p>
    <w:p w:rsidR="005A46D2" w:rsidRPr="00DE475B" w:rsidRDefault="005A46D2" w:rsidP="005A46D2">
      <w:pPr>
        <w:spacing w:after="40"/>
        <w:rPr>
          <w:rFonts w:ascii="Arial" w:hAnsi="Arial" w:cs="Arial"/>
          <w:sz w:val="20"/>
          <w:szCs w:val="20"/>
        </w:rPr>
      </w:pPr>
      <w:r w:rsidRPr="00DE475B">
        <w:rPr>
          <w:rFonts w:ascii="Arial" w:hAnsi="Arial" w:cs="Arial"/>
          <w:b/>
          <w:sz w:val="20"/>
          <w:szCs w:val="20"/>
        </w:rPr>
        <w:t>Cr Joyce McCulloch</w:t>
      </w:r>
      <w:r w:rsidRPr="00DE475B">
        <w:rPr>
          <w:rFonts w:ascii="Arial" w:hAnsi="Arial" w:cs="Arial"/>
          <w:sz w:val="20"/>
          <w:szCs w:val="20"/>
        </w:rPr>
        <w:t xml:space="preserve"> — Mayor, Mount Isa Council (from </w:t>
      </w:r>
      <w:r w:rsidR="005321B9" w:rsidRPr="00DE475B">
        <w:rPr>
          <w:rFonts w:ascii="Arial" w:hAnsi="Arial" w:cs="Arial"/>
          <w:sz w:val="20"/>
          <w:szCs w:val="20"/>
        </w:rPr>
        <w:t>March 2017</w:t>
      </w:r>
      <w:r w:rsidRPr="00DE475B">
        <w:rPr>
          <w:rFonts w:ascii="Arial" w:hAnsi="Arial" w:cs="Arial"/>
          <w:sz w:val="20"/>
          <w:szCs w:val="20"/>
        </w:rPr>
        <w:t>)</w:t>
      </w:r>
    </w:p>
    <w:p w:rsidR="007E27B9" w:rsidRPr="00DE475B" w:rsidRDefault="007E27B9" w:rsidP="007E27B9">
      <w:pPr>
        <w:spacing w:after="40"/>
        <w:rPr>
          <w:rFonts w:ascii="Arial" w:hAnsi="Arial" w:cs="Arial"/>
          <w:b/>
          <w:bCs/>
          <w:sz w:val="20"/>
          <w:szCs w:val="20"/>
        </w:rPr>
      </w:pPr>
      <w:r w:rsidRPr="00DE475B">
        <w:rPr>
          <w:rFonts w:ascii="Arial" w:hAnsi="Arial" w:cs="Arial"/>
          <w:b/>
          <w:bCs/>
          <w:sz w:val="20"/>
          <w:szCs w:val="20"/>
        </w:rPr>
        <w:t xml:space="preserve">Ms </w:t>
      </w:r>
      <w:r w:rsidR="00010E30" w:rsidRPr="00DE475B">
        <w:rPr>
          <w:rFonts w:ascii="Arial" w:hAnsi="Arial" w:cs="Arial"/>
          <w:b/>
          <w:bCs/>
          <w:sz w:val="20"/>
          <w:szCs w:val="20"/>
        </w:rPr>
        <w:t>Marian Morgan-</w:t>
      </w:r>
      <w:proofErr w:type="spellStart"/>
      <w:r w:rsidR="00010E30" w:rsidRPr="00DE475B">
        <w:rPr>
          <w:rFonts w:ascii="Arial" w:hAnsi="Arial" w:cs="Arial"/>
          <w:b/>
          <w:bCs/>
          <w:sz w:val="20"/>
          <w:szCs w:val="20"/>
        </w:rPr>
        <w:t>Bindo</w:t>
      </w:r>
      <w:r w:rsidRPr="00DE475B">
        <w:rPr>
          <w:rFonts w:ascii="Arial" w:hAnsi="Arial" w:cs="Arial"/>
          <w:b/>
          <w:bCs/>
          <w:sz w:val="20"/>
          <w:szCs w:val="20"/>
        </w:rPr>
        <w:t>n</w:t>
      </w:r>
      <w:proofErr w:type="spellEnd"/>
      <w:r w:rsidRPr="00DE475B">
        <w:rPr>
          <w:rFonts w:ascii="Arial" w:hAnsi="Arial" w:cs="Arial"/>
          <w:b/>
          <w:bCs/>
          <w:sz w:val="20"/>
          <w:szCs w:val="20"/>
        </w:rPr>
        <w:t xml:space="preserve"> </w:t>
      </w:r>
      <w:r w:rsidRPr="00DE475B">
        <w:rPr>
          <w:rFonts w:ascii="Arial" w:hAnsi="Arial" w:cs="Arial"/>
          <w:sz w:val="20"/>
          <w:szCs w:val="20"/>
        </w:rPr>
        <w:t>— President, Queensland Public Libraries Association</w:t>
      </w:r>
      <w:r w:rsidR="005A46D2" w:rsidRPr="00DE475B">
        <w:rPr>
          <w:rFonts w:ascii="Arial" w:hAnsi="Arial" w:cs="Arial"/>
          <w:sz w:val="20"/>
          <w:szCs w:val="20"/>
        </w:rPr>
        <w:t xml:space="preserve"> (until </w:t>
      </w:r>
      <w:r w:rsidR="005321B9" w:rsidRPr="00DE475B">
        <w:rPr>
          <w:rFonts w:ascii="Arial" w:hAnsi="Arial" w:cs="Arial"/>
          <w:sz w:val="20"/>
          <w:szCs w:val="20"/>
        </w:rPr>
        <w:t>October 2016</w:t>
      </w:r>
      <w:r w:rsidR="005A46D2" w:rsidRPr="00DE475B">
        <w:rPr>
          <w:rFonts w:ascii="Arial" w:hAnsi="Arial" w:cs="Arial"/>
          <w:sz w:val="20"/>
          <w:szCs w:val="20"/>
        </w:rPr>
        <w:t>)</w:t>
      </w:r>
    </w:p>
    <w:p w:rsidR="007E27B9" w:rsidRPr="00DE475B" w:rsidRDefault="007E27B9" w:rsidP="007E27B9">
      <w:pPr>
        <w:spacing w:after="40"/>
        <w:rPr>
          <w:rFonts w:ascii="Arial" w:hAnsi="Arial" w:cs="Arial"/>
          <w:sz w:val="20"/>
          <w:szCs w:val="20"/>
        </w:rPr>
      </w:pPr>
      <w:r w:rsidRPr="00DE475B">
        <w:rPr>
          <w:rFonts w:ascii="Arial" w:hAnsi="Arial" w:cs="Arial"/>
          <w:b/>
          <w:bCs/>
          <w:sz w:val="20"/>
          <w:szCs w:val="20"/>
        </w:rPr>
        <w:t>Ms Carolyn Tillman</w:t>
      </w:r>
      <w:r w:rsidRPr="00DE475B">
        <w:rPr>
          <w:rFonts w:ascii="Arial" w:hAnsi="Arial" w:cs="Arial"/>
          <w:bCs/>
          <w:sz w:val="20"/>
          <w:szCs w:val="20"/>
        </w:rPr>
        <w:t xml:space="preserve"> —</w:t>
      </w:r>
      <w:r w:rsidRPr="00DE475B">
        <w:t xml:space="preserve"> </w:t>
      </w:r>
      <w:r w:rsidRPr="00DE475B">
        <w:rPr>
          <w:rFonts w:ascii="Arial" w:hAnsi="Arial" w:cs="Arial"/>
          <w:sz w:val="20"/>
          <w:szCs w:val="20"/>
        </w:rPr>
        <w:t xml:space="preserve">Councillor, Western Downs Regional </w:t>
      </w:r>
      <w:proofErr w:type="gramStart"/>
      <w:r w:rsidRPr="00DE475B">
        <w:rPr>
          <w:rFonts w:ascii="Arial" w:hAnsi="Arial" w:cs="Arial"/>
          <w:sz w:val="20"/>
          <w:szCs w:val="20"/>
        </w:rPr>
        <w:t>Council</w:t>
      </w:r>
      <w:r w:rsidR="005A46D2" w:rsidRPr="00DE475B">
        <w:rPr>
          <w:rFonts w:ascii="Arial" w:hAnsi="Arial" w:cs="Arial"/>
          <w:sz w:val="20"/>
          <w:szCs w:val="20"/>
        </w:rPr>
        <w:t xml:space="preserve">  (</w:t>
      </w:r>
      <w:proofErr w:type="gramEnd"/>
      <w:r w:rsidR="005A46D2" w:rsidRPr="00DE475B">
        <w:rPr>
          <w:rFonts w:ascii="Arial" w:hAnsi="Arial" w:cs="Arial"/>
          <w:sz w:val="20"/>
          <w:szCs w:val="20"/>
        </w:rPr>
        <w:t xml:space="preserve">until </w:t>
      </w:r>
      <w:r w:rsidR="005321B9" w:rsidRPr="00DE475B">
        <w:rPr>
          <w:rFonts w:ascii="Arial" w:hAnsi="Arial" w:cs="Arial"/>
          <w:sz w:val="20"/>
          <w:szCs w:val="20"/>
        </w:rPr>
        <w:t>October 2016</w:t>
      </w:r>
      <w:r w:rsidR="005A46D2" w:rsidRPr="00DE475B">
        <w:rPr>
          <w:rFonts w:ascii="Arial" w:hAnsi="Arial" w:cs="Arial"/>
          <w:sz w:val="20"/>
          <w:szCs w:val="20"/>
        </w:rPr>
        <w:t>)</w:t>
      </w:r>
    </w:p>
    <w:p w:rsidR="005A46D2" w:rsidRPr="00DE475B" w:rsidRDefault="00022EEF" w:rsidP="00B13592">
      <w:pPr>
        <w:spacing w:after="200"/>
        <w:rPr>
          <w:rFonts w:ascii="Arial" w:hAnsi="Arial" w:cs="Arial"/>
          <w:sz w:val="20"/>
          <w:szCs w:val="20"/>
        </w:rPr>
      </w:pPr>
      <w:r w:rsidRPr="00DE475B">
        <w:rPr>
          <w:rFonts w:ascii="Arial" w:hAnsi="Arial" w:cs="Arial"/>
          <w:b/>
          <w:sz w:val="20"/>
          <w:szCs w:val="20"/>
        </w:rPr>
        <w:t xml:space="preserve">Ms </w:t>
      </w:r>
      <w:r w:rsidR="005A46D2" w:rsidRPr="00DE475B">
        <w:rPr>
          <w:rFonts w:ascii="Arial" w:hAnsi="Arial" w:cs="Arial"/>
          <w:b/>
          <w:sz w:val="20"/>
          <w:szCs w:val="20"/>
        </w:rPr>
        <w:t>Dell Price</w:t>
      </w:r>
      <w:r w:rsidR="005A46D2" w:rsidRPr="00DE475B">
        <w:rPr>
          <w:rFonts w:ascii="Arial" w:hAnsi="Arial" w:cs="Arial"/>
          <w:bCs/>
          <w:sz w:val="20"/>
          <w:szCs w:val="20"/>
        </w:rPr>
        <w:t xml:space="preserve"> —</w:t>
      </w:r>
      <w:r w:rsidR="005A46D2" w:rsidRPr="00DE475B">
        <w:t xml:space="preserve"> </w:t>
      </w:r>
      <w:r w:rsidR="005A46D2" w:rsidRPr="00DE475B">
        <w:rPr>
          <w:rFonts w:ascii="Arial" w:hAnsi="Arial" w:cs="Arial"/>
          <w:sz w:val="20"/>
          <w:szCs w:val="20"/>
        </w:rPr>
        <w:t>Team Leader</w:t>
      </w:r>
      <w:r w:rsidR="0008329F">
        <w:rPr>
          <w:rFonts w:ascii="Arial" w:hAnsi="Arial" w:cs="Arial"/>
          <w:sz w:val="20"/>
          <w:szCs w:val="20"/>
        </w:rPr>
        <w:t>,</w:t>
      </w:r>
      <w:r w:rsidR="005A46D2" w:rsidRPr="00DE475B">
        <w:rPr>
          <w:rFonts w:ascii="Arial" w:hAnsi="Arial" w:cs="Arial"/>
          <w:sz w:val="20"/>
          <w:szCs w:val="20"/>
        </w:rPr>
        <w:t xml:space="preserve"> Libraries Cultural and Youth Services, Central Highlands Regional Council Services (from </w:t>
      </w:r>
      <w:r w:rsidR="005321B9" w:rsidRPr="00DE475B">
        <w:rPr>
          <w:rFonts w:ascii="Arial" w:hAnsi="Arial" w:cs="Arial"/>
          <w:sz w:val="20"/>
          <w:szCs w:val="20"/>
        </w:rPr>
        <w:t>March 2017</w:t>
      </w:r>
      <w:r w:rsidR="005A46D2" w:rsidRPr="00DE475B">
        <w:rPr>
          <w:rFonts w:ascii="Arial" w:hAnsi="Arial" w:cs="Arial"/>
          <w:sz w:val="20"/>
          <w:szCs w:val="20"/>
        </w:rPr>
        <w:t>)</w:t>
      </w:r>
    </w:p>
    <w:p w:rsidR="001242B1" w:rsidRPr="00DE475B" w:rsidRDefault="001242B1" w:rsidP="007E27B9">
      <w:pPr>
        <w:spacing w:after="40"/>
        <w:rPr>
          <w:rFonts w:ascii="Arial" w:hAnsi="Arial" w:cs="Arial"/>
          <w:b/>
          <w:bCs/>
          <w:color w:val="808080"/>
          <w:sz w:val="20"/>
          <w:szCs w:val="20"/>
        </w:rPr>
      </w:pPr>
      <w:r w:rsidRPr="00DE475B">
        <w:rPr>
          <w:rFonts w:ascii="Arial" w:hAnsi="Arial" w:cs="Arial"/>
          <w:b/>
          <w:bCs/>
          <w:color w:val="808080"/>
          <w:sz w:val="20"/>
          <w:szCs w:val="20"/>
        </w:rPr>
        <w:t>Observer</w:t>
      </w:r>
    </w:p>
    <w:p w:rsidR="001242B1" w:rsidRPr="00DE475B" w:rsidRDefault="001242B1" w:rsidP="00B13592">
      <w:pPr>
        <w:spacing w:after="200"/>
        <w:rPr>
          <w:rFonts w:ascii="Arial" w:hAnsi="Arial" w:cs="Arial"/>
          <w:sz w:val="20"/>
          <w:szCs w:val="20"/>
        </w:rPr>
      </w:pPr>
      <w:r w:rsidRPr="00DE475B">
        <w:rPr>
          <w:rFonts w:ascii="Arial" w:hAnsi="Arial" w:cs="Arial"/>
          <w:b/>
          <w:sz w:val="20"/>
          <w:szCs w:val="20"/>
        </w:rPr>
        <w:t>Ms Michelle Carter</w:t>
      </w:r>
      <w:r w:rsidRPr="00DE475B">
        <w:rPr>
          <w:rFonts w:ascii="Arial" w:hAnsi="Arial" w:cs="Arial"/>
          <w:sz w:val="20"/>
          <w:szCs w:val="20"/>
        </w:rPr>
        <w:t xml:space="preserve"> — Director, Digital Economy and Productivity, Department of Science, Informa</w:t>
      </w:r>
      <w:r w:rsidR="00C70971" w:rsidRPr="00DE475B">
        <w:rPr>
          <w:rFonts w:ascii="Arial" w:hAnsi="Arial" w:cs="Arial"/>
          <w:sz w:val="20"/>
          <w:szCs w:val="20"/>
        </w:rPr>
        <w:t xml:space="preserve">tion, Technology and Innovation (from </w:t>
      </w:r>
      <w:r w:rsidR="005321B9" w:rsidRPr="00DE475B">
        <w:rPr>
          <w:rFonts w:ascii="Arial" w:hAnsi="Arial" w:cs="Arial"/>
          <w:sz w:val="20"/>
          <w:szCs w:val="20"/>
        </w:rPr>
        <w:t>March 2017</w:t>
      </w:r>
      <w:r w:rsidR="00C70971" w:rsidRPr="00DE475B">
        <w:rPr>
          <w:rFonts w:ascii="Arial" w:hAnsi="Arial" w:cs="Arial"/>
          <w:sz w:val="20"/>
          <w:szCs w:val="20"/>
        </w:rPr>
        <w:t>)</w:t>
      </w:r>
    </w:p>
    <w:p w:rsidR="007E27B9" w:rsidRPr="00DE475B" w:rsidRDefault="007E27B9" w:rsidP="007E27B9">
      <w:pPr>
        <w:spacing w:after="40"/>
        <w:rPr>
          <w:rFonts w:ascii="Arial" w:hAnsi="Arial" w:cs="Arial"/>
          <w:b/>
          <w:sz w:val="20"/>
          <w:szCs w:val="20"/>
        </w:rPr>
      </w:pPr>
      <w:r w:rsidRPr="00DE475B">
        <w:rPr>
          <w:rFonts w:ascii="Arial" w:hAnsi="Arial" w:cs="Arial"/>
          <w:b/>
          <w:bCs/>
          <w:color w:val="808080"/>
          <w:sz w:val="20"/>
          <w:szCs w:val="20"/>
        </w:rPr>
        <w:t>Secretariat</w:t>
      </w:r>
    </w:p>
    <w:p w:rsidR="006B0662" w:rsidRDefault="00172573" w:rsidP="00C83FBB">
      <w:pPr>
        <w:rPr>
          <w:rFonts w:ascii="Arial" w:hAnsi="Arial" w:cs="Arial"/>
          <w:sz w:val="20"/>
          <w:szCs w:val="20"/>
        </w:rPr>
      </w:pPr>
      <w:r w:rsidRPr="00C83FBB">
        <w:rPr>
          <w:rFonts w:ascii="Arial" w:hAnsi="Arial" w:cs="Arial"/>
          <w:b/>
          <w:sz w:val="20"/>
          <w:szCs w:val="20"/>
        </w:rPr>
        <w:t>Mrs Sharon Churcher</w:t>
      </w:r>
      <w:r w:rsidR="006B0662" w:rsidRPr="00C83FBB">
        <w:rPr>
          <w:rFonts w:ascii="Arial" w:hAnsi="Arial" w:cs="Arial"/>
          <w:sz w:val="20"/>
          <w:szCs w:val="20"/>
        </w:rPr>
        <w:t xml:space="preserve"> — </w:t>
      </w:r>
      <w:r w:rsidRPr="00C83FBB">
        <w:rPr>
          <w:rFonts w:ascii="Arial" w:hAnsi="Arial" w:cs="Arial"/>
          <w:sz w:val="20"/>
          <w:szCs w:val="20"/>
        </w:rPr>
        <w:t>Senior Executive Assistant, Executive Support, SLQ</w:t>
      </w:r>
      <w:r w:rsidR="00C83FBB">
        <w:rPr>
          <w:rFonts w:ascii="Arial" w:hAnsi="Arial" w:cs="Arial"/>
          <w:sz w:val="20"/>
          <w:szCs w:val="20"/>
        </w:rPr>
        <w:t xml:space="preserve"> (until October 2016)</w:t>
      </w:r>
    </w:p>
    <w:p w:rsidR="00C83FBB" w:rsidRDefault="00C83FBB" w:rsidP="00C83FBB">
      <w:pPr>
        <w:spacing w:after="120"/>
        <w:rPr>
          <w:rFonts w:ascii="Arial" w:hAnsi="Arial" w:cs="Arial"/>
          <w:sz w:val="20"/>
          <w:szCs w:val="20"/>
        </w:rPr>
      </w:pPr>
      <w:r w:rsidRPr="00C83FBB">
        <w:rPr>
          <w:rFonts w:ascii="Arial" w:hAnsi="Arial" w:cs="Arial"/>
          <w:b/>
          <w:sz w:val="20"/>
          <w:szCs w:val="20"/>
        </w:rPr>
        <w:t>Ms Deb Miles</w:t>
      </w:r>
      <w:r>
        <w:rPr>
          <w:rFonts w:ascii="Arial" w:hAnsi="Arial" w:cs="Arial"/>
          <w:sz w:val="20"/>
          <w:szCs w:val="20"/>
        </w:rPr>
        <w:t xml:space="preserve"> — </w:t>
      </w:r>
      <w:r w:rsidRPr="00C83FBB">
        <w:rPr>
          <w:rFonts w:ascii="Arial" w:hAnsi="Arial" w:cs="Arial"/>
          <w:sz w:val="20"/>
          <w:szCs w:val="20"/>
        </w:rPr>
        <w:t>Executive Manager, Regional Partnerships</w:t>
      </w:r>
      <w:r>
        <w:rPr>
          <w:rFonts w:ascii="Arial" w:hAnsi="Arial" w:cs="Arial"/>
          <w:sz w:val="20"/>
          <w:szCs w:val="20"/>
        </w:rPr>
        <w:t>, SLQ (from October 2016)</w:t>
      </w:r>
    </w:p>
    <w:p w:rsidR="001242B1" w:rsidRPr="00DE475B" w:rsidRDefault="001242B1">
      <w:pPr>
        <w:spacing w:after="40"/>
        <w:rPr>
          <w:rFonts w:ascii="Arial" w:hAnsi="Arial" w:cs="Arial"/>
          <w:b/>
          <w:bCs/>
          <w:sz w:val="20"/>
          <w:szCs w:val="20"/>
        </w:rPr>
      </w:pPr>
    </w:p>
    <w:p w:rsidR="00D346B4" w:rsidRPr="00C83FBB" w:rsidRDefault="00D346B4">
      <w:pPr>
        <w:spacing w:after="40"/>
        <w:rPr>
          <w:rFonts w:ascii="Arial" w:hAnsi="Arial" w:cs="Arial"/>
          <w:b/>
          <w:bCs/>
          <w:sz w:val="20"/>
          <w:szCs w:val="20"/>
        </w:rPr>
      </w:pPr>
      <w:r w:rsidRPr="00DE475B">
        <w:rPr>
          <w:rFonts w:ascii="Arial" w:hAnsi="Arial" w:cs="Arial"/>
          <w:b/>
          <w:bCs/>
          <w:sz w:val="20"/>
          <w:szCs w:val="20"/>
        </w:rPr>
        <w:t>Indigenous Advisory Group</w:t>
      </w:r>
    </w:p>
    <w:p w:rsidR="00D346B4" w:rsidRPr="00DE475B" w:rsidRDefault="00D346B4">
      <w:pPr>
        <w:spacing w:after="40"/>
        <w:rPr>
          <w:rFonts w:ascii="Arial" w:hAnsi="Arial" w:cs="Arial"/>
          <w:sz w:val="20"/>
          <w:szCs w:val="20"/>
        </w:rPr>
      </w:pPr>
      <w:r w:rsidRPr="00DE475B">
        <w:rPr>
          <w:rFonts w:ascii="Arial" w:hAnsi="Arial" w:cs="Arial"/>
          <w:sz w:val="20"/>
          <w:szCs w:val="20"/>
        </w:rPr>
        <w:t>The objectives of the Indigenous Advisory Group (</w:t>
      </w:r>
      <w:proofErr w:type="spellStart"/>
      <w:r w:rsidRPr="00DE475B">
        <w:rPr>
          <w:rFonts w:ascii="Arial" w:hAnsi="Arial" w:cs="Arial"/>
          <w:sz w:val="20"/>
          <w:szCs w:val="20"/>
        </w:rPr>
        <w:t>IAG</w:t>
      </w:r>
      <w:proofErr w:type="spellEnd"/>
      <w:r w:rsidRPr="00DE475B">
        <w:rPr>
          <w:rFonts w:ascii="Arial" w:hAnsi="Arial" w:cs="Arial"/>
          <w:sz w:val="20"/>
          <w:szCs w:val="20"/>
        </w:rPr>
        <w:t>) are to provide:</w:t>
      </w:r>
    </w:p>
    <w:p w:rsidR="00D346B4" w:rsidRPr="00DE475B" w:rsidRDefault="00D346B4" w:rsidP="00337D67">
      <w:pPr>
        <w:numPr>
          <w:ilvl w:val="0"/>
          <w:numId w:val="5"/>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advice to the Library Board on policy, projects and strategic matters concerning library and information service provision for Aboriginal people</w:t>
      </w:r>
      <w:r w:rsidR="00500D97" w:rsidRPr="00DE475B">
        <w:rPr>
          <w:rFonts w:ascii="Arial" w:hAnsi="Arial" w:cs="Arial"/>
          <w:sz w:val="20"/>
          <w:szCs w:val="20"/>
        </w:rPr>
        <w:t>s</w:t>
      </w:r>
      <w:r w:rsidRPr="00DE475B">
        <w:rPr>
          <w:rFonts w:ascii="Arial" w:hAnsi="Arial" w:cs="Arial"/>
          <w:sz w:val="20"/>
          <w:szCs w:val="20"/>
        </w:rPr>
        <w:t xml:space="preserve"> and Torres Strait Islander</w:t>
      </w:r>
      <w:r w:rsidR="00904301" w:rsidRPr="00DE475B">
        <w:rPr>
          <w:rFonts w:ascii="Arial" w:hAnsi="Arial" w:cs="Arial"/>
          <w:sz w:val="20"/>
          <w:szCs w:val="20"/>
        </w:rPr>
        <w:t xml:space="preserve"> people</w:t>
      </w:r>
      <w:r w:rsidRPr="00DE475B">
        <w:rPr>
          <w:rFonts w:ascii="Arial" w:hAnsi="Arial" w:cs="Arial"/>
          <w:sz w:val="20"/>
          <w:szCs w:val="20"/>
        </w:rPr>
        <w:t>s</w:t>
      </w:r>
    </w:p>
    <w:p w:rsidR="00D346B4" w:rsidRPr="00DE475B" w:rsidRDefault="00D346B4" w:rsidP="00337D67">
      <w:pPr>
        <w:numPr>
          <w:ilvl w:val="0"/>
          <w:numId w:val="10"/>
        </w:numPr>
        <w:tabs>
          <w:tab w:val="left" w:pos="284"/>
          <w:tab w:val="left" w:pos="360"/>
        </w:tabs>
        <w:spacing w:after="40"/>
        <w:ind w:left="284" w:hanging="284"/>
        <w:rPr>
          <w:rFonts w:ascii="Arial" w:hAnsi="Arial" w:cs="Arial"/>
          <w:sz w:val="20"/>
          <w:szCs w:val="20"/>
        </w:rPr>
      </w:pPr>
      <w:r w:rsidRPr="00DE475B">
        <w:rPr>
          <w:rFonts w:ascii="Arial" w:hAnsi="Arial" w:cs="Arial"/>
          <w:sz w:val="20"/>
          <w:szCs w:val="20"/>
        </w:rPr>
        <w:t>a forum for discussing Aboriginal and Torres Strait Islander issues impacting on library and information services in Queensland</w:t>
      </w:r>
    </w:p>
    <w:p w:rsidR="00D346B4" w:rsidRPr="00DE475B" w:rsidRDefault="00D346B4" w:rsidP="00B13592">
      <w:pPr>
        <w:numPr>
          <w:ilvl w:val="0"/>
          <w:numId w:val="10"/>
        </w:numPr>
        <w:tabs>
          <w:tab w:val="left" w:pos="284"/>
          <w:tab w:val="left" w:pos="360"/>
        </w:tabs>
        <w:spacing w:after="200"/>
        <w:ind w:left="284" w:hanging="284"/>
        <w:rPr>
          <w:rFonts w:ascii="Arial" w:hAnsi="Arial" w:cs="Arial"/>
          <w:sz w:val="20"/>
          <w:szCs w:val="20"/>
        </w:rPr>
      </w:pPr>
      <w:proofErr w:type="gramStart"/>
      <w:r w:rsidRPr="00DE475B">
        <w:rPr>
          <w:rFonts w:ascii="Arial" w:hAnsi="Arial" w:cs="Arial"/>
          <w:sz w:val="20"/>
          <w:szCs w:val="20"/>
        </w:rPr>
        <w:t>a</w:t>
      </w:r>
      <w:proofErr w:type="gramEnd"/>
      <w:r w:rsidRPr="00DE475B">
        <w:rPr>
          <w:rFonts w:ascii="Arial" w:hAnsi="Arial" w:cs="Arial"/>
          <w:sz w:val="20"/>
          <w:szCs w:val="20"/>
        </w:rPr>
        <w:t xml:space="preserve"> formal mechanism for ongoing liaison between the Library Board and Aboriginal and Torres Strait Islander peoples.</w:t>
      </w:r>
    </w:p>
    <w:p w:rsidR="00D346B4" w:rsidRPr="00DE475B" w:rsidRDefault="00D346B4" w:rsidP="00B13592">
      <w:pPr>
        <w:tabs>
          <w:tab w:val="left" w:pos="284"/>
        </w:tabs>
        <w:spacing w:after="120"/>
        <w:rPr>
          <w:rFonts w:ascii="Arial" w:hAnsi="Arial" w:cs="Arial"/>
          <w:sz w:val="20"/>
          <w:szCs w:val="20"/>
        </w:rPr>
      </w:pPr>
      <w:proofErr w:type="spellStart"/>
      <w:r w:rsidRPr="00DE475B">
        <w:rPr>
          <w:rFonts w:ascii="Arial" w:hAnsi="Arial" w:cs="Arial"/>
          <w:sz w:val="20"/>
          <w:szCs w:val="20"/>
        </w:rPr>
        <w:t>IAG</w:t>
      </w:r>
      <w:proofErr w:type="spellEnd"/>
      <w:r w:rsidRPr="00DE475B">
        <w:rPr>
          <w:rFonts w:ascii="Arial" w:hAnsi="Arial" w:cs="Arial"/>
          <w:sz w:val="20"/>
          <w:szCs w:val="20"/>
        </w:rPr>
        <w:t xml:space="preserve"> members are not paid for sitting on the group; however, they will be reimbursed for reasonable expenses associated with meeting attendance on presentation of documentary evidence of the expense.</w:t>
      </w:r>
    </w:p>
    <w:p w:rsidR="00955A56" w:rsidRPr="00DE475B" w:rsidRDefault="00D346B4">
      <w:pPr>
        <w:spacing w:after="40"/>
        <w:rPr>
          <w:rFonts w:ascii="Arial" w:hAnsi="Arial" w:cs="Arial"/>
          <w:b/>
          <w:bCs/>
          <w:color w:val="808080"/>
          <w:sz w:val="20"/>
          <w:szCs w:val="20"/>
        </w:rPr>
      </w:pPr>
      <w:r w:rsidRPr="00DE475B">
        <w:rPr>
          <w:rFonts w:ascii="Arial" w:hAnsi="Arial" w:cs="Arial"/>
          <w:b/>
          <w:bCs/>
          <w:color w:val="808080"/>
          <w:sz w:val="20"/>
          <w:szCs w:val="20"/>
        </w:rPr>
        <w:t>Members</w:t>
      </w:r>
      <w:r w:rsidR="00955A56" w:rsidRPr="00DE475B">
        <w:rPr>
          <w:rFonts w:ascii="Arial" w:hAnsi="Arial" w:cs="Arial"/>
          <w:b/>
          <w:bCs/>
          <w:color w:val="808080"/>
          <w:sz w:val="20"/>
          <w:szCs w:val="20"/>
        </w:rPr>
        <w:t xml:space="preserve"> </w:t>
      </w:r>
    </w:p>
    <w:p w:rsidR="00D346B4" w:rsidRPr="00DE475B" w:rsidRDefault="00862A57">
      <w:pPr>
        <w:spacing w:after="40"/>
        <w:rPr>
          <w:rFonts w:ascii="Arial" w:hAnsi="Arial" w:cs="Arial"/>
          <w:sz w:val="20"/>
          <w:szCs w:val="20"/>
        </w:rPr>
      </w:pPr>
      <w:r w:rsidRPr="00DE475B">
        <w:rPr>
          <w:rFonts w:ascii="Arial" w:hAnsi="Arial" w:cs="Arial"/>
          <w:b/>
          <w:bCs/>
          <w:sz w:val="20"/>
          <w:szCs w:val="20"/>
        </w:rPr>
        <w:t>Associate Professor</w:t>
      </w:r>
      <w:r w:rsidR="00D346B4" w:rsidRPr="00DE475B">
        <w:rPr>
          <w:rFonts w:ascii="Arial" w:hAnsi="Arial" w:cs="Arial"/>
          <w:b/>
          <w:bCs/>
          <w:sz w:val="20"/>
          <w:szCs w:val="20"/>
        </w:rPr>
        <w:t xml:space="preserve"> Grace </w:t>
      </w:r>
      <w:proofErr w:type="spellStart"/>
      <w:r w:rsidR="00D346B4" w:rsidRPr="00DE475B">
        <w:rPr>
          <w:rFonts w:ascii="Arial" w:hAnsi="Arial" w:cs="Arial"/>
          <w:b/>
          <w:bCs/>
          <w:sz w:val="20"/>
          <w:szCs w:val="20"/>
        </w:rPr>
        <w:t>Sarra</w:t>
      </w:r>
      <w:proofErr w:type="spellEnd"/>
      <w:r w:rsidR="00D346B4" w:rsidRPr="00DE475B">
        <w:rPr>
          <w:rFonts w:ascii="Arial" w:hAnsi="Arial" w:cs="Arial"/>
          <w:b/>
          <w:bCs/>
          <w:sz w:val="20"/>
          <w:szCs w:val="20"/>
        </w:rPr>
        <w:t xml:space="preserve"> </w:t>
      </w:r>
      <w:r w:rsidR="00D346B4" w:rsidRPr="00DE475B">
        <w:rPr>
          <w:rFonts w:ascii="Arial" w:hAnsi="Arial" w:cs="Arial"/>
          <w:b/>
          <w:sz w:val="20"/>
          <w:szCs w:val="20"/>
        </w:rPr>
        <w:t xml:space="preserve">(Chairperson) </w:t>
      </w:r>
      <w:r w:rsidR="00D346B4" w:rsidRPr="00DE475B">
        <w:rPr>
          <w:rFonts w:ascii="Arial" w:hAnsi="Arial" w:cs="Arial"/>
          <w:sz w:val="20"/>
          <w:szCs w:val="20"/>
        </w:rPr>
        <w:t xml:space="preserve">— Member, Library Board of Queensland, Senior Lecturer and Researcher </w:t>
      </w:r>
      <w:proofErr w:type="spellStart"/>
      <w:r w:rsidR="00D346B4" w:rsidRPr="00DE475B">
        <w:rPr>
          <w:rFonts w:ascii="Arial" w:hAnsi="Arial" w:cs="Arial"/>
          <w:sz w:val="20"/>
          <w:szCs w:val="20"/>
        </w:rPr>
        <w:t>YuMi</w:t>
      </w:r>
      <w:proofErr w:type="spellEnd"/>
      <w:r w:rsidR="00D346B4" w:rsidRPr="00DE475B">
        <w:rPr>
          <w:rFonts w:ascii="Arial" w:hAnsi="Arial" w:cs="Arial"/>
          <w:sz w:val="20"/>
          <w:szCs w:val="20"/>
        </w:rPr>
        <w:t xml:space="preserve"> Deadly Centre, </w:t>
      </w:r>
      <w:proofErr w:type="spellStart"/>
      <w:r w:rsidR="00D346B4" w:rsidRPr="00DE475B">
        <w:rPr>
          <w:rFonts w:ascii="Arial" w:hAnsi="Arial" w:cs="Arial"/>
          <w:sz w:val="20"/>
          <w:szCs w:val="20"/>
        </w:rPr>
        <w:t>QUT</w:t>
      </w:r>
      <w:proofErr w:type="spellEnd"/>
      <w:r w:rsidR="001242B1" w:rsidRPr="00DE475B">
        <w:rPr>
          <w:rFonts w:ascii="Arial" w:hAnsi="Arial" w:cs="Arial"/>
          <w:sz w:val="20"/>
          <w:szCs w:val="20"/>
        </w:rPr>
        <w:t xml:space="preserve"> (until February 2017)</w:t>
      </w:r>
    </w:p>
    <w:p w:rsidR="001242B1" w:rsidRPr="00DE475B" w:rsidRDefault="005321B9">
      <w:pPr>
        <w:spacing w:after="40"/>
        <w:rPr>
          <w:rFonts w:ascii="Arial" w:hAnsi="Arial" w:cs="Arial"/>
          <w:sz w:val="20"/>
          <w:szCs w:val="20"/>
        </w:rPr>
      </w:pPr>
      <w:r w:rsidRPr="00DE475B">
        <w:rPr>
          <w:rFonts w:ascii="Arial" w:hAnsi="Arial" w:cs="Arial"/>
          <w:b/>
          <w:sz w:val="20"/>
          <w:szCs w:val="20"/>
        </w:rPr>
        <w:t>Dr Sandra Phillips</w:t>
      </w:r>
      <w:r w:rsidR="001242B1" w:rsidRPr="00DE475B">
        <w:rPr>
          <w:rFonts w:ascii="Arial" w:hAnsi="Arial" w:cs="Arial"/>
          <w:b/>
          <w:sz w:val="20"/>
          <w:szCs w:val="20"/>
        </w:rPr>
        <w:t xml:space="preserve"> (Chairperson)</w:t>
      </w:r>
      <w:r w:rsidR="001242B1" w:rsidRPr="00DE475B">
        <w:rPr>
          <w:rFonts w:ascii="Arial" w:hAnsi="Arial" w:cs="Arial"/>
          <w:sz w:val="20"/>
          <w:szCs w:val="20"/>
        </w:rPr>
        <w:t xml:space="preserve"> — Member, Library Board of Queensland (from </w:t>
      </w:r>
      <w:r w:rsidRPr="00DE475B">
        <w:rPr>
          <w:rFonts w:ascii="Arial" w:hAnsi="Arial" w:cs="Arial"/>
          <w:sz w:val="20"/>
          <w:szCs w:val="20"/>
        </w:rPr>
        <w:t>April</w:t>
      </w:r>
      <w:r w:rsidR="001242B1" w:rsidRPr="00DE475B">
        <w:rPr>
          <w:rFonts w:ascii="Arial" w:hAnsi="Arial" w:cs="Arial"/>
          <w:sz w:val="20"/>
          <w:szCs w:val="20"/>
        </w:rPr>
        <w:t xml:space="preserve"> 2017)</w:t>
      </w:r>
    </w:p>
    <w:p w:rsidR="00D346B4" w:rsidRPr="00DE475B" w:rsidRDefault="001242B1">
      <w:pPr>
        <w:spacing w:after="40"/>
        <w:rPr>
          <w:rFonts w:ascii="Arial" w:hAnsi="Arial" w:cs="Arial"/>
          <w:sz w:val="20"/>
          <w:szCs w:val="20"/>
        </w:rPr>
      </w:pPr>
      <w:r w:rsidRPr="00DE475B">
        <w:rPr>
          <w:rFonts w:ascii="Arial" w:hAnsi="Arial" w:cs="Arial"/>
          <w:b/>
          <w:sz w:val="20"/>
          <w:szCs w:val="20"/>
        </w:rPr>
        <w:t>Mrs Sonia Cooper</w:t>
      </w:r>
      <w:r w:rsidRPr="00DE475B">
        <w:rPr>
          <w:rFonts w:ascii="Arial" w:hAnsi="Arial" w:cs="Arial"/>
          <w:sz w:val="20"/>
          <w:szCs w:val="20"/>
        </w:rPr>
        <w:t xml:space="preserve"> </w:t>
      </w:r>
      <w:r w:rsidR="00D346B4" w:rsidRPr="00DE475B">
        <w:rPr>
          <w:rFonts w:ascii="Arial" w:hAnsi="Arial" w:cs="Arial"/>
          <w:sz w:val="20"/>
          <w:szCs w:val="20"/>
        </w:rPr>
        <w:t>— State Librarian</w:t>
      </w:r>
      <w:r w:rsidR="005321B9" w:rsidRPr="00DE475B">
        <w:rPr>
          <w:rFonts w:ascii="Arial" w:hAnsi="Arial" w:cs="Arial"/>
          <w:sz w:val="20"/>
          <w:szCs w:val="20"/>
        </w:rPr>
        <w:t xml:space="preserve"> and CEO</w:t>
      </w:r>
      <w:r w:rsidR="00D346B4" w:rsidRPr="00DE475B">
        <w:rPr>
          <w:rFonts w:ascii="Arial" w:hAnsi="Arial" w:cs="Arial"/>
          <w:sz w:val="20"/>
          <w:szCs w:val="20"/>
        </w:rPr>
        <w:t>, SLQ</w:t>
      </w:r>
      <w:r w:rsidR="00104968" w:rsidRPr="00DE475B">
        <w:rPr>
          <w:rFonts w:ascii="Arial" w:hAnsi="Arial" w:cs="Arial"/>
          <w:sz w:val="20"/>
          <w:szCs w:val="20"/>
        </w:rPr>
        <w:t xml:space="preserve"> (until </w:t>
      </w:r>
      <w:r w:rsidRPr="00DE475B">
        <w:rPr>
          <w:rFonts w:ascii="Arial" w:hAnsi="Arial" w:cs="Arial"/>
          <w:sz w:val="20"/>
          <w:szCs w:val="20"/>
        </w:rPr>
        <w:t>September 2016</w:t>
      </w:r>
      <w:r w:rsidR="00104968" w:rsidRPr="00DE475B">
        <w:rPr>
          <w:rFonts w:ascii="Arial" w:hAnsi="Arial" w:cs="Arial"/>
          <w:sz w:val="20"/>
          <w:szCs w:val="20"/>
        </w:rPr>
        <w:t>)</w:t>
      </w:r>
    </w:p>
    <w:p w:rsidR="00104968" w:rsidRPr="00DE475B" w:rsidRDefault="001242B1">
      <w:pPr>
        <w:spacing w:after="40"/>
        <w:rPr>
          <w:rFonts w:ascii="Arial" w:hAnsi="Arial" w:cs="Arial"/>
          <w:b/>
          <w:sz w:val="20"/>
          <w:szCs w:val="20"/>
        </w:rPr>
      </w:pPr>
      <w:r w:rsidRPr="00DE475B">
        <w:rPr>
          <w:rFonts w:ascii="Arial" w:hAnsi="Arial" w:cs="Arial"/>
          <w:b/>
          <w:sz w:val="20"/>
          <w:szCs w:val="20"/>
        </w:rPr>
        <w:t>Ms Vicki McDonald</w:t>
      </w:r>
      <w:r w:rsidRPr="00DE475B">
        <w:rPr>
          <w:rFonts w:ascii="Arial" w:hAnsi="Arial" w:cs="Arial"/>
          <w:sz w:val="20"/>
          <w:szCs w:val="20"/>
        </w:rPr>
        <w:t xml:space="preserve"> </w:t>
      </w:r>
      <w:r w:rsidR="00104968" w:rsidRPr="00DE475B">
        <w:rPr>
          <w:rFonts w:ascii="Arial" w:hAnsi="Arial" w:cs="Arial"/>
          <w:sz w:val="20"/>
          <w:szCs w:val="20"/>
        </w:rPr>
        <w:t>— State Librarian</w:t>
      </w:r>
      <w:r w:rsidR="005321B9" w:rsidRPr="00DE475B">
        <w:rPr>
          <w:rFonts w:ascii="Arial" w:hAnsi="Arial" w:cs="Arial"/>
          <w:sz w:val="20"/>
          <w:szCs w:val="20"/>
        </w:rPr>
        <w:t xml:space="preserve"> and CEO</w:t>
      </w:r>
      <w:r w:rsidR="00104968" w:rsidRPr="00DE475B">
        <w:rPr>
          <w:rFonts w:ascii="Arial" w:hAnsi="Arial" w:cs="Arial"/>
          <w:sz w:val="20"/>
          <w:szCs w:val="20"/>
        </w:rPr>
        <w:t xml:space="preserve">, SLQ (from </w:t>
      </w:r>
      <w:r w:rsidRPr="00DE475B">
        <w:rPr>
          <w:rFonts w:ascii="Arial" w:hAnsi="Arial" w:cs="Arial"/>
          <w:sz w:val="20"/>
          <w:szCs w:val="20"/>
        </w:rPr>
        <w:t>September</w:t>
      </w:r>
      <w:r w:rsidR="00104968" w:rsidRPr="00DE475B">
        <w:rPr>
          <w:rFonts w:ascii="Arial" w:hAnsi="Arial" w:cs="Arial"/>
          <w:sz w:val="20"/>
          <w:szCs w:val="20"/>
        </w:rPr>
        <w:t xml:space="preserve"> 201</w:t>
      </w:r>
      <w:r w:rsidRPr="00DE475B">
        <w:rPr>
          <w:rFonts w:ascii="Arial" w:hAnsi="Arial" w:cs="Arial"/>
          <w:sz w:val="20"/>
          <w:szCs w:val="20"/>
        </w:rPr>
        <w:t>6</w:t>
      </w:r>
      <w:r w:rsidR="00104968" w:rsidRPr="00DE475B">
        <w:rPr>
          <w:rFonts w:ascii="Arial" w:hAnsi="Arial" w:cs="Arial"/>
          <w:sz w:val="20"/>
          <w:szCs w:val="20"/>
        </w:rPr>
        <w:t>)</w:t>
      </w:r>
    </w:p>
    <w:p w:rsidR="00D346B4" w:rsidRPr="00DE475B" w:rsidRDefault="000205DC">
      <w:pPr>
        <w:spacing w:after="40"/>
        <w:rPr>
          <w:rFonts w:ascii="Arial" w:hAnsi="Arial" w:cs="Arial"/>
          <w:b/>
          <w:sz w:val="20"/>
          <w:szCs w:val="20"/>
        </w:rPr>
      </w:pPr>
      <w:r w:rsidRPr="00DE475B">
        <w:rPr>
          <w:rFonts w:ascii="Arial" w:hAnsi="Arial" w:cs="Arial"/>
          <w:b/>
          <w:sz w:val="20"/>
          <w:szCs w:val="20"/>
        </w:rPr>
        <w:t>Mr</w:t>
      </w:r>
      <w:r w:rsidR="00D346B4" w:rsidRPr="00DE475B">
        <w:rPr>
          <w:rFonts w:ascii="Arial" w:hAnsi="Arial" w:cs="Arial"/>
          <w:b/>
          <w:sz w:val="20"/>
          <w:szCs w:val="20"/>
        </w:rPr>
        <w:t xml:space="preserve"> </w:t>
      </w:r>
      <w:proofErr w:type="spellStart"/>
      <w:r w:rsidRPr="00DE475B">
        <w:rPr>
          <w:rFonts w:ascii="Arial" w:hAnsi="Arial" w:cs="Arial"/>
          <w:b/>
          <w:sz w:val="20"/>
          <w:szCs w:val="20"/>
        </w:rPr>
        <w:t>Getanno</w:t>
      </w:r>
      <w:proofErr w:type="spellEnd"/>
      <w:r w:rsidRPr="00DE475B">
        <w:rPr>
          <w:rFonts w:ascii="Arial" w:hAnsi="Arial" w:cs="Arial"/>
          <w:b/>
          <w:sz w:val="20"/>
          <w:szCs w:val="20"/>
        </w:rPr>
        <w:t xml:space="preserve"> Bann</w:t>
      </w:r>
      <w:r w:rsidRPr="00DE475B">
        <w:rPr>
          <w:rFonts w:ascii="Arial" w:hAnsi="Arial" w:cs="Arial"/>
          <w:sz w:val="20"/>
          <w:szCs w:val="20"/>
        </w:rPr>
        <w:t xml:space="preserve"> </w:t>
      </w:r>
      <w:r w:rsidR="00D346B4" w:rsidRPr="00DE475B">
        <w:rPr>
          <w:rFonts w:ascii="Arial" w:hAnsi="Arial" w:cs="Arial"/>
          <w:sz w:val="20"/>
          <w:szCs w:val="20"/>
        </w:rPr>
        <w:t xml:space="preserve">— </w:t>
      </w:r>
      <w:r w:rsidR="00C63E34" w:rsidRPr="00DE475B">
        <w:rPr>
          <w:rFonts w:ascii="Arial" w:hAnsi="Arial" w:cs="Arial"/>
          <w:sz w:val="20"/>
          <w:szCs w:val="20"/>
        </w:rPr>
        <w:t>Community representative</w:t>
      </w:r>
    </w:p>
    <w:p w:rsidR="00D346B4" w:rsidRPr="00DE475B" w:rsidRDefault="00D346B4">
      <w:pPr>
        <w:spacing w:after="40"/>
        <w:rPr>
          <w:rFonts w:ascii="Arial" w:hAnsi="Arial" w:cs="Arial"/>
          <w:b/>
          <w:sz w:val="20"/>
          <w:szCs w:val="20"/>
        </w:rPr>
      </w:pPr>
      <w:r w:rsidRPr="00DE475B">
        <w:rPr>
          <w:rFonts w:ascii="Arial" w:hAnsi="Arial" w:cs="Arial"/>
          <w:b/>
          <w:sz w:val="20"/>
          <w:szCs w:val="20"/>
        </w:rPr>
        <w:t>Ms Geraldine Carter</w:t>
      </w:r>
      <w:r w:rsidRPr="00DE475B">
        <w:rPr>
          <w:rFonts w:ascii="Arial" w:hAnsi="Arial" w:cs="Arial"/>
          <w:sz w:val="20"/>
          <w:szCs w:val="20"/>
        </w:rPr>
        <w:t xml:space="preserve"> — Community representative</w:t>
      </w:r>
    </w:p>
    <w:p w:rsidR="00D346B4" w:rsidRDefault="00D346B4">
      <w:pPr>
        <w:spacing w:after="40"/>
        <w:rPr>
          <w:rFonts w:ascii="Arial" w:hAnsi="Arial" w:cs="Arial"/>
          <w:sz w:val="20"/>
          <w:szCs w:val="20"/>
        </w:rPr>
      </w:pPr>
      <w:r w:rsidRPr="00DE475B">
        <w:rPr>
          <w:rFonts w:ascii="Arial" w:hAnsi="Arial" w:cs="Arial"/>
          <w:b/>
          <w:sz w:val="20"/>
          <w:szCs w:val="20"/>
        </w:rPr>
        <w:t>Ms Kerry Charlton</w:t>
      </w:r>
      <w:r w:rsidRPr="00DE475B">
        <w:rPr>
          <w:rFonts w:ascii="Arial" w:hAnsi="Arial" w:cs="Arial"/>
          <w:sz w:val="20"/>
          <w:szCs w:val="20"/>
        </w:rPr>
        <w:t xml:space="preserve"> — Consultant, educator and facilitator</w:t>
      </w:r>
    </w:p>
    <w:p w:rsidR="00200870" w:rsidRPr="00DE475B" w:rsidRDefault="00200870">
      <w:pPr>
        <w:spacing w:after="40"/>
        <w:rPr>
          <w:rFonts w:ascii="Arial" w:hAnsi="Arial" w:cs="Arial"/>
          <w:b/>
          <w:sz w:val="20"/>
          <w:szCs w:val="20"/>
        </w:rPr>
      </w:pPr>
      <w:r w:rsidRPr="00200870">
        <w:rPr>
          <w:rFonts w:ascii="Arial" w:hAnsi="Arial" w:cs="Arial"/>
          <w:b/>
          <w:sz w:val="20"/>
          <w:szCs w:val="20"/>
        </w:rPr>
        <w:t xml:space="preserve">Dr Anita </w:t>
      </w:r>
      <w:proofErr w:type="spellStart"/>
      <w:r w:rsidRPr="00200870">
        <w:rPr>
          <w:rFonts w:ascii="Arial" w:hAnsi="Arial" w:cs="Arial"/>
          <w:b/>
          <w:sz w:val="20"/>
          <w:szCs w:val="20"/>
        </w:rPr>
        <w:t>Heiss</w:t>
      </w:r>
      <w:proofErr w:type="spellEnd"/>
      <w:r>
        <w:rPr>
          <w:rFonts w:ascii="Arial" w:hAnsi="Arial" w:cs="Arial"/>
          <w:sz w:val="20"/>
          <w:szCs w:val="20"/>
        </w:rPr>
        <w:t xml:space="preserve"> </w:t>
      </w:r>
      <w:r w:rsidRPr="00DE475B">
        <w:rPr>
          <w:rFonts w:ascii="Arial" w:hAnsi="Arial" w:cs="Arial"/>
          <w:sz w:val="20"/>
          <w:szCs w:val="20"/>
        </w:rPr>
        <w:t>— Member, Library Board of Queensland</w:t>
      </w:r>
    </w:p>
    <w:p w:rsidR="000205DC" w:rsidRPr="00DE475B" w:rsidRDefault="00D346B4">
      <w:pPr>
        <w:spacing w:after="40"/>
        <w:rPr>
          <w:rFonts w:ascii="Arial" w:hAnsi="Arial" w:cs="Arial"/>
          <w:sz w:val="20"/>
          <w:szCs w:val="20"/>
        </w:rPr>
      </w:pPr>
      <w:r w:rsidRPr="00DE475B">
        <w:rPr>
          <w:rFonts w:ascii="Arial" w:hAnsi="Arial" w:cs="Arial"/>
          <w:b/>
          <w:sz w:val="20"/>
          <w:szCs w:val="20"/>
        </w:rPr>
        <w:t xml:space="preserve">Ms </w:t>
      </w:r>
      <w:proofErr w:type="spellStart"/>
      <w:r w:rsidR="000205DC" w:rsidRPr="00DE475B">
        <w:rPr>
          <w:rFonts w:ascii="Arial" w:hAnsi="Arial" w:cs="Arial"/>
          <w:b/>
          <w:sz w:val="20"/>
          <w:szCs w:val="20"/>
        </w:rPr>
        <w:t>Janeese</w:t>
      </w:r>
      <w:proofErr w:type="spellEnd"/>
      <w:r w:rsidR="000205DC" w:rsidRPr="00DE475B">
        <w:rPr>
          <w:rFonts w:ascii="Arial" w:hAnsi="Arial" w:cs="Arial"/>
          <w:b/>
          <w:sz w:val="20"/>
          <w:szCs w:val="20"/>
        </w:rPr>
        <w:t xml:space="preserve"> </w:t>
      </w:r>
      <w:proofErr w:type="spellStart"/>
      <w:r w:rsidR="000205DC" w:rsidRPr="00DE475B">
        <w:rPr>
          <w:rFonts w:ascii="Arial" w:hAnsi="Arial" w:cs="Arial"/>
          <w:b/>
          <w:sz w:val="20"/>
          <w:szCs w:val="20"/>
        </w:rPr>
        <w:t>Henaway</w:t>
      </w:r>
      <w:proofErr w:type="spellEnd"/>
      <w:r w:rsidRPr="00DE475B">
        <w:rPr>
          <w:rFonts w:ascii="Arial" w:hAnsi="Arial" w:cs="Arial"/>
          <w:sz w:val="20"/>
          <w:szCs w:val="20"/>
        </w:rPr>
        <w:t xml:space="preserve"> — </w:t>
      </w:r>
      <w:proofErr w:type="spellStart"/>
      <w:r w:rsidR="00904301" w:rsidRPr="00DE475B">
        <w:rPr>
          <w:rFonts w:ascii="Arial" w:hAnsi="Arial" w:cs="Arial"/>
          <w:sz w:val="20"/>
          <w:szCs w:val="20"/>
        </w:rPr>
        <w:t>CityLibraries</w:t>
      </w:r>
      <w:proofErr w:type="spellEnd"/>
      <w:r w:rsidR="00904301" w:rsidRPr="00DE475B">
        <w:rPr>
          <w:rFonts w:ascii="Arial" w:hAnsi="Arial" w:cs="Arial"/>
          <w:b/>
          <w:sz w:val="20"/>
          <w:szCs w:val="20"/>
        </w:rPr>
        <w:t xml:space="preserve"> </w:t>
      </w:r>
      <w:r w:rsidR="000205DC" w:rsidRPr="00DE475B">
        <w:rPr>
          <w:rFonts w:ascii="Arial" w:hAnsi="Arial" w:cs="Arial"/>
          <w:sz w:val="20"/>
          <w:szCs w:val="20"/>
        </w:rPr>
        <w:t xml:space="preserve">Townsville </w:t>
      </w:r>
    </w:p>
    <w:p w:rsidR="00D346B4" w:rsidRPr="00DE475B" w:rsidRDefault="00D346B4" w:rsidP="002B09D3">
      <w:pPr>
        <w:spacing w:after="40"/>
        <w:rPr>
          <w:rFonts w:ascii="Arial" w:hAnsi="Arial" w:cs="Arial"/>
          <w:sz w:val="20"/>
          <w:szCs w:val="20"/>
        </w:rPr>
      </w:pPr>
      <w:r w:rsidRPr="00DE475B">
        <w:rPr>
          <w:rFonts w:ascii="Arial" w:hAnsi="Arial" w:cs="Arial"/>
          <w:b/>
          <w:sz w:val="20"/>
          <w:szCs w:val="20"/>
        </w:rPr>
        <w:t>Ms Tracey Pickwick</w:t>
      </w:r>
      <w:r w:rsidRPr="00DE475B">
        <w:rPr>
          <w:rFonts w:ascii="Arial" w:hAnsi="Arial" w:cs="Arial"/>
          <w:sz w:val="20"/>
          <w:szCs w:val="20"/>
        </w:rPr>
        <w:t xml:space="preserve"> — Senior Indigenous Relations Officer, Arrow Energy</w:t>
      </w:r>
    </w:p>
    <w:p w:rsidR="001B4249" w:rsidRPr="00DE475B" w:rsidRDefault="001B4249" w:rsidP="001B4249">
      <w:pPr>
        <w:spacing w:after="40"/>
        <w:rPr>
          <w:rFonts w:ascii="Arial" w:hAnsi="Arial" w:cs="Arial"/>
          <w:b/>
          <w:sz w:val="20"/>
          <w:szCs w:val="20"/>
        </w:rPr>
      </w:pPr>
      <w:r w:rsidRPr="00DE475B">
        <w:rPr>
          <w:rFonts w:ascii="Arial" w:hAnsi="Arial" w:cs="Arial"/>
          <w:b/>
          <w:sz w:val="20"/>
          <w:szCs w:val="20"/>
        </w:rPr>
        <w:t xml:space="preserve">Ms Angela </w:t>
      </w:r>
      <w:r w:rsidR="00540FAD" w:rsidRPr="00DE475B">
        <w:rPr>
          <w:rFonts w:ascii="Arial" w:hAnsi="Arial" w:cs="Arial"/>
          <w:b/>
          <w:sz w:val="20"/>
          <w:szCs w:val="20"/>
        </w:rPr>
        <w:t xml:space="preserve">Ruska </w:t>
      </w:r>
      <w:r w:rsidR="00540FAD" w:rsidRPr="00DE475B">
        <w:rPr>
          <w:rFonts w:ascii="Arial" w:hAnsi="Arial" w:cs="Arial"/>
          <w:sz w:val="20"/>
          <w:szCs w:val="20"/>
        </w:rPr>
        <w:t>—</w:t>
      </w:r>
      <w:r w:rsidR="00C63E34" w:rsidRPr="00DE475B">
        <w:rPr>
          <w:rFonts w:ascii="Arial" w:hAnsi="Arial" w:cs="Arial"/>
          <w:sz w:val="20"/>
          <w:szCs w:val="20"/>
        </w:rPr>
        <w:t xml:space="preserve"> Community representative</w:t>
      </w:r>
    </w:p>
    <w:p w:rsidR="002B09D3" w:rsidRPr="00DE475B" w:rsidRDefault="00D346B4" w:rsidP="002B09D3">
      <w:pPr>
        <w:spacing w:after="40"/>
        <w:rPr>
          <w:rFonts w:ascii="Arial" w:hAnsi="Arial" w:cs="Arial"/>
          <w:sz w:val="20"/>
          <w:szCs w:val="20"/>
        </w:rPr>
      </w:pPr>
      <w:r w:rsidRPr="00DE475B">
        <w:rPr>
          <w:rFonts w:ascii="Arial" w:hAnsi="Arial" w:cs="Arial"/>
          <w:b/>
          <w:sz w:val="20"/>
          <w:szCs w:val="20"/>
        </w:rPr>
        <w:t xml:space="preserve">Ms Joann </w:t>
      </w:r>
      <w:proofErr w:type="spellStart"/>
      <w:r w:rsidRPr="00DE475B">
        <w:rPr>
          <w:rFonts w:ascii="Arial" w:hAnsi="Arial" w:cs="Arial"/>
          <w:b/>
          <w:sz w:val="20"/>
          <w:szCs w:val="20"/>
        </w:rPr>
        <w:t>Schmider</w:t>
      </w:r>
      <w:proofErr w:type="spellEnd"/>
      <w:r w:rsidR="00E62E1E" w:rsidRPr="00DE475B">
        <w:rPr>
          <w:rFonts w:ascii="Arial" w:hAnsi="Arial" w:cs="Arial"/>
          <w:sz w:val="20"/>
          <w:szCs w:val="20"/>
        </w:rPr>
        <w:t xml:space="preserve"> — Consultant, </w:t>
      </w:r>
      <w:proofErr w:type="spellStart"/>
      <w:r w:rsidR="00E62E1E" w:rsidRPr="00DE475B">
        <w:rPr>
          <w:rFonts w:ascii="Arial" w:hAnsi="Arial" w:cs="Arial"/>
          <w:sz w:val="20"/>
          <w:szCs w:val="20"/>
        </w:rPr>
        <w:t>ComU</w:t>
      </w:r>
      <w:r w:rsidRPr="00DE475B">
        <w:rPr>
          <w:rFonts w:ascii="Arial" w:hAnsi="Arial" w:cs="Arial"/>
          <w:sz w:val="20"/>
          <w:szCs w:val="20"/>
        </w:rPr>
        <w:t>nity</w:t>
      </w:r>
      <w:proofErr w:type="spellEnd"/>
      <w:r w:rsidRPr="00DE475B">
        <w:rPr>
          <w:rFonts w:ascii="Arial" w:hAnsi="Arial" w:cs="Arial"/>
          <w:sz w:val="20"/>
          <w:szCs w:val="20"/>
        </w:rPr>
        <w:t xml:space="preserve"> </w:t>
      </w:r>
      <w:proofErr w:type="spellStart"/>
      <w:r w:rsidRPr="00DE475B">
        <w:rPr>
          <w:rFonts w:ascii="Arial" w:hAnsi="Arial" w:cs="Arial"/>
          <w:sz w:val="20"/>
          <w:szCs w:val="20"/>
        </w:rPr>
        <w:t>ACETS</w:t>
      </w:r>
      <w:proofErr w:type="spellEnd"/>
      <w:r w:rsidRPr="00DE475B">
        <w:rPr>
          <w:rFonts w:ascii="Arial" w:hAnsi="Arial" w:cs="Arial"/>
          <w:sz w:val="20"/>
          <w:szCs w:val="20"/>
        </w:rPr>
        <w:t xml:space="preserve"> Pty Ltd</w:t>
      </w:r>
    </w:p>
    <w:p w:rsidR="002B09D3" w:rsidRPr="00DE475B" w:rsidRDefault="000205DC" w:rsidP="002B09D3">
      <w:pPr>
        <w:spacing w:after="40"/>
        <w:rPr>
          <w:rFonts w:ascii="Arial" w:hAnsi="Arial" w:cs="Arial"/>
          <w:sz w:val="20"/>
          <w:szCs w:val="20"/>
        </w:rPr>
      </w:pPr>
      <w:r w:rsidRPr="00DE475B">
        <w:rPr>
          <w:rFonts w:ascii="Arial" w:hAnsi="Arial" w:cs="Arial"/>
          <w:b/>
          <w:sz w:val="20"/>
          <w:szCs w:val="20"/>
        </w:rPr>
        <w:t xml:space="preserve">Mr Ron </w:t>
      </w:r>
      <w:proofErr w:type="spellStart"/>
      <w:r w:rsidRPr="00DE475B">
        <w:rPr>
          <w:rFonts w:ascii="Arial" w:hAnsi="Arial" w:cs="Arial"/>
          <w:b/>
          <w:sz w:val="20"/>
          <w:szCs w:val="20"/>
        </w:rPr>
        <w:t>Weatherall</w:t>
      </w:r>
      <w:proofErr w:type="spellEnd"/>
      <w:r w:rsidRPr="00DE475B">
        <w:rPr>
          <w:sz w:val="22"/>
          <w:szCs w:val="22"/>
        </w:rPr>
        <w:t xml:space="preserve"> </w:t>
      </w:r>
      <w:r w:rsidRPr="00DE475B">
        <w:rPr>
          <w:rFonts w:ascii="Arial" w:hAnsi="Arial" w:cs="Arial"/>
          <w:sz w:val="20"/>
          <w:szCs w:val="20"/>
        </w:rPr>
        <w:t>—</w:t>
      </w:r>
      <w:r w:rsidR="00AE32F7" w:rsidRPr="00DE475B">
        <w:rPr>
          <w:rFonts w:ascii="Arial" w:hAnsi="Arial" w:cs="Arial"/>
          <w:sz w:val="20"/>
          <w:szCs w:val="20"/>
        </w:rPr>
        <w:t xml:space="preserve"> Department of Aboriginal and Torres Strait Islander Partnerships</w:t>
      </w:r>
    </w:p>
    <w:p w:rsidR="000205DC" w:rsidRPr="00DE475B" w:rsidRDefault="000205DC" w:rsidP="00B13592">
      <w:pPr>
        <w:spacing w:after="200"/>
        <w:rPr>
          <w:rFonts w:ascii="Arial" w:hAnsi="Arial" w:cs="Arial"/>
          <w:sz w:val="20"/>
          <w:szCs w:val="20"/>
        </w:rPr>
      </w:pPr>
      <w:r w:rsidRPr="00DE475B">
        <w:rPr>
          <w:rFonts w:ascii="Arial" w:hAnsi="Arial" w:cs="Arial"/>
          <w:b/>
          <w:sz w:val="20"/>
          <w:szCs w:val="20"/>
        </w:rPr>
        <w:t xml:space="preserve">Ms </w:t>
      </w:r>
      <w:proofErr w:type="spellStart"/>
      <w:r w:rsidRPr="00DE475B">
        <w:rPr>
          <w:rFonts w:ascii="Arial" w:hAnsi="Arial" w:cs="Arial"/>
          <w:b/>
          <w:sz w:val="20"/>
          <w:szCs w:val="20"/>
        </w:rPr>
        <w:t>Mabelene</w:t>
      </w:r>
      <w:proofErr w:type="spellEnd"/>
      <w:r w:rsidRPr="00DE475B">
        <w:rPr>
          <w:rFonts w:ascii="Arial" w:hAnsi="Arial" w:cs="Arial"/>
          <w:b/>
          <w:sz w:val="20"/>
          <w:szCs w:val="20"/>
        </w:rPr>
        <w:t xml:space="preserve"> </w:t>
      </w:r>
      <w:proofErr w:type="spellStart"/>
      <w:r w:rsidRPr="00DE475B">
        <w:rPr>
          <w:rFonts w:ascii="Arial" w:hAnsi="Arial" w:cs="Arial"/>
          <w:b/>
          <w:sz w:val="20"/>
          <w:szCs w:val="20"/>
        </w:rPr>
        <w:t>Whap</w:t>
      </w:r>
      <w:proofErr w:type="spellEnd"/>
      <w:r w:rsidRPr="00DE475B">
        <w:rPr>
          <w:rFonts w:ascii="Arial" w:hAnsi="Arial" w:cs="Arial"/>
          <w:b/>
          <w:sz w:val="20"/>
          <w:szCs w:val="20"/>
        </w:rPr>
        <w:t xml:space="preserve"> </w:t>
      </w:r>
      <w:r w:rsidRPr="00DE475B">
        <w:rPr>
          <w:rFonts w:ascii="Arial" w:hAnsi="Arial" w:cs="Arial"/>
          <w:sz w:val="20"/>
          <w:szCs w:val="20"/>
        </w:rPr>
        <w:t xml:space="preserve">— </w:t>
      </w:r>
      <w:proofErr w:type="spellStart"/>
      <w:r w:rsidRPr="00DE475B">
        <w:rPr>
          <w:rFonts w:ascii="Arial" w:hAnsi="Arial" w:cs="Arial"/>
          <w:sz w:val="20"/>
          <w:szCs w:val="20"/>
        </w:rPr>
        <w:t>Seisia</w:t>
      </w:r>
      <w:proofErr w:type="spellEnd"/>
      <w:r w:rsidRPr="00DE475B">
        <w:rPr>
          <w:rFonts w:ascii="Arial" w:hAnsi="Arial" w:cs="Arial"/>
          <w:sz w:val="20"/>
          <w:szCs w:val="20"/>
        </w:rPr>
        <w:t xml:space="preserve"> </w:t>
      </w:r>
      <w:proofErr w:type="spellStart"/>
      <w:r w:rsidRPr="00DE475B">
        <w:rPr>
          <w:rFonts w:ascii="Arial" w:hAnsi="Arial" w:cs="Arial"/>
          <w:sz w:val="20"/>
          <w:szCs w:val="20"/>
        </w:rPr>
        <w:t>IKC</w:t>
      </w:r>
      <w:proofErr w:type="spellEnd"/>
    </w:p>
    <w:p w:rsidR="00D346B4" w:rsidRPr="00DE475B" w:rsidRDefault="00D346B4">
      <w:pPr>
        <w:spacing w:after="40"/>
        <w:rPr>
          <w:rFonts w:ascii="Arial" w:hAnsi="Arial" w:cs="Arial"/>
          <w:b/>
          <w:bCs/>
          <w:sz w:val="20"/>
          <w:szCs w:val="20"/>
        </w:rPr>
      </w:pPr>
      <w:r w:rsidRPr="00DE475B">
        <w:rPr>
          <w:rFonts w:ascii="Arial" w:hAnsi="Arial" w:cs="Arial"/>
          <w:b/>
          <w:bCs/>
          <w:color w:val="808080"/>
          <w:sz w:val="20"/>
          <w:szCs w:val="20"/>
        </w:rPr>
        <w:t>Observers</w:t>
      </w:r>
    </w:p>
    <w:p w:rsidR="00104968" w:rsidRPr="00DE475B" w:rsidRDefault="00104968" w:rsidP="00104968">
      <w:pPr>
        <w:spacing w:after="40"/>
        <w:rPr>
          <w:rFonts w:ascii="Arial" w:hAnsi="Arial" w:cs="Arial"/>
          <w:b/>
          <w:sz w:val="20"/>
          <w:szCs w:val="20"/>
        </w:rPr>
      </w:pPr>
      <w:r w:rsidRPr="00DE475B">
        <w:rPr>
          <w:rFonts w:ascii="Arial" w:hAnsi="Arial" w:cs="Arial"/>
          <w:b/>
          <w:sz w:val="20"/>
          <w:szCs w:val="20"/>
        </w:rPr>
        <w:t>Ms Amanda Hayman</w:t>
      </w:r>
      <w:r w:rsidRPr="00DE475B">
        <w:rPr>
          <w:rFonts w:ascii="Arial" w:hAnsi="Arial" w:cs="Arial"/>
          <w:sz w:val="20"/>
          <w:szCs w:val="20"/>
        </w:rPr>
        <w:t xml:space="preserve"> —</w:t>
      </w:r>
      <w:r w:rsidR="001242B1" w:rsidRPr="00DE475B">
        <w:rPr>
          <w:rFonts w:ascii="Arial" w:hAnsi="Arial" w:cs="Arial"/>
          <w:sz w:val="20"/>
          <w:szCs w:val="20"/>
        </w:rPr>
        <w:t xml:space="preserve"> Manager</w:t>
      </w:r>
      <w:r w:rsidR="0008329F">
        <w:rPr>
          <w:rFonts w:ascii="Arial" w:hAnsi="Arial" w:cs="Arial"/>
          <w:sz w:val="20"/>
          <w:szCs w:val="20"/>
        </w:rPr>
        <w:t>,</w:t>
      </w:r>
      <w:r w:rsidR="001242B1" w:rsidRPr="00DE475B">
        <w:rPr>
          <w:rFonts w:ascii="Arial" w:hAnsi="Arial" w:cs="Arial"/>
          <w:sz w:val="20"/>
          <w:szCs w:val="20"/>
        </w:rPr>
        <w:t xml:space="preserve"> kuril dhagun, SLQ</w:t>
      </w:r>
    </w:p>
    <w:p w:rsidR="00AE721C" w:rsidRPr="00DE475B" w:rsidRDefault="00AE721C" w:rsidP="00B13592">
      <w:pPr>
        <w:spacing w:after="200"/>
        <w:rPr>
          <w:rFonts w:ascii="Arial" w:hAnsi="Arial" w:cs="Arial"/>
          <w:sz w:val="20"/>
          <w:szCs w:val="20"/>
        </w:rPr>
      </w:pPr>
      <w:r w:rsidRPr="00DE475B">
        <w:rPr>
          <w:rFonts w:ascii="Arial" w:hAnsi="Arial" w:cs="Arial"/>
          <w:b/>
          <w:bCs/>
          <w:sz w:val="20"/>
          <w:szCs w:val="20"/>
        </w:rPr>
        <w:t>Ms Cynthia Rowan</w:t>
      </w:r>
      <w:r w:rsidRPr="00DE475B">
        <w:rPr>
          <w:rFonts w:ascii="Arial" w:hAnsi="Arial" w:cs="Arial"/>
          <w:bCs/>
          <w:sz w:val="20"/>
          <w:szCs w:val="20"/>
        </w:rPr>
        <w:t xml:space="preserve"> —</w:t>
      </w:r>
      <w:r w:rsidRPr="00DE475B">
        <w:rPr>
          <w:rFonts w:ascii="Arial" w:hAnsi="Arial" w:cs="Arial"/>
          <w:sz w:val="20"/>
          <w:szCs w:val="20"/>
        </w:rPr>
        <w:t xml:space="preserve"> Executive Manager, Indigenous Library Development, SLQ</w:t>
      </w:r>
      <w:r w:rsidR="001242B1" w:rsidRPr="00DE475B">
        <w:rPr>
          <w:rFonts w:ascii="Arial" w:hAnsi="Arial" w:cs="Arial"/>
          <w:sz w:val="20"/>
          <w:szCs w:val="20"/>
        </w:rPr>
        <w:t xml:space="preserve"> (until September 2016)</w:t>
      </w:r>
    </w:p>
    <w:p w:rsidR="00D346B4" w:rsidRPr="00DE475B" w:rsidRDefault="00D346B4">
      <w:pPr>
        <w:spacing w:after="40"/>
        <w:rPr>
          <w:rFonts w:ascii="Arial" w:hAnsi="Arial" w:cs="Arial"/>
          <w:b/>
          <w:sz w:val="20"/>
          <w:szCs w:val="20"/>
        </w:rPr>
      </w:pPr>
      <w:r w:rsidRPr="00DE475B">
        <w:rPr>
          <w:rFonts w:ascii="Arial" w:hAnsi="Arial" w:cs="Arial"/>
          <w:b/>
          <w:bCs/>
          <w:color w:val="808080"/>
          <w:sz w:val="20"/>
          <w:szCs w:val="20"/>
        </w:rPr>
        <w:t>Secretariat</w:t>
      </w:r>
    </w:p>
    <w:p w:rsidR="006027F5" w:rsidRPr="00DE475B" w:rsidRDefault="00104968" w:rsidP="005321B9">
      <w:pPr>
        <w:spacing w:after="40"/>
        <w:rPr>
          <w:iCs/>
          <w:kern w:val="1"/>
          <w:lang w:eastAsia="en-AU"/>
        </w:rPr>
      </w:pPr>
      <w:r w:rsidRPr="00DE475B">
        <w:rPr>
          <w:rFonts w:ascii="Arial" w:hAnsi="Arial" w:cs="Arial"/>
          <w:b/>
          <w:sz w:val="20"/>
          <w:szCs w:val="20"/>
        </w:rPr>
        <w:t>Mrs Sharon Churcher</w:t>
      </w:r>
      <w:r w:rsidRPr="00DE475B">
        <w:rPr>
          <w:rFonts w:ascii="Arial" w:hAnsi="Arial" w:cs="Arial"/>
          <w:sz w:val="20"/>
          <w:szCs w:val="20"/>
        </w:rPr>
        <w:t xml:space="preserve"> — Senior Executive Assistant, Executive Support</w:t>
      </w:r>
      <w:r w:rsidR="00D94F68" w:rsidRPr="00DE475B">
        <w:rPr>
          <w:rFonts w:ascii="Arial" w:hAnsi="Arial" w:cs="Arial"/>
          <w:sz w:val="20"/>
          <w:szCs w:val="20"/>
        </w:rPr>
        <w:t xml:space="preserve">, </w:t>
      </w:r>
      <w:r w:rsidR="001242B1" w:rsidRPr="00DE475B">
        <w:rPr>
          <w:rFonts w:ascii="Arial" w:hAnsi="Arial" w:cs="Arial"/>
          <w:sz w:val="20"/>
          <w:szCs w:val="20"/>
        </w:rPr>
        <w:t>SLQ</w:t>
      </w:r>
    </w:p>
    <w:p w:rsidR="00D346B4" w:rsidRPr="00DE475B" w:rsidRDefault="00D346B4">
      <w:pPr>
        <w:pStyle w:val="ARHeading1"/>
        <w:pageBreakBefore/>
        <w:spacing w:after="120"/>
        <w:rPr>
          <w:b/>
          <w:sz w:val="18"/>
          <w:szCs w:val="18"/>
        </w:rPr>
      </w:pPr>
      <w:r w:rsidRPr="0057480B">
        <w:lastRenderedPageBreak/>
        <w:t>Glossary</w:t>
      </w:r>
    </w:p>
    <w:tbl>
      <w:tblPr>
        <w:tblW w:w="8613" w:type="dxa"/>
        <w:tblInd w:w="108" w:type="dxa"/>
        <w:tblLayout w:type="fixed"/>
        <w:tblCellMar>
          <w:top w:w="28" w:type="dxa"/>
          <w:bottom w:w="28" w:type="dxa"/>
        </w:tblCellMar>
        <w:tblLook w:val="0000" w:firstRow="0" w:lastRow="0" w:firstColumn="0" w:lastColumn="0" w:noHBand="0" w:noVBand="0"/>
      </w:tblPr>
      <w:tblGrid>
        <w:gridCol w:w="1117"/>
        <w:gridCol w:w="2994"/>
        <w:gridCol w:w="4502"/>
      </w:tblGrid>
      <w:tr w:rsidR="00D346B4" w:rsidRPr="00DE475B" w:rsidTr="008C7EDB">
        <w:tc>
          <w:tcPr>
            <w:tcW w:w="1117" w:type="dxa"/>
            <w:shd w:val="clear" w:color="auto" w:fill="BFBFBF"/>
          </w:tcPr>
          <w:p w:rsidR="00D346B4" w:rsidRPr="00DE475B" w:rsidRDefault="00D346B4">
            <w:pPr>
              <w:pStyle w:val="ARHeading1"/>
              <w:rPr>
                <w:b/>
                <w:sz w:val="18"/>
                <w:szCs w:val="18"/>
              </w:rPr>
            </w:pPr>
            <w:r w:rsidRPr="00DE475B">
              <w:rPr>
                <w:b/>
                <w:sz w:val="18"/>
                <w:szCs w:val="18"/>
              </w:rPr>
              <w:t>Term</w:t>
            </w:r>
          </w:p>
        </w:tc>
        <w:tc>
          <w:tcPr>
            <w:tcW w:w="2994" w:type="dxa"/>
            <w:shd w:val="clear" w:color="auto" w:fill="BFBFBF"/>
          </w:tcPr>
          <w:p w:rsidR="00D346B4" w:rsidRPr="00DE475B" w:rsidRDefault="00D346B4">
            <w:pPr>
              <w:pStyle w:val="ARHeading1"/>
              <w:rPr>
                <w:b/>
                <w:sz w:val="18"/>
                <w:szCs w:val="18"/>
              </w:rPr>
            </w:pPr>
            <w:r w:rsidRPr="00DE475B">
              <w:rPr>
                <w:b/>
                <w:sz w:val="18"/>
                <w:szCs w:val="18"/>
              </w:rPr>
              <w:t>Meaning</w:t>
            </w:r>
          </w:p>
        </w:tc>
        <w:tc>
          <w:tcPr>
            <w:tcW w:w="4502" w:type="dxa"/>
            <w:shd w:val="clear" w:color="auto" w:fill="BFBFBF"/>
          </w:tcPr>
          <w:p w:rsidR="00D346B4" w:rsidRPr="00DE475B" w:rsidRDefault="00D346B4">
            <w:pPr>
              <w:rPr>
                <w:sz w:val="18"/>
                <w:szCs w:val="18"/>
              </w:rPr>
            </w:pPr>
            <w:r w:rsidRPr="00DE475B">
              <w:rPr>
                <w:rFonts w:ascii="Arial" w:hAnsi="Arial" w:cs="Arial"/>
                <w:b/>
                <w:sz w:val="18"/>
                <w:szCs w:val="18"/>
              </w:rPr>
              <w:t>Further information</w:t>
            </w:r>
          </w:p>
        </w:tc>
      </w:tr>
      <w:tr w:rsidR="00D346B4" w:rsidRPr="00DE475B" w:rsidTr="008C7EDB">
        <w:tc>
          <w:tcPr>
            <w:tcW w:w="1117" w:type="dxa"/>
            <w:tcBorders>
              <w:top w:val="single" w:sz="4" w:space="0" w:color="000000"/>
              <w:bottom w:val="single" w:sz="4" w:space="0" w:color="000000"/>
            </w:tcBorders>
            <w:shd w:val="clear" w:color="auto" w:fill="auto"/>
          </w:tcPr>
          <w:p w:rsidR="00D346B4" w:rsidRPr="00DE475B" w:rsidRDefault="00D346B4">
            <w:pPr>
              <w:pStyle w:val="ARHeading1"/>
              <w:rPr>
                <w:sz w:val="18"/>
                <w:szCs w:val="18"/>
              </w:rPr>
            </w:pPr>
            <w:r w:rsidRPr="00DE475B">
              <w:rPr>
                <w:sz w:val="18"/>
                <w:szCs w:val="18"/>
              </w:rPr>
              <w:t>ALIA</w:t>
            </w:r>
          </w:p>
        </w:tc>
        <w:tc>
          <w:tcPr>
            <w:tcW w:w="2994" w:type="dxa"/>
            <w:tcBorders>
              <w:top w:val="single" w:sz="4" w:space="0" w:color="000000"/>
              <w:bottom w:val="single" w:sz="4" w:space="0" w:color="000000"/>
            </w:tcBorders>
            <w:shd w:val="clear" w:color="auto" w:fill="auto"/>
          </w:tcPr>
          <w:p w:rsidR="00D346B4" w:rsidRPr="00DE475B" w:rsidRDefault="00D346B4">
            <w:pPr>
              <w:pStyle w:val="ARHeading1"/>
              <w:rPr>
                <w:sz w:val="18"/>
                <w:szCs w:val="18"/>
              </w:rPr>
            </w:pPr>
            <w:r w:rsidRPr="00DE475B">
              <w:rPr>
                <w:sz w:val="18"/>
                <w:szCs w:val="18"/>
              </w:rPr>
              <w:t>Australian Library and Information Association</w:t>
            </w:r>
          </w:p>
        </w:tc>
        <w:tc>
          <w:tcPr>
            <w:tcW w:w="4502" w:type="dxa"/>
            <w:tcBorders>
              <w:top w:val="single" w:sz="4" w:space="0" w:color="000000"/>
              <w:bottom w:val="single" w:sz="4" w:space="0" w:color="000000"/>
            </w:tcBorders>
            <w:shd w:val="clear" w:color="auto" w:fill="auto"/>
          </w:tcPr>
          <w:p w:rsidR="00D346B4" w:rsidRPr="00DE475B" w:rsidRDefault="00D346B4">
            <w:pPr>
              <w:snapToGrid w:val="0"/>
              <w:rPr>
                <w:rFonts w:ascii="Arial" w:hAnsi="Arial" w:cs="Arial"/>
                <w:sz w:val="18"/>
                <w:szCs w:val="18"/>
              </w:rPr>
            </w:pPr>
          </w:p>
        </w:tc>
      </w:tr>
      <w:tr w:rsidR="007E5010" w:rsidRPr="00DE475B" w:rsidTr="008C7EDB">
        <w:tc>
          <w:tcPr>
            <w:tcW w:w="1117" w:type="dxa"/>
            <w:tcBorders>
              <w:top w:val="single" w:sz="4" w:space="0" w:color="000000"/>
              <w:bottom w:val="single" w:sz="4" w:space="0" w:color="000000"/>
            </w:tcBorders>
            <w:shd w:val="clear" w:color="auto" w:fill="auto"/>
          </w:tcPr>
          <w:p w:rsidR="007E5010" w:rsidRPr="00DE475B" w:rsidRDefault="007E5010">
            <w:pPr>
              <w:pStyle w:val="ARHeading1"/>
              <w:rPr>
                <w:sz w:val="18"/>
                <w:szCs w:val="18"/>
              </w:rPr>
            </w:pPr>
            <w:proofErr w:type="spellStart"/>
            <w:r w:rsidRPr="00DE475B">
              <w:rPr>
                <w:sz w:val="18"/>
                <w:szCs w:val="18"/>
              </w:rPr>
              <w:t>APAF</w:t>
            </w:r>
            <w:proofErr w:type="spellEnd"/>
          </w:p>
        </w:tc>
        <w:tc>
          <w:tcPr>
            <w:tcW w:w="2994" w:type="dxa"/>
            <w:tcBorders>
              <w:top w:val="single" w:sz="4" w:space="0" w:color="000000"/>
              <w:bottom w:val="single" w:sz="4" w:space="0" w:color="000000"/>
            </w:tcBorders>
            <w:shd w:val="clear" w:color="auto" w:fill="auto"/>
          </w:tcPr>
          <w:p w:rsidR="007E5010" w:rsidRPr="00DE475B" w:rsidRDefault="007E5010">
            <w:pPr>
              <w:pStyle w:val="ARHeading1"/>
              <w:rPr>
                <w:sz w:val="18"/>
                <w:szCs w:val="18"/>
              </w:rPr>
            </w:pPr>
            <w:r w:rsidRPr="00DE475B">
              <w:rPr>
                <w:sz w:val="18"/>
                <w:szCs w:val="18"/>
              </w:rPr>
              <w:t>Asia Pacific Architecture Forum</w:t>
            </w:r>
          </w:p>
        </w:tc>
        <w:tc>
          <w:tcPr>
            <w:tcW w:w="4502" w:type="dxa"/>
            <w:tcBorders>
              <w:top w:val="single" w:sz="4" w:space="0" w:color="000000"/>
              <w:bottom w:val="single" w:sz="4" w:space="0" w:color="000000"/>
            </w:tcBorders>
            <w:shd w:val="clear" w:color="auto" w:fill="auto"/>
          </w:tcPr>
          <w:p w:rsidR="007E5010" w:rsidRPr="00DE475B" w:rsidRDefault="007E5010" w:rsidP="007E5010">
            <w:pPr>
              <w:rPr>
                <w:rFonts w:ascii="Arial" w:hAnsi="Arial" w:cs="Arial"/>
                <w:sz w:val="18"/>
                <w:szCs w:val="18"/>
              </w:rPr>
            </w:pPr>
          </w:p>
        </w:tc>
      </w:tr>
      <w:tr w:rsidR="00D346B4" w:rsidRPr="00DE475B" w:rsidTr="008C7EDB">
        <w:tc>
          <w:tcPr>
            <w:tcW w:w="1117" w:type="dxa"/>
            <w:tcBorders>
              <w:top w:val="single" w:sz="4" w:space="0" w:color="000000"/>
              <w:bottom w:val="single" w:sz="4" w:space="0" w:color="000000"/>
            </w:tcBorders>
            <w:shd w:val="clear" w:color="auto" w:fill="auto"/>
          </w:tcPr>
          <w:p w:rsidR="00D346B4" w:rsidRPr="00DE475B" w:rsidRDefault="00D346B4">
            <w:pPr>
              <w:pStyle w:val="ARHeading1"/>
              <w:rPr>
                <w:sz w:val="18"/>
                <w:szCs w:val="18"/>
              </w:rPr>
            </w:pPr>
            <w:proofErr w:type="spellStart"/>
            <w:r w:rsidRPr="00DE475B">
              <w:rPr>
                <w:sz w:val="18"/>
                <w:szCs w:val="18"/>
              </w:rPr>
              <w:t>APDL</w:t>
            </w:r>
            <w:proofErr w:type="spellEnd"/>
          </w:p>
        </w:tc>
        <w:tc>
          <w:tcPr>
            <w:tcW w:w="2994" w:type="dxa"/>
            <w:tcBorders>
              <w:top w:val="single" w:sz="4" w:space="0" w:color="000000"/>
              <w:bottom w:val="single" w:sz="4" w:space="0" w:color="000000"/>
            </w:tcBorders>
            <w:shd w:val="clear" w:color="auto" w:fill="auto"/>
          </w:tcPr>
          <w:p w:rsidR="00D346B4" w:rsidRPr="00DE475B" w:rsidRDefault="00D346B4">
            <w:pPr>
              <w:pStyle w:val="ARHeading1"/>
              <w:rPr>
                <w:sz w:val="18"/>
                <w:szCs w:val="18"/>
              </w:rPr>
            </w:pPr>
            <w:r w:rsidRPr="00DE475B">
              <w:rPr>
                <w:sz w:val="18"/>
                <w:szCs w:val="18"/>
              </w:rPr>
              <w:t>Asia Pacific Design Library</w:t>
            </w:r>
          </w:p>
        </w:tc>
        <w:tc>
          <w:tcPr>
            <w:tcW w:w="4502" w:type="dxa"/>
            <w:tcBorders>
              <w:top w:val="single" w:sz="4" w:space="0" w:color="000000"/>
              <w:bottom w:val="single" w:sz="4" w:space="0" w:color="000000"/>
            </w:tcBorders>
            <w:shd w:val="clear" w:color="auto" w:fill="auto"/>
          </w:tcPr>
          <w:p w:rsidR="00D346B4" w:rsidRPr="00DE475B" w:rsidRDefault="00D346B4">
            <w:pPr>
              <w:rPr>
                <w:rFonts w:ascii="Arial" w:hAnsi="Arial" w:cs="Arial"/>
                <w:sz w:val="18"/>
                <w:szCs w:val="18"/>
              </w:rPr>
            </w:pPr>
            <w:r w:rsidRPr="00DE475B">
              <w:rPr>
                <w:rFonts w:ascii="Arial" w:hAnsi="Arial" w:cs="Arial"/>
                <w:sz w:val="18"/>
                <w:szCs w:val="18"/>
              </w:rPr>
              <w:t>A place to explore design resources, engage in design dialogue and participate in design programs</w:t>
            </w:r>
          </w:p>
        </w:tc>
      </w:tr>
      <w:tr w:rsidR="00D346B4" w:rsidRPr="00DE475B" w:rsidTr="008C7EDB">
        <w:tc>
          <w:tcPr>
            <w:tcW w:w="1117" w:type="dxa"/>
            <w:tcBorders>
              <w:top w:val="single" w:sz="4" w:space="0" w:color="000000"/>
              <w:bottom w:val="single" w:sz="4" w:space="0" w:color="000000"/>
            </w:tcBorders>
            <w:shd w:val="clear" w:color="auto" w:fill="auto"/>
          </w:tcPr>
          <w:p w:rsidR="00D346B4" w:rsidRPr="00DE475B" w:rsidRDefault="00D346B4">
            <w:pPr>
              <w:pStyle w:val="ARHeading1"/>
              <w:rPr>
                <w:sz w:val="18"/>
                <w:szCs w:val="18"/>
              </w:rPr>
            </w:pPr>
            <w:proofErr w:type="spellStart"/>
            <w:r w:rsidRPr="00DE475B">
              <w:rPr>
                <w:sz w:val="18"/>
                <w:szCs w:val="18"/>
              </w:rPr>
              <w:t>ARMC</w:t>
            </w:r>
            <w:proofErr w:type="spellEnd"/>
          </w:p>
        </w:tc>
        <w:tc>
          <w:tcPr>
            <w:tcW w:w="2994" w:type="dxa"/>
            <w:tcBorders>
              <w:top w:val="single" w:sz="4" w:space="0" w:color="000000"/>
              <w:bottom w:val="single" w:sz="4" w:space="0" w:color="000000"/>
            </w:tcBorders>
            <w:shd w:val="clear" w:color="auto" w:fill="auto"/>
          </w:tcPr>
          <w:p w:rsidR="00D346B4" w:rsidRPr="00DE475B" w:rsidRDefault="00D346B4">
            <w:pPr>
              <w:pStyle w:val="ARHeading1"/>
              <w:rPr>
                <w:sz w:val="18"/>
                <w:szCs w:val="18"/>
              </w:rPr>
            </w:pPr>
            <w:r w:rsidRPr="00DE475B">
              <w:rPr>
                <w:sz w:val="18"/>
                <w:szCs w:val="18"/>
              </w:rPr>
              <w:t>Audit and Risk Management Committee</w:t>
            </w:r>
          </w:p>
        </w:tc>
        <w:tc>
          <w:tcPr>
            <w:tcW w:w="4502" w:type="dxa"/>
            <w:tcBorders>
              <w:top w:val="single" w:sz="4" w:space="0" w:color="000000"/>
              <w:bottom w:val="single" w:sz="4" w:space="0" w:color="000000"/>
            </w:tcBorders>
            <w:shd w:val="clear" w:color="auto" w:fill="auto"/>
          </w:tcPr>
          <w:p w:rsidR="00D346B4" w:rsidRPr="00DE475B" w:rsidRDefault="00D346B4">
            <w:pPr>
              <w:pStyle w:val="ARHeading1"/>
              <w:snapToGrid w:val="0"/>
              <w:rPr>
                <w:sz w:val="18"/>
                <w:szCs w:val="18"/>
              </w:rPr>
            </w:pPr>
          </w:p>
        </w:tc>
      </w:tr>
      <w:tr w:rsidR="00D346B4" w:rsidRPr="00DE475B" w:rsidTr="008C7EDB">
        <w:tc>
          <w:tcPr>
            <w:tcW w:w="1117" w:type="dxa"/>
            <w:tcBorders>
              <w:top w:val="single" w:sz="4" w:space="0" w:color="000000"/>
              <w:bottom w:val="single" w:sz="4" w:space="0" w:color="000000"/>
            </w:tcBorders>
            <w:shd w:val="clear" w:color="auto" w:fill="auto"/>
          </w:tcPr>
          <w:p w:rsidR="00D346B4" w:rsidRPr="00DE475B" w:rsidRDefault="00D346B4">
            <w:pPr>
              <w:pStyle w:val="ARHeading1"/>
              <w:rPr>
                <w:sz w:val="18"/>
                <w:szCs w:val="18"/>
              </w:rPr>
            </w:pPr>
            <w:r w:rsidRPr="00DE475B">
              <w:rPr>
                <w:sz w:val="18"/>
                <w:szCs w:val="18"/>
              </w:rPr>
              <w:t>CAA</w:t>
            </w:r>
          </w:p>
        </w:tc>
        <w:tc>
          <w:tcPr>
            <w:tcW w:w="2994" w:type="dxa"/>
            <w:tcBorders>
              <w:top w:val="single" w:sz="4" w:space="0" w:color="000000"/>
              <w:bottom w:val="single" w:sz="4" w:space="0" w:color="000000"/>
            </w:tcBorders>
            <w:shd w:val="clear" w:color="auto" w:fill="auto"/>
          </w:tcPr>
          <w:p w:rsidR="00D346B4" w:rsidRPr="00DE475B" w:rsidRDefault="00D346B4">
            <w:pPr>
              <w:pStyle w:val="ARHeading1"/>
              <w:rPr>
                <w:sz w:val="18"/>
                <w:szCs w:val="18"/>
              </w:rPr>
            </w:pPr>
            <w:r w:rsidRPr="00DE475B">
              <w:rPr>
                <w:sz w:val="18"/>
                <w:szCs w:val="18"/>
              </w:rPr>
              <w:t>Corporate Administration Agency</w:t>
            </w:r>
          </w:p>
        </w:tc>
        <w:tc>
          <w:tcPr>
            <w:tcW w:w="4502" w:type="dxa"/>
            <w:tcBorders>
              <w:top w:val="single" w:sz="4" w:space="0" w:color="000000"/>
              <w:bottom w:val="single" w:sz="4" w:space="0" w:color="000000"/>
            </w:tcBorders>
            <w:shd w:val="clear" w:color="auto" w:fill="auto"/>
          </w:tcPr>
          <w:p w:rsidR="00D346B4" w:rsidRPr="00DE475B" w:rsidRDefault="00D346B4">
            <w:pPr>
              <w:pStyle w:val="ARHeading1"/>
              <w:rPr>
                <w:sz w:val="18"/>
                <w:szCs w:val="18"/>
              </w:rPr>
            </w:pPr>
            <w:r w:rsidRPr="00DE475B">
              <w:rPr>
                <w:sz w:val="18"/>
                <w:szCs w:val="18"/>
              </w:rPr>
              <w:t>A shared service agency providing services for SLQ</w:t>
            </w:r>
          </w:p>
        </w:tc>
      </w:tr>
      <w:tr w:rsidR="00BB7E66" w:rsidRPr="00DE475B" w:rsidTr="008C7EDB">
        <w:tc>
          <w:tcPr>
            <w:tcW w:w="1117" w:type="dxa"/>
            <w:tcBorders>
              <w:top w:val="single" w:sz="4" w:space="0" w:color="000000"/>
              <w:bottom w:val="single" w:sz="4" w:space="0" w:color="000000"/>
            </w:tcBorders>
            <w:shd w:val="clear" w:color="auto" w:fill="auto"/>
          </w:tcPr>
          <w:p w:rsidR="00BB7E66" w:rsidRPr="00DE475B" w:rsidRDefault="00BB7E66">
            <w:pPr>
              <w:pStyle w:val="ARHeading1"/>
              <w:rPr>
                <w:sz w:val="18"/>
                <w:szCs w:val="18"/>
              </w:rPr>
            </w:pPr>
            <w:proofErr w:type="spellStart"/>
            <w:r w:rsidRPr="00DE475B">
              <w:rPr>
                <w:sz w:val="18"/>
                <w:szCs w:val="18"/>
              </w:rPr>
              <w:t>CALD</w:t>
            </w:r>
            <w:proofErr w:type="spellEnd"/>
          </w:p>
        </w:tc>
        <w:tc>
          <w:tcPr>
            <w:tcW w:w="2994" w:type="dxa"/>
            <w:tcBorders>
              <w:top w:val="single" w:sz="4" w:space="0" w:color="000000"/>
              <w:bottom w:val="single" w:sz="4" w:space="0" w:color="000000"/>
            </w:tcBorders>
            <w:shd w:val="clear" w:color="auto" w:fill="auto"/>
          </w:tcPr>
          <w:p w:rsidR="00BB7E66" w:rsidRPr="00DE475B" w:rsidRDefault="00BB7E66">
            <w:pPr>
              <w:pStyle w:val="ARHeading1"/>
              <w:rPr>
                <w:sz w:val="18"/>
                <w:szCs w:val="18"/>
              </w:rPr>
            </w:pPr>
            <w:r w:rsidRPr="00DE475B">
              <w:rPr>
                <w:sz w:val="18"/>
                <w:szCs w:val="18"/>
              </w:rPr>
              <w:t>Culturally and Linguistically Diverse</w:t>
            </w:r>
          </w:p>
        </w:tc>
        <w:tc>
          <w:tcPr>
            <w:tcW w:w="4502" w:type="dxa"/>
            <w:tcBorders>
              <w:top w:val="single" w:sz="4" w:space="0" w:color="000000"/>
              <w:bottom w:val="single" w:sz="4" w:space="0" w:color="000000"/>
            </w:tcBorders>
            <w:shd w:val="clear" w:color="auto" w:fill="auto"/>
          </w:tcPr>
          <w:p w:rsidR="00BB7E66" w:rsidRPr="00DE475B" w:rsidRDefault="00BB7E66" w:rsidP="00BB7E66">
            <w:pPr>
              <w:pStyle w:val="ARHeading1"/>
              <w:rPr>
                <w:sz w:val="18"/>
                <w:szCs w:val="18"/>
              </w:rPr>
            </w:pPr>
          </w:p>
        </w:tc>
      </w:tr>
      <w:tr w:rsidR="0026610E" w:rsidRPr="00DE475B" w:rsidTr="008C7EDB">
        <w:tc>
          <w:tcPr>
            <w:tcW w:w="1117" w:type="dxa"/>
            <w:tcBorders>
              <w:top w:val="single" w:sz="4" w:space="0" w:color="000000"/>
              <w:bottom w:val="single" w:sz="4" w:space="0" w:color="000000"/>
            </w:tcBorders>
            <w:shd w:val="clear" w:color="auto" w:fill="auto"/>
          </w:tcPr>
          <w:p w:rsidR="0026610E" w:rsidRPr="00DE475B" w:rsidRDefault="0026610E">
            <w:pPr>
              <w:pStyle w:val="ARHeading1"/>
              <w:rPr>
                <w:sz w:val="18"/>
                <w:szCs w:val="18"/>
              </w:rPr>
            </w:pPr>
            <w:r>
              <w:rPr>
                <w:sz w:val="18"/>
                <w:szCs w:val="18"/>
              </w:rPr>
              <w:t>DAP</w:t>
            </w:r>
          </w:p>
        </w:tc>
        <w:tc>
          <w:tcPr>
            <w:tcW w:w="2994" w:type="dxa"/>
            <w:tcBorders>
              <w:top w:val="single" w:sz="4" w:space="0" w:color="000000"/>
              <w:bottom w:val="single" w:sz="4" w:space="0" w:color="000000"/>
            </w:tcBorders>
            <w:shd w:val="clear" w:color="auto" w:fill="auto"/>
          </w:tcPr>
          <w:p w:rsidR="0026610E" w:rsidRPr="00DE475B" w:rsidRDefault="0026610E" w:rsidP="0026610E">
            <w:pPr>
              <w:pStyle w:val="ARHeading1"/>
              <w:rPr>
                <w:sz w:val="18"/>
                <w:szCs w:val="18"/>
              </w:rPr>
            </w:pPr>
            <w:r>
              <w:rPr>
                <w:sz w:val="18"/>
                <w:szCs w:val="18"/>
              </w:rPr>
              <w:t>Disability Action Plan</w:t>
            </w:r>
          </w:p>
        </w:tc>
        <w:tc>
          <w:tcPr>
            <w:tcW w:w="4502" w:type="dxa"/>
            <w:tcBorders>
              <w:top w:val="single" w:sz="4" w:space="0" w:color="000000"/>
              <w:bottom w:val="single" w:sz="4" w:space="0" w:color="000000"/>
            </w:tcBorders>
            <w:shd w:val="clear" w:color="auto" w:fill="auto"/>
          </w:tcPr>
          <w:p w:rsidR="0026610E" w:rsidRPr="00DE475B" w:rsidRDefault="0026610E">
            <w:pPr>
              <w:snapToGrid w:val="0"/>
              <w:rPr>
                <w:rFonts w:ascii="Arial" w:hAnsi="Arial" w:cs="Arial"/>
                <w:sz w:val="18"/>
                <w:szCs w:val="18"/>
              </w:rPr>
            </w:pPr>
          </w:p>
        </w:tc>
      </w:tr>
      <w:tr w:rsidR="00FC61F1" w:rsidRPr="00DE475B" w:rsidTr="008C7EDB">
        <w:tc>
          <w:tcPr>
            <w:tcW w:w="1117" w:type="dxa"/>
            <w:tcBorders>
              <w:top w:val="single" w:sz="4" w:space="0" w:color="000000"/>
              <w:bottom w:val="single" w:sz="4" w:space="0" w:color="000000"/>
            </w:tcBorders>
            <w:shd w:val="clear" w:color="auto" w:fill="auto"/>
          </w:tcPr>
          <w:p w:rsidR="00FC61F1" w:rsidRPr="00DE475B" w:rsidRDefault="00FC61F1">
            <w:pPr>
              <w:pStyle w:val="ARHeading1"/>
              <w:rPr>
                <w:sz w:val="18"/>
                <w:szCs w:val="18"/>
              </w:rPr>
            </w:pPr>
            <w:proofErr w:type="spellStart"/>
            <w:r w:rsidRPr="00DE475B">
              <w:rPr>
                <w:sz w:val="18"/>
                <w:szCs w:val="18"/>
              </w:rPr>
              <w:t>DSITI</w:t>
            </w:r>
            <w:proofErr w:type="spellEnd"/>
          </w:p>
        </w:tc>
        <w:tc>
          <w:tcPr>
            <w:tcW w:w="2994" w:type="dxa"/>
            <w:tcBorders>
              <w:top w:val="single" w:sz="4" w:space="0" w:color="000000"/>
              <w:bottom w:val="single" w:sz="4" w:space="0" w:color="000000"/>
            </w:tcBorders>
            <w:shd w:val="clear" w:color="auto" w:fill="auto"/>
          </w:tcPr>
          <w:p w:rsidR="00FC61F1" w:rsidRPr="00DE475B" w:rsidRDefault="00FC61F1">
            <w:pPr>
              <w:pStyle w:val="ARHeading1"/>
              <w:rPr>
                <w:sz w:val="18"/>
                <w:szCs w:val="18"/>
              </w:rPr>
            </w:pPr>
            <w:r w:rsidRPr="00DE475B">
              <w:rPr>
                <w:sz w:val="18"/>
                <w:szCs w:val="18"/>
              </w:rPr>
              <w:t>Department of Science, Information Technology and Innovation</w:t>
            </w:r>
          </w:p>
        </w:tc>
        <w:tc>
          <w:tcPr>
            <w:tcW w:w="4502" w:type="dxa"/>
            <w:tcBorders>
              <w:top w:val="single" w:sz="4" w:space="0" w:color="000000"/>
              <w:bottom w:val="single" w:sz="4" w:space="0" w:color="000000"/>
            </w:tcBorders>
            <w:shd w:val="clear" w:color="auto" w:fill="auto"/>
          </w:tcPr>
          <w:p w:rsidR="00FC61F1" w:rsidRPr="00DE475B" w:rsidRDefault="00FC61F1">
            <w:pPr>
              <w:snapToGrid w:val="0"/>
              <w:rPr>
                <w:rFonts w:ascii="Arial" w:hAnsi="Arial" w:cs="Arial"/>
                <w:sz w:val="18"/>
                <w:szCs w:val="18"/>
              </w:rPr>
            </w:pPr>
          </w:p>
        </w:tc>
      </w:tr>
      <w:tr w:rsidR="00D346B4" w:rsidRPr="00DE475B" w:rsidTr="008C7EDB">
        <w:tc>
          <w:tcPr>
            <w:tcW w:w="1117" w:type="dxa"/>
            <w:tcBorders>
              <w:top w:val="single" w:sz="4" w:space="0" w:color="000000"/>
              <w:bottom w:val="single" w:sz="4" w:space="0" w:color="000000"/>
            </w:tcBorders>
            <w:shd w:val="clear" w:color="auto" w:fill="auto"/>
          </w:tcPr>
          <w:p w:rsidR="00D346B4" w:rsidRPr="00DE475B" w:rsidRDefault="00D346B4">
            <w:pPr>
              <w:pStyle w:val="ARHeading1"/>
              <w:rPr>
                <w:sz w:val="18"/>
                <w:szCs w:val="18"/>
              </w:rPr>
            </w:pPr>
            <w:proofErr w:type="spellStart"/>
            <w:r w:rsidRPr="00DE475B">
              <w:rPr>
                <w:sz w:val="18"/>
                <w:szCs w:val="18"/>
              </w:rPr>
              <w:t>eDRMS</w:t>
            </w:r>
            <w:proofErr w:type="spellEnd"/>
          </w:p>
        </w:tc>
        <w:tc>
          <w:tcPr>
            <w:tcW w:w="2994" w:type="dxa"/>
            <w:tcBorders>
              <w:top w:val="single" w:sz="4" w:space="0" w:color="000000"/>
              <w:bottom w:val="single" w:sz="4" w:space="0" w:color="000000"/>
            </w:tcBorders>
            <w:shd w:val="clear" w:color="auto" w:fill="auto"/>
          </w:tcPr>
          <w:p w:rsidR="00D346B4" w:rsidRPr="00DE475B" w:rsidRDefault="00D346B4">
            <w:pPr>
              <w:pStyle w:val="ARHeading1"/>
              <w:rPr>
                <w:sz w:val="18"/>
                <w:szCs w:val="18"/>
              </w:rPr>
            </w:pPr>
            <w:r w:rsidRPr="00DE475B">
              <w:rPr>
                <w:sz w:val="18"/>
                <w:szCs w:val="18"/>
              </w:rPr>
              <w:t>Electronic document and record management system</w:t>
            </w:r>
          </w:p>
        </w:tc>
        <w:tc>
          <w:tcPr>
            <w:tcW w:w="4502" w:type="dxa"/>
            <w:tcBorders>
              <w:top w:val="single" w:sz="4" w:space="0" w:color="000000"/>
              <w:bottom w:val="single" w:sz="4" w:space="0" w:color="000000"/>
            </w:tcBorders>
            <w:shd w:val="clear" w:color="auto" w:fill="auto"/>
          </w:tcPr>
          <w:p w:rsidR="00D346B4" w:rsidRPr="00DE475B" w:rsidRDefault="00D346B4">
            <w:pPr>
              <w:snapToGrid w:val="0"/>
              <w:rPr>
                <w:rFonts w:ascii="Arial" w:hAnsi="Arial" w:cs="Arial"/>
                <w:sz w:val="18"/>
                <w:szCs w:val="18"/>
              </w:rPr>
            </w:pPr>
          </w:p>
        </w:tc>
      </w:tr>
      <w:tr w:rsidR="00025671" w:rsidRPr="00DE475B" w:rsidTr="008C7EDB">
        <w:tc>
          <w:tcPr>
            <w:tcW w:w="1117" w:type="dxa"/>
            <w:tcBorders>
              <w:top w:val="single" w:sz="4" w:space="0" w:color="000000"/>
              <w:bottom w:val="single" w:sz="4" w:space="0" w:color="000000"/>
            </w:tcBorders>
            <w:shd w:val="clear" w:color="auto" w:fill="auto"/>
          </w:tcPr>
          <w:p w:rsidR="00025671" w:rsidRPr="00DE475B" w:rsidRDefault="00025671" w:rsidP="00025671">
            <w:pPr>
              <w:pStyle w:val="ARHeading1"/>
              <w:rPr>
                <w:sz w:val="18"/>
                <w:szCs w:val="18"/>
              </w:rPr>
            </w:pPr>
            <w:proofErr w:type="spellStart"/>
            <w:r w:rsidRPr="00025671">
              <w:rPr>
                <w:sz w:val="18"/>
                <w:szCs w:val="18"/>
              </w:rPr>
              <w:t>EMT</w:t>
            </w:r>
            <w:proofErr w:type="spellEnd"/>
          </w:p>
        </w:tc>
        <w:tc>
          <w:tcPr>
            <w:tcW w:w="2994" w:type="dxa"/>
            <w:tcBorders>
              <w:top w:val="single" w:sz="4" w:space="0" w:color="000000"/>
              <w:bottom w:val="single" w:sz="4" w:space="0" w:color="000000"/>
            </w:tcBorders>
            <w:shd w:val="clear" w:color="auto" w:fill="auto"/>
          </w:tcPr>
          <w:p w:rsidR="00025671" w:rsidRPr="00DE475B" w:rsidRDefault="00025671" w:rsidP="00025671">
            <w:pPr>
              <w:pStyle w:val="ARHeading1"/>
              <w:rPr>
                <w:sz w:val="18"/>
                <w:szCs w:val="18"/>
              </w:rPr>
            </w:pPr>
            <w:r w:rsidRPr="00025671">
              <w:rPr>
                <w:sz w:val="18"/>
                <w:szCs w:val="18"/>
              </w:rPr>
              <w:t>Executive Management Team</w:t>
            </w:r>
          </w:p>
        </w:tc>
        <w:tc>
          <w:tcPr>
            <w:tcW w:w="4502" w:type="dxa"/>
            <w:tcBorders>
              <w:top w:val="single" w:sz="4" w:space="0" w:color="000000"/>
              <w:bottom w:val="single" w:sz="4" w:space="0" w:color="000000"/>
            </w:tcBorders>
            <w:shd w:val="clear" w:color="auto" w:fill="auto"/>
          </w:tcPr>
          <w:p w:rsidR="00025671" w:rsidRPr="00DE475B" w:rsidRDefault="00025671" w:rsidP="00025671">
            <w:pPr>
              <w:snapToGrid w:val="0"/>
              <w:rPr>
                <w:rFonts w:ascii="Arial" w:hAnsi="Arial" w:cs="Arial"/>
                <w:sz w:val="18"/>
                <w:szCs w:val="18"/>
              </w:rPr>
            </w:pPr>
          </w:p>
        </w:tc>
      </w:tr>
      <w:tr w:rsidR="00923B93" w:rsidRPr="00DE475B" w:rsidTr="008C7EDB">
        <w:tc>
          <w:tcPr>
            <w:tcW w:w="1117" w:type="dxa"/>
            <w:tcBorders>
              <w:top w:val="single" w:sz="4" w:space="0" w:color="000000"/>
              <w:bottom w:val="single" w:sz="4" w:space="0" w:color="000000"/>
            </w:tcBorders>
            <w:shd w:val="clear" w:color="auto" w:fill="auto"/>
          </w:tcPr>
          <w:p w:rsidR="00923B93" w:rsidRPr="00F31781" w:rsidRDefault="00923B93" w:rsidP="00F31781">
            <w:pPr>
              <w:pStyle w:val="ARHeading1"/>
              <w:rPr>
                <w:sz w:val="18"/>
                <w:szCs w:val="18"/>
              </w:rPr>
            </w:pPr>
            <w:r w:rsidRPr="00923B93">
              <w:rPr>
                <w:sz w:val="18"/>
                <w:szCs w:val="18"/>
              </w:rPr>
              <w:t>GLAM</w:t>
            </w:r>
          </w:p>
        </w:tc>
        <w:tc>
          <w:tcPr>
            <w:tcW w:w="2994" w:type="dxa"/>
            <w:tcBorders>
              <w:top w:val="single" w:sz="4" w:space="0" w:color="000000"/>
              <w:bottom w:val="single" w:sz="4" w:space="0" w:color="000000"/>
            </w:tcBorders>
            <w:shd w:val="clear" w:color="auto" w:fill="auto"/>
          </w:tcPr>
          <w:p w:rsidR="00923B93" w:rsidRPr="00F31781" w:rsidRDefault="00923B93" w:rsidP="00923B93">
            <w:pPr>
              <w:pStyle w:val="ARHeading1"/>
              <w:rPr>
                <w:sz w:val="18"/>
                <w:szCs w:val="18"/>
              </w:rPr>
            </w:pPr>
            <w:r w:rsidRPr="00923B93">
              <w:rPr>
                <w:sz w:val="18"/>
                <w:szCs w:val="18"/>
              </w:rPr>
              <w:t>Galler</w:t>
            </w:r>
            <w:r>
              <w:rPr>
                <w:sz w:val="18"/>
                <w:szCs w:val="18"/>
              </w:rPr>
              <w:t>y, Library, Archives and Museum</w:t>
            </w:r>
          </w:p>
        </w:tc>
        <w:tc>
          <w:tcPr>
            <w:tcW w:w="4502" w:type="dxa"/>
            <w:tcBorders>
              <w:top w:val="single" w:sz="4" w:space="0" w:color="000000"/>
              <w:bottom w:val="single" w:sz="4" w:space="0" w:color="000000"/>
            </w:tcBorders>
            <w:shd w:val="clear" w:color="auto" w:fill="auto"/>
          </w:tcPr>
          <w:p w:rsidR="00923B93" w:rsidRPr="00DE475B" w:rsidRDefault="00923B93" w:rsidP="00F31781">
            <w:pPr>
              <w:pStyle w:val="ARHeading1"/>
              <w:rPr>
                <w:sz w:val="18"/>
                <w:szCs w:val="18"/>
              </w:rPr>
            </w:pPr>
          </w:p>
        </w:tc>
      </w:tr>
      <w:tr w:rsidR="00F31781" w:rsidRPr="00DE475B" w:rsidTr="008C7EDB">
        <w:tc>
          <w:tcPr>
            <w:tcW w:w="1117" w:type="dxa"/>
            <w:tcBorders>
              <w:top w:val="single" w:sz="4" w:space="0" w:color="000000"/>
              <w:bottom w:val="single" w:sz="4" w:space="0" w:color="000000"/>
            </w:tcBorders>
            <w:shd w:val="clear" w:color="auto" w:fill="auto"/>
          </w:tcPr>
          <w:p w:rsidR="00F31781" w:rsidRPr="00DE475B" w:rsidRDefault="00F31781" w:rsidP="00F31781">
            <w:pPr>
              <w:pStyle w:val="ARHeading1"/>
              <w:rPr>
                <w:sz w:val="18"/>
                <w:szCs w:val="18"/>
              </w:rPr>
            </w:pPr>
            <w:r w:rsidRPr="00F31781">
              <w:rPr>
                <w:sz w:val="18"/>
                <w:szCs w:val="18"/>
              </w:rPr>
              <w:t>GRAIL</w:t>
            </w:r>
          </w:p>
        </w:tc>
        <w:tc>
          <w:tcPr>
            <w:tcW w:w="2994" w:type="dxa"/>
            <w:tcBorders>
              <w:top w:val="single" w:sz="4" w:space="0" w:color="000000"/>
              <w:bottom w:val="single" w:sz="4" w:space="0" w:color="000000"/>
            </w:tcBorders>
            <w:shd w:val="clear" w:color="auto" w:fill="auto"/>
          </w:tcPr>
          <w:p w:rsidR="00F31781" w:rsidRPr="00DE475B" w:rsidRDefault="00F31781" w:rsidP="00F31781">
            <w:pPr>
              <w:pStyle w:val="ARHeading1"/>
              <w:rPr>
                <w:sz w:val="18"/>
                <w:szCs w:val="18"/>
              </w:rPr>
            </w:pPr>
            <w:r w:rsidRPr="00F31781">
              <w:rPr>
                <w:sz w:val="18"/>
                <w:szCs w:val="18"/>
              </w:rPr>
              <w:t>Government Research and Information Library</w:t>
            </w:r>
          </w:p>
        </w:tc>
        <w:tc>
          <w:tcPr>
            <w:tcW w:w="4502" w:type="dxa"/>
            <w:tcBorders>
              <w:top w:val="single" w:sz="4" w:space="0" w:color="000000"/>
              <w:bottom w:val="single" w:sz="4" w:space="0" w:color="000000"/>
            </w:tcBorders>
            <w:shd w:val="clear" w:color="auto" w:fill="auto"/>
          </w:tcPr>
          <w:p w:rsidR="00F31781" w:rsidRPr="00DE475B" w:rsidRDefault="00F31781" w:rsidP="00F31781">
            <w:pPr>
              <w:pStyle w:val="ARHeading1"/>
              <w:rPr>
                <w:sz w:val="18"/>
                <w:szCs w:val="18"/>
              </w:rPr>
            </w:pPr>
          </w:p>
        </w:tc>
      </w:tr>
      <w:tr w:rsidR="007251F7" w:rsidRPr="00DE475B" w:rsidTr="008C7EDB">
        <w:tc>
          <w:tcPr>
            <w:tcW w:w="1117" w:type="dxa"/>
            <w:tcBorders>
              <w:top w:val="single" w:sz="4" w:space="0" w:color="000000"/>
              <w:bottom w:val="single" w:sz="4" w:space="0" w:color="000000"/>
            </w:tcBorders>
            <w:shd w:val="clear" w:color="auto" w:fill="auto"/>
          </w:tcPr>
          <w:p w:rsidR="007251F7" w:rsidRPr="00DE475B" w:rsidRDefault="007251F7" w:rsidP="00A62087">
            <w:pPr>
              <w:snapToGrid w:val="0"/>
              <w:rPr>
                <w:rFonts w:ascii="Arial" w:hAnsi="Arial" w:cs="Arial"/>
                <w:sz w:val="18"/>
                <w:szCs w:val="18"/>
              </w:rPr>
            </w:pPr>
            <w:proofErr w:type="spellStart"/>
            <w:r w:rsidRPr="00DE475B">
              <w:rPr>
                <w:rFonts w:ascii="Arial" w:hAnsi="Arial" w:cs="Arial"/>
                <w:sz w:val="18"/>
                <w:szCs w:val="18"/>
              </w:rPr>
              <w:t>IAG</w:t>
            </w:r>
            <w:proofErr w:type="spellEnd"/>
          </w:p>
        </w:tc>
        <w:tc>
          <w:tcPr>
            <w:tcW w:w="2994" w:type="dxa"/>
            <w:tcBorders>
              <w:top w:val="single" w:sz="4" w:space="0" w:color="000000"/>
              <w:bottom w:val="single" w:sz="4" w:space="0" w:color="000000"/>
            </w:tcBorders>
            <w:shd w:val="clear" w:color="auto" w:fill="auto"/>
          </w:tcPr>
          <w:p w:rsidR="007251F7" w:rsidRPr="00DE475B" w:rsidRDefault="007251F7" w:rsidP="00A62087">
            <w:pPr>
              <w:snapToGrid w:val="0"/>
              <w:rPr>
                <w:rFonts w:ascii="Arial" w:hAnsi="Arial" w:cs="Arial"/>
                <w:sz w:val="18"/>
                <w:szCs w:val="18"/>
              </w:rPr>
            </w:pPr>
            <w:r w:rsidRPr="00DE475B">
              <w:rPr>
                <w:rFonts w:ascii="Arial" w:hAnsi="Arial" w:cs="Arial"/>
                <w:sz w:val="18"/>
                <w:szCs w:val="18"/>
              </w:rPr>
              <w:t>Indigenous Advisory Group</w:t>
            </w:r>
          </w:p>
        </w:tc>
        <w:tc>
          <w:tcPr>
            <w:tcW w:w="4502" w:type="dxa"/>
            <w:tcBorders>
              <w:top w:val="single" w:sz="4" w:space="0" w:color="000000"/>
              <w:bottom w:val="single" w:sz="4" w:space="0" w:color="000000"/>
            </w:tcBorders>
            <w:shd w:val="clear" w:color="auto" w:fill="auto"/>
          </w:tcPr>
          <w:p w:rsidR="007251F7" w:rsidRPr="00DE475B" w:rsidRDefault="007251F7" w:rsidP="00A62087">
            <w:pPr>
              <w:snapToGrid w:val="0"/>
              <w:rPr>
                <w:rFonts w:ascii="Arial" w:hAnsi="Arial" w:cs="Arial"/>
                <w:sz w:val="18"/>
                <w:szCs w:val="18"/>
              </w:rPr>
            </w:pPr>
          </w:p>
        </w:tc>
      </w:tr>
      <w:tr w:rsidR="00D346B4" w:rsidRPr="00DE475B" w:rsidTr="008C7EDB">
        <w:tc>
          <w:tcPr>
            <w:tcW w:w="1117" w:type="dxa"/>
            <w:tcBorders>
              <w:top w:val="single" w:sz="4" w:space="0" w:color="000000"/>
              <w:bottom w:val="single" w:sz="4" w:space="0" w:color="000000"/>
            </w:tcBorders>
            <w:shd w:val="clear" w:color="auto" w:fill="auto"/>
          </w:tcPr>
          <w:p w:rsidR="00D346B4" w:rsidRPr="00DE475B" w:rsidRDefault="00D346B4" w:rsidP="00A62087">
            <w:pPr>
              <w:snapToGrid w:val="0"/>
              <w:rPr>
                <w:rFonts w:ascii="Arial" w:hAnsi="Arial" w:cs="Arial"/>
                <w:sz w:val="18"/>
                <w:szCs w:val="18"/>
              </w:rPr>
            </w:pPr>
            <w:r w:rsidRPr="00DE475B">
              <w:rPr>
                <w:rFonts w:ascii="Arial" w:hAnsi="Arial" w:cs="Arial"/>
                <w:sz w:val="18"/>
                <w:szCs w:val="18"/>
              </w:rPr>
              <w:t>ICT</w:t>
            </w:r>
          </w:p>
        </w:tc>
        <w:tc>
          <w:tcPr>
            <w:tcW w:w="2994" w:type="dxa"/>
            <w:tcBorders>
              <w:top w:val="single" w:sz="4" w:space="0" w:color="000000"/>
              <w:bottom w:val="single" w:sz="4" w:space="0" w:color="000000"/>
            </w:tcBorders>
            <w:shd w:val="clear" w:color="auto" w:fill="auto"/>
          </w:tcPr>
          <w:p w:rsidR="00D346B4" w:rsidRPr="00DE475B" w:rsidRDefault="00D346B4" w:rsidP="00A62087">
            <w:pPr>
              <w:snapToGrid w:val="0"/>
              <w:rPr>
                <w:rFonts w:ascii="Arial" w:hAnsi="Arial" w:cs="Arial"/>
                <w:sz w:val="18"/>
                <w:szCs w:val="18"/>
              </w:rPr>
            </w:pPr>
            <w:r w:rsidRPr="00DE475B">
              <w:rPr>
                <w:rFonts w:ascii="Arial" w:hAnsi="Arial" w:cs="Arial"/>
                <w:sz w:val="18"/>
                <w:szCs w:val="18"/>
              </w:rPr>
              <w:t>Information and Communications</w:t>
            </w:r>
          </w:p>
          <w:p w:rsidR="00D346B4" w:rsidRPr="00DE475B" w:rsidRDefault="00D346B4" w:rsidP="00A62087">
            <w:pPr>
              <w:snapToGrid w:val="0"/>
              <w:rPr>
                <w:rFonts w:ascii="Arial" w:hAnsi="Arial" w:cs="Arial"/>
                <w:sz w:val="18"/>
                <w:szCs w:val="18"/>
              </w:rPr>
            </w:pPr>
            <w:r w:rsidRPr="00DE475B">
              <w:rPr>
                <w:rFonts w:ascii="Arial" w:hAnsi="Arial" w:cs="Arial"/>
                <w:sz w:val="18"/>
                <w:szCs w:val="18"/>
              </w:rPr>
              <w:t>Technology</w:t>
            </w:r>
          </w:p>
        </w:tc>
        <w:tc>
          <w:tcPr>
            <w:tcW w:w="4502" w:type="dxa"/>
            <w:tcBorders>
              <w:top w:val="single" w:sz="4" w:space="0" w:color="000000"/>
              <w:bottom w:val="single" w:sz="4" w:space="0" w:color="000000"/>
            </w:tcBorders>
            <w:shd w:val="clear" w:color="auto" w:fill="auto"/>
          </w:tcPr>
          <w:p w:rsidR="00D346B4" w:rsidRPr="00DE475B" w:rsidRDefault="00D346B4" w:rsidP="00A62087">
            <w:pPr>
              <w:snapToGrid w:val="0"/>
              <w:rPr>
                <w:rFonts w:ascii="Arial" w:hAnsi="Arial" w:cs="Arial"/>
                <w:sz w:val="18"/>
                <w:szCs w:val="18"/>
              </w:rPr>
            </w:pPr>
            <w:r w:rsidRPr="00DE475B">
              <w:rPr>
                <w:rFonts w:ascii="Arial" w:hAnsi="Arial" w:cs="Arial"/>
                <w:sz w:val="18"/>
                <w:szCs w:val="18"/>
              </w:rPr>
              <w:t>Includes any communication device or application, though often used to refer to digital communications</w:t>
            </w:r>
          </w:p>
        </w:tc>
      </w:tr>
      <w:tr w:rsidR="008F5AB7" w:rsidRPr="00DE475B" w:rsidTr="008C7EDB">
        <w:tc>
          <w:tcPr>
            <w:tcW w:w="1117" w:type="dxa"/>
            <w:tcBorders>
              <w:top w:val="single" w:sz="4" w:space="0" w:color="000000"/>
              <w:bottom w:val="single" w:sz="4" w:space="0" w:color="000000"/>
            </w:tcBorders>
            <w:shd w:val="clear" w:color="auto" w:fill="auto"/>
          </w:tcPr>
          <w:p w:rsidR="008F5AB7" w:rsidRPr="008F5AB7" w:rsidRDefault="008F5AB7" w:rsidP="008F5AB7">
            <w:pPr>
              <w:snapToGrid w:val="0"/>
              <w:rPr>
                <w:rFonts w:ascii="Arial" w:hAnsi="Arial" w:cs="Arial"/>
                <w:sz w:val="18"/>
                <w:szCs w:val="18"/>
              </w:rPr>
            </w:pPr>
            <w:proofErr w:type="spellStart"/>
            <w:r w:rsidRPr="008F5AB7">
              <w:rPr>
                <w:rFonts w:ascii="Arial" w:hAnsi="Arial" w:cs="Arial"/>
                <w:sz w:val="18"/>
                <w:szCs w:val="18"/>
              </w:rPr>
              <w:t>IFLA</w:t>
            </w:r>
            <w:proofErr w:type="spellEnd"/>
          </w:p>
        </w:tc>
        <w:tc>
          <w:tcPr>
            <w:tcW w:w="2994" w:type="dxa"/>
            <w:tcBorders>
              <w:top w:val="single" w:sz="4" w:space="0" w:color="000000"/>
              <w:bottom w:val="single" w:sz="4" w:space="0" w:color="000000"/>
            </w:tcBorders>
            <w:shd w:val="clear" w:color="auto" w:fill="auto"/>
          </w:tcPr>
          <w:p w:rsidR="008F5AB7" w:rsidRPr="00DE475B" w:rsidRDefault="008F5AB7" w:rsidP="008F5AB7">
            <w:pPr>
              <w:snapToGrid w:val="0"/>
              <w:rPr>
                <w:rFonts w:ascii="Arial" w:hAnsi="Arial" w:cs="Arial"/>
                <w:sz w:val="18"/>
                <w:szCs w:val="18"/>
              </w:rPr>
            </w:pPr>
            <w:r w:rsidRPr="008F5AB7">
              <w:rPr>
                <w:rFonts w:ascii="Arial" w:hAnsi="Arial" w:cs="Arial"/>
                <w:sz w:val="18"/>
                <w:szCs w:val="18"/>
              </w:rPr>
              <w:t>International Federation of Library Associations and Institutions</w:t>
            </w:r>
          </w:p>
        </w:tc>
        <w:tc>
          <w:tcPr>
            <w:tcW w:w="4502" w:type="dxa"/>
            <w:tcBorders>
              <w:top w:val="single" w:sz="4" w:space="0" w:color="000000"/>
              <w:bottom w:val="single" w:sz="4" w:space="0" w:color="000000"/>
            </w:tcBorders>
            <w:shd w:val="clear" w:color="auto" w:fill="auto"/>
          </w:tcPr>
          <w:p w:rsidR="008F5AB7" w:rsidRPr="00DE475B" w:rsidRDefault="008F5AB7">
            <w:pPr>
              <w:pStyle w:val="ARHeading1"/>
              <w:rPr>
                <w:sz w:val="18"/>
                <w:szCs w:val="18"/>
              </w:rPr>
            </w:pPr>
          </w:p>
        </w:tc>
      </w:tr>
      <w:tr w:rsidR="00D346B4" w:rsidRPr="00DE475B" w:rsidTr="008C7EDB">
        <w:tc>
          <w:tcPr>
            <w:tcW w:w="1117" w:type="dxa"/>
            <w:tcBorders>
              <w:top w:val="single" w:sz="4" w:space="0" w:color="000000"/>
              <w:bottom w:val="single" w:sz="4" w:space="0" w:color="000000"/>
            </w:tcBorders>
            <w:shd w:val="clear" w:color="auto" w:fill="auto"/>
          </w:tcPr>
          <w:p w:rsidR="00D346B4" w:rsidRPr="00DE475B" w:rsidRDefault="00D346B4">
            <w:pPr>
              <w:pStyle w:val="ARHeading1"/>
              <w:rPr>
                <w:sz w:val="18"/>
                <w:szCs w:val="18"/>
              </w:rPr>
            </w:pPr>
            <w:proofErr w:type="spellStart"/>
            <w:r w:rsidRPr="00DE475B">
              <w:rPr>
                <w:sz w:val="18"/>
                <w:szCs w:val="18"/>
              </w:rPr>
              <w:t>IKC</w:t>
            </w:r>
            <w:proofErr w:type="spellEnd"/>
          </w:p>
        </w:tc>
        <w:tc>
          <w:tcPr>
            <w:tcW w:w="2994" w:type="dxa"/>
            <w:tcBorders>
              <w:top w:val="single" w:sz="4" w:space="0" w:color="000000"/>
              <w:bottom w:val="single" w:sz="4" w:space="0" w:color="000000"/>
            </w:tcBorders>
            <w:shd w:val="clear" w:color="auto" w:fill="auto"/>
          </w:tcPr>
          <w:p w:rsidR="00D346B4" w:rsidRPr="00DE475B" w:rsidRDefault="00D346B4">
            <w:pPr>
              <w:rPr>
                <w:rFonts w:ascii="Arial" w:hAnsi="Arial" w:cs="Arial"/>
                <w:sz w:val="18"/>
                <w:szCs w:val="18"/>
              </w:rPr>
            </w:pPr>
            <w:r w:rsidRPr="00DE475B">
              <w:rPr>
                <w:rFonts w:ascii="Arial" w:hAnsi="Arial" w:cs="Arial"/>
                <w:sz w:val="18"/>
                <w:szCs w:val="18"/>
              </w:rPr>
              <w:t>Indigenous Knowledge Centre</w:t>
            </w:r>
          </w:p>
        </w:tc>
        <w:tc>
          <w:tcPr>
            <w:tcW w:w="4502" w:type="dxa"/>
            <w:tcBorders>
              <w:top w:val="single" w:sz="4" w:space="0" w:color="000000"/>
              <w:bottom w:val="single" w:sz="4" w:space="0" w:color="000000"/>
            </w:tcBorders>
            <w:shd w:val="clear" w:color="auto" w:fill="auto"/>
          </w:tcPr>
          <w:p w:rsidR="00D346B4" w:rsidRPr="00DE475B" w:rsidRDefault="00D346B4">
            <w:pPr>
              <w:pStyle w:val="ARHeading1"/>
              <w:rPr>
                <w:sz w:val="18"/>
                <w:szCs w:val="18"/>
              </w:rPr>
            </w:pPr>
            <w:r w:rsidRPr="00DE475B">
              <w:rPr>
                <w:sz w:val="18"/>
                <w:szCs w:val="18"/>
              </w:rPr>
              <w:t>A communal hub operated in partnership with Aboriginal and Torres Strait Island Councils that combines tr</w:t>
            </w:r>
            <w:r w:rsidR="000A4914" w:rsidRPr="00DE475B">
              <w:rPr>
                <w:sz w:val="18"/>
                <w:szCs w:val="18"/>
              </w:rPr>
              <w:t>aditional library services and i</w:t>
            </w:r>
            <w:r w:rsidRPr="00DE475B">
              <w:rPr>
                <w:sz w:val="18"/>
                <w:szCs w:val="18"/>
              </w:rPr>
              <w:t>nternet access with lifelong learning opportunities, and provides a keeping place for recording, accessing and celebrating the unique Indigenous cultures of Queensland</w:t>
            </w:r>
          </w:p>
        </w:tc>
      </w:tr>
      <w:tr w:rsidR="00D346B4" w:rsidRPr="00DE475B" w:rsidTr="008C7EDB">
        <w:tc>
          <w:tcPr>
            <w:tcW w:w="1117" w:type="dxa"/>
            <w:tcBorders>
              <w:top w:val="single" w:sz="4" w:space="0" w:color="000000"/>
              <w:bottom w:val="single" w:sz="4" w:space="0" w:color="000000"/>
            </w:tcBorders>
            <w:shd w:val="clear" w:color="auto" w:fill="auto"/>
          </w:tcPr>
          <w:p w:rsidR="00D346B4" w:rsidRPr="00DE475B" w:rsidRDefault="00D346B4">
            <w:pPr>
              <w:pStyle w:val="ARHeading1"/>
              <w:rPr>
                <w:sz w:val="18"/>
                <w:szCs w:val="18"/>
              </w:rPr>
            </w:pPr>
            <w:proofErr w:type="spellStart"/>
            <w:r w:rsidRPr="00DE475B">
              <w:rPr>
                <w:sz w:val="18"/>
                <w:szCs w:val="18"/>
              </w:rPr>
              <w:t>JOL</w:t>
            </w:r>
            <w:proofErr w:type="spellEnd"/>
          </w:p>
        </w:tc>
        <w:tc>
          <w:tcPr>
            <w:tcW w:w="2994" w:type="dxa"/>
            <w:tcBorders>
              <w:top w:val="single" w:sz="4" w:space="0" w:color="000000"/>
              <w:bottom w:val="single" w:sz="4" w:space="0" w:color="000000"/>
            </w:tcBorders>
            <w:shd w:val="clear" w:color="auto" w:fill="auto"/>
          </w:tcPr>
          <w:p w:rsidR="00D346B4" w:rsidRPr="00DE475B" w:rsidRDefault="00D346B4">
            <w:pPr>
              <w:rPr>
                <w:rFonts w:ascii="Arial" w:hAnsi="Arial" w:cs="Arial"/>
                <w:sz w:val="18"/>
                <w:szCs w:val="18"/>
              </w:rPr>
            </w:pPr>
            <w:r w:rsidRPr="00DE475B">
              <w:rPr>
                <w:rFonts w:ascii="Arial" w:hAnsi="Arial" w:cs="Arial"/>
                <w:sz w:val="18"/>
                <w:szCs w:val="18"/>
              </w:rPr>
              <w:t xml:space="preserve">John Oxley Library </w:t>
            </w:r>
          </w:p>
        </w:tc>
        <w:tc>
          <w:tcPr>
            <w:tcW w:w="4502" w:type="dxa"/>
            <w:tcBorders>
              <w:top w:val="single" w:sz="4" w:space="0" w:color="000000"/>
              <w:bottom w:val="single" w:sz="4" w:space="0" w:color="000000"/>
            </w:tcBorders>
            <w:shd w:val="clear" w:color="auto" w:fill="auto"/>
          </w:tcPr>
          <w:p w:rsidR="00D346B4" w:rsidRPr="00DE475B" w:rsidRDefault="00D346B4">
            <w:pPr>
              <w:pStyle w:val="ARHeading1"/>
              <w:rPr>
                <w:sz w:val="18"/>
                <w:szCs w:val="18"/>
              </w:rPr>
            </w:pPr>
            <w:proofErr w:type="spellStart"/>
            <w:r w:rsidRPr="00DE475B">
              <w:rPr>
                <w:sz w:val="18"/>
                <w:szCs w:val="18"/>
              </w:rPr>
              <w:t>SLQ’s</w:t>
            </w:r>
            <w:proofErr w:type="spellEnd"/>
            <w:r w:rsidRPr="00DE475B">
              <w:rPr>
                <w:sz w:val="18"/>
                <w:szCs w:val="18"/>
              </w:rPr>
              <w:t xml:space="preserve"> repository of Queensland memory</w:t>
            </w:r>
          </w:p>
        </w:tc>
      </w:tr>
      <w:tr w:rsidR="00065733" w:rsidRPr="00DE475B" w:rsidTr="008C7EDB">
        <w:tc>
          <w:tcPr>
            <w:tcW w:w="1117" w:type="dxa"/>
            <w:tcBorders>
              <w:top w:val="single" w:sz="4" w:space="0" w:color="000000"/>
              <w:bottom w:val="single" w:sz="4" w:space="0" w:color="000000"/>
            </w:tcBorders>
            <w:shd w:val="clear" w:color="auto" w:fill="auto"/>
          </w:tcPr>
          <w:p w:rsidR="00065733" w:rsidRPr="00065733" w:rsidRDefault="00065733" w:rsidP="00065733">
            <w:pPr>
              <w:rPr>
                <w:rFonts w:ascii="Arial" w:hAnsi="Arial" w:cs="Arial"/>
                <w:sz w:val="18"/>
                <w:szCs w:val="18"/>
              </w:rPr>
            </w:pPr>
            <w:proofErr w:type="spellStart"/>
            <w:r w:rsidRPr="00065733">
              <w:rPr>
                <w:rFonts w:ascii="Arial" w:hAnsi="Arial" w:cs="Arial"/>
                <w:sz w:val="18"/>
                <w:szCs w:val="18"/>
              </w:rPr>
              <w:t>LGBTIQ</w:t>
            </w:r>
            <w:proofErr w:type="spellEnd"/>
            <w:r w:rsidRPr="00065733">
              <w:rPr>
                <w:rFonts w:ascii="Arial" w:hAnsi="Arial" w:cs="Arial"/>
                <w:sz w:val="18"/>
                <w:szCs w:val="18"/>
              </w:rPr>
              <w:t>+</w:t>
            </w:r>
          </w:p>
        </w:tc>
        <w:tc>
          <w:tcPr>
            <w:tcW w:w="2994" w:type="dxa"/>
            <w:tcBorders>
              <w:top w:val="single" w:sz="4" w:space="0" w:color="000000"/>
              <w:bottom w:val="single" w:sz="4" w:space="0" w:color="000000"/>
            </w:tcBorders>
            <w:shd w:val="clear" w:color="auto" w:fill="auto"/>
          </w:tcPr>
          <w:p w:rsidR="00065733" w:rsidRPr="00897C55" w:rsidRDefault="00065733" w:rsidP="00065733">
            <w:pPr>
              <w:rPr>
                <w:rFonts w:ascii="Arial" w:hAnsi="Arial" w:cs="Arial"/>
                <w:sz w:val="18"/>
                <w:szCs w:val="18"/>
              </w:rPr>
            </w:pPr>
            <w:r>
              <w:rPr>
                <w:rFonts w:ascii="Arial" w:hAnsi="Arial" w:cs="Arial"/>
                <w:sz w:val="18"/>
                <w:szCs w:val="18"/>
              </w:rPr>
              <w:t>Lesbian, Gay, Bisexual, Transgender, Intersex, Queer and other groups</w:t>
            </w:r>
          </w:p>
        </w:tc>
        <w:tc>
          <w:tcPr>
            <w:tcW w:w="4502" w:type="dxa"/>
            <w:tcBorders>
              <w:top w:val="single" w:sz="4" w:space="0" w:color="000000"/>
              <w:bottom w:val="single" w:sz="4" w:space="0" w:color="000000"/>
            </w:tcBorders>
            <w:shd w:val="clear" w:color="auto" w:fill="auto"/>
          </w:tcPr>
          <w:p w:rsidR="00065733" w:rsidRPr="00DE475B" w:rsidRDefault="00726930">
            <w:pPr>
              <w:rPr>
                <w:rFonts w:ascii="Arial" w:hAnsi="Arial" w:cs="Arial"/>
                <w:sz w:val="18"/>
                <w:szCs w:val="18"/>
              </w:rPr>
            </w:pPr>
            <w:r>
              <w:rPr>
                <w:rFonts w:ascii="Arial" w:hAnsi="Arial" w:cs="Arial"/>
                <w:sz w:val="18"/>
                <w:szCs w:val="18"/>
              </w:rPr>
              <w:t>An inclusive term which represents the diverse natu</w:t>
            </w:r>
            <w:r w:rsidR="00F634A0">
              <w:rPr>
                <w:rFonts w:ascii="Arial" w:hAnsi="Arial" w:cs="Arial"/>
                <w:sz w:val="18"/>
                <w:szCs w:val="18"/>
              </w:rPr>
              <w:t>re of sex, gender and sexuality</w:t>
            </w:r>
          </w:p>
        </w:tc>
      </w:tr>
      <w:tr w:rsidR="00897C55" w:rsidRPr="00DE475B" w:rsidTr="008C7EDB">
        <w:tc>
          <w:tcPr>
            <w:tcW w:w="1117" w:type="dxa"/>
            <w:tcBorders>
              <w:top w:val="single" w:sz="4" w:space="0" w:color="000000"/>
              <w:bottom w:val="single" w:sz="4" w:space="0" w:color="000000"/>
            </w:tcBorders>
            <w:shd w:val="clear" w:color="auto" w:fill="auto"/>
          </w:tcPr>
          <w:p w:rsidR="00897C55" w:rsidRPr="00DE475B" w:rsidRDefault="00897C55">
            <w:pPr>
              <w:pStyle w:val="ARHeading1"/>
              <w:rPr>
                <w:sz w:val="18"/>
                <w:szCs w:val="18"/>
              </w:rPr>
            </w:pPr>
            <w:r w:rsidRPr="00897C55">
              <w:rPr>
                <w:sz w:val="18"/>
                <w:szCs w:val="18"/>
              </w:rPr>
              <w:t>MDA Ltd</w:t>
            </w:r>
          </w:p>
        </w:tc>
        <w:tc>
          <w:tcPr>
            <w:tcW w:w="2994" w:type="dxa"/>
            <w:tcBorders>
              <w:top w:val="single" w:sz="4" w:space="0" w:color="000000"/>
              <w:bottom w:val="single" w:sz="4" w:space="0" w:color="000000"/>
            </w:tcBorders>
            <w:shd w:val="clear" w:color="auto" w:fill="auto"/>
          </w:tcPr>
          <w:p w:rsidR="00897C55" w:rsidRPr="00DE475B" w:rsidRDefault="00897C55">
            <w:pPr>
              <w:rPr>
                <w:rFonts w:ascii="Arial" w:hAnsi="Arial" w:cs="Arial"/>
                <w:sz w:val="18"/>
                <w:szCs w:val="18"/>
              </w:rPr>
            </w:pPr>
            <w:r w:rsidRPr="00897C55">
              <w:rPr>
                <w:rFonts w:ascii="Arial" w:hAnsi="Arial" w:cs="Arial"/>
                <w:sz w:val="18"/>
                <w:szCs w:val="18"/>
              </w:rPr>
              <w:t>Multicultural Development Australia</w:t>
            </w:r>
          </w:p>
        </w:tc>
        <w:tc>
          <w:tcPr>
            <w:tcW w:w="4502" w:type="dxa"/>
            <w:tcBorders>
              <w:top w:val="single" w:sz="4" w:space="0" w:color="000000"/>
              <w:bottom w:val="single" w:sz="4" w:space="0" w:color="000000"/>
            </w:tcBorders>
            <w:shd w:val="clear" w:color="auto" w:fill="auto"/>
          </w:tcPr>
          <w:p w:rsidR="00897C55" w:rsidRPr="00DE475B" w:rsidRDefault="00897C55">
            <w:pPr>
              <w:rPr>
                <w:rFonts w:ascii="Arial" w:hAnsi="Arial" w:cs="Arial"/>
                <w:sz w:val="18"/>
                <w:szCs w:val="18"/>
              </w:rPr>
            </w:pPr>
          </w:p>
        </w:tc>
      </w:tr>
      <w:tr w:rsidR="00D346B4" w:rsidRPr="00DE475B" w:rsidTr="008C7EDB">
        <w:tc>
          <w:tcPr>
            <w:tcW w:w="1117" w:type="dxa"/>
            <w:tcBorders>
              <w:top w:val="single" w:sz="4" w:space="0" w:color="000000"/>
              <w:bottom w:val="single" w:sz="4" w:space="0" w:color="000000"/>
            </w:tcBorders>
            <w:shd w:val="clear" w:color="auto" w:fill="auto"/>
          </w:tcPr>
          <w:p w:rsidR="00D346B4" w:rsidRPr="00DE475B" w:rsidRDefault="00D346B4">
            <w:pPr>
              <w:pStyle w:val="ARHeading1"/>
              <w:rPr>
                <w:sz w:val="18"/>
                <w:szCs w:val="18"/>
              </w:rPr>
            </w:pPr>
            <w:proofErr w:type="spellStart"/>
            <w:r w:rsidRPr="00DE475B">
              <w:rPr>
                <w:sz w:val="18"/>
                <w:szCs w:val="18"/>
              </w:rPr>
              <w:t>NSLA</w:t>
            </w:r>
            <w:proofErr w:type="spellEnd"/>
          </w:p>
        </w:tc>
        <w:tc>
          <w:tcPr>
            <w:tcW w:w="2994" w:type="dxa"/>
            <w:tcBorders>
              <w:top w:val="single" w:sz="4" w:space="0" w:color="000000"/>
              <w:bottom w:val="single" w:sz="4" w:space="0" w:color="000000"/>
            </w:tcBorders>
            <w:shd w:val="clear" w:color="auto" w:fill="auto"/>
          </w:tcPr>
          <w:p w:rsidR="00D346B4" w:rsidRPr="00DE475B" w:rsidRDefault="00D346B4">
            <w:pPr>
              <w:rPr>
                <w:rFonts w:ascii="Arial" w:hAnsi="Arial" w:cs="Arial"/>
                <w:sz w:val="18"/>
                <w:szCs w:val="18"/>
              </w:rPr>
            </w:pPr>
            <w:r w:rsidRPr="00DE475B">
              <w:rPr>
                <w:rFonts w:ascii="Arial" w:hAnsi="Arial" w:cs="Arial"/>
                <w:sz w:val="18"/>
                <w:szCs w:val="18"/>
              </w:rPr>
              <w:t>National and State Libraries</w:t>
            </w:r>
          </w:p>
          <w:p w:rsidR="00D346B4" w:rsidRPr="00DE475B" w:rsidRDefault="00D346B4">
            <w:pPr>
              <w:rPr>
                <w:rFonts w:ascii="Arial" w:hAnsi="Arial" w:cs="Arial"/>
                <w:sz w:val="18"/>
                <w:szCs w:val="18"/>
              </w:rPr>
            </w:pPr>
            <w:r w:rsidRPr="00DE475B">
              <w:rPr>
                <w:rFonts w:ascii="Arial" w:hAnsi="Arial" w:cs="Arial"/>
                <w:sz w:val="18"/>
                <w:szCs w:val="18"/>
              </w:rPr>
              <w:t>Australasia</w:t>
            </w:r>
          </w:p>
        </w:tc>
        <w:tc>
          <w:tcPr>
            <w:tcW w:w="4502" w:type="dxa"/>
            <w:tcBorders>
              <w:top w:val="single" w:sz="4" w:space="0" w:color="000000"/>
              <w:bottom w:val="single" w:sz="4" w:space="0" w:color="000000"/>
            </w:tcBorders>
            <w:shd w:val="clear" w:color="auto" w:fill="auto"/>
          </w:tcPr>
          <w:p w:rsidR="00D346B4" w:rsidRPr="00DE475B" w:rsidRDefault="00D346B4">
            <w:pPr>
              <w:rPr>
                <w:rFonts w:ascii="Arial" w:hAnsi="Arial" w:cs="Arial"/>
                <w:sz w:val="18"/>
                <w:szCs w:val="18"/>
              </w:rPr>
            </w:pPr>
            <w:r w:rsidRPr="00DE475B">
              <w:rPr>
                <w:rFonts w:ascii="Arial" w:hAnsi="Arial" w:cs="Arial"/>
                <w:sz w:val="18"/>
                <w:szCs w:val="18"/>
              </w:rPr>
              <w:t>Australia and New Zealand’s national and state libraries working together</w:t>
            </w:r>
          </w:p>
        </w:tc>
      </w:tr>
      <w:tr w:rsidR="00D346B4" w:rsidRPr="00DE475B" w:rsidTr="008C7EDB">
        <w:tc>
          <w:tcPr>
            <w:tcW w:w="1117" w:type="dxa"/>
            <w:tcBorders>
              <w:top w:val="single" w:sz="4" w:space="0" w:color="000000"/>
              <w:bottom w:val="single" w:sz="4" w:space="0" w:color="000000"/>
            </w:tcBorders>
            <w:shd w:val="clear" w:color="auto" w:fill="auto"/>
          </w:tcPr>
          <w:p w:rsidR="00D346B4" w:rsidRPr="00DE475B" w:rsidRDefault="00D346B4">
            <w:pPr>
              <w:pStyle w:val="ARHeading1"/>
              <w:rPr>
                <w:sz w:val="18"/>
                <w:szCs w:val="18"/>
              </w:rPr>
            </w:pPr>
            <w:r w:rsidRPr="00DE475B">
              <w:rPr>
                <w:sz w:val="18"/>
                <w:szCs w:val="18"/>
              </w:rPr>
              <w:t>OPAL</w:t>
            </w:r>
          </w:p>
        </w:tc>
        <w:tc>
          <w:tcPr>
            <w:tcW w:w="2994" w:type="dxa"/>
            <w:tcBorders>
              <w:top w:val="single" w:sz="4" w:space="0" w:color="000000"/>
              <w:bottom w:val="single" w:sz="4" w:space="0" w:color="000000"/>
            </w:tcBorders>
            <w:shd w:val="clear" w:color="auto" w:fill="auto"/>
          </w:tcPr>
          <w:p w:rsidR="00D346B4" w:rsidRPr="00DE475B" w:rsidRDefault="00D346B4">
            <w:pPr>
              <w:rPr>
                <w:rFonts w:ascii="Arial" w:hAnsi="Arial" w:cs="Arial"/>
                <w:sz w:val="18"/>
                <w:szCs w:val="18"/>
              </w:rPr>
            </w:pPr>
            <w:r w:rsidRPr="00DE475B">
              <w:rPr>
                <w:rFonts w:ascii="Arial" w:hAnsi="Arial" w:cs="Arial"/>
                <w:sz w:val="18"/>
                <w:szCs w:val="18"/>
              </w:rPr>
              <w:t>Online Public Access in Libraries</w:t>
            </w:r>
          </w:p>
        </w:tc>
        <w:tc>
          <w:tcPr>
            <w:tcW w:w="4502" w:type="dxa"/>
            <w:tcBorders>
              <w:top w:val="single" w:sz="4" w:space="0" w:color="000000"/>
              <w:bottom w:val="single" w:sz="4" w:space="0" w:color="000000"/>
            </w:tcBorders>
            <w:shd w:val="clear" w:color="auto" w:fill="auto"/>
          </w:tcPr>
          <w:p w:rsidR="00D346B4" w:rsidRPr="00DE475B" w:rsidRDefault="00D346B4">
            <w:pPr>
              <w:pStyle w:val="ARHeading1"/>
              <w:rPr>
                <w:sz w:val="18"/>
                <w:szCs w:val="18"/>
                <w:shd w:val="clear" w:color="auto" w:fill="00FFFF"/>
              </w:rPr>
            </w:pPr>
            <w:r w:rsidRPr="00DE475B">
              <w:rPr>
                <w:sz w:val="18"/>
                <w:szCs w:val="18"/>
              </w:rPr>
              <w:t>A grants program for public libraries, funded by the Queensland Government and managed by SLQ</w:t>
            </w:r>
          </w:p>
        </w:tc>
      </w:tr>
      <w:tr w:rsidR="007251F7" w:rsidRPr="00DE475B" w:rsidTr="008C7EDB">
        <w:tc>
          <w:tcPr>
            <w:tcW w:w="1117" w:type="dxa"/>
            <w:tcBorders>
              <w:top w:val="single" w:sz="4" w:space="0" w:color="000000"/>
              <w:bottom w:val="single" w:sz="4" w:space="0" w:color="000000"/>
            </w:tcBorders>
            <w:shd w:val="clear" w:color="auto" w:fill="auto"/>
          </w:tcPr>
          <w:p w:rsidR="007251F7" w:rsidRPr="00DE475B" w:rsidRDefault="007251F7">
            <w:pPr>
              <w:pStyle w:val="ARHeading1"/>
              <w:rPr>
                <w:sz w:val="18"/>
                <w:szCs w:val="18"/>
              </w:rPr>
            </w:pPr>
            <w:proofErr w:type="spellStart"/>
            <w:r w:rsidRPr="00DE475B">
              <w:rPr>
                <w:sz w:val="18"/>
                <w:szCs w:val="18"/>
              </w:rPr>
              <w:t>PLAG</w:t>
            </w:r>
            <w:proofErr w:type="spellEnd"/>
          </w:p>
        </w:tc>
        <w:tc>
          <w:tcPr>
            <w:tcW w:w="2994" w:type="dxa"/>
            <w:tcBorders>
              <w:top w:val="single" w:sz="4" w:space="0" w:color="000000"/>
              <w:bottom w:val="single" w:sz="4" w:space="0" w:color="000000"/>
            </w:tcBorders>
            <w:shd w:val="clear" w:color="auto" w:fill="auto"/>
          </w:tcPr>
          <w:p w:rsidR="007251F7" w:rsidRPr="00DE475B" w:rsidRDefault="007251F7">
            <w:pPr>
              <w:rPr>
                <w:rFonts w:ascii="Arial" w:hAnsi="Arial" w:cs="Arial"/>
                <w:iCs/>
                <w:sz w:val="18"/>
                <w:szCs w:val="18"/>
              </w:rPr>
            </w:pPr>
            <w:r w:rsidRPr="00DE475B">
              <w:rPr>
                <w:rFonts w:ascii="Arial" w:hAnsi="Arial" w:cs="Arial"/>
                <w:iCs/>
                <w:sz w:val="18"/>
                <w:szCs w:val="18"/>
              </w:rPr>
              <w:t>Public Libraries Advisory Group</w:t>
            </w:r>
          </w:p>
        </w:tc>
        <w:tc>
          <w:tcPr>
            <w:tcW w:w="4502" w:type="dxa"/>
            <w:tcBorders>
              <w:top w:val="single" w:sz="4" w:space="0" w:color="000000"/>
              <w:bottom w:val="single" w:sz="4" w:space="0" w:color="000000"/>
            </w:tcBorders>
            <w:shd w:val="clear" w:color="auto" w:fill="auto"/>
          </w:tcPr>
          <w:p w:rsidR="007251F7" w:rsidRPr="00DE475B" w:rsidRDefault="007251F7">
            <w:pPr>
              <w:rPr>
                <w:rFonts w:ascii="Arial" w:hAnsi="Arial" w:cs="Arial"/>
                <w:sz w:val="18"/>
                <w:szCs w:val="18"/>
              </w:rPr>
            </w:pPr>
          </w:p>
        </w:tc>
      </w:tr>
      <w:tr w:rsidR="007A54D1" w:rsidRPr="00DE475B" w:rsidTr="008C7EDB">
        <w:tc>
          <w:tcPr>
            <w:tcW w:w="1117" w:type="dxa"/>
            <w:tcBorders>
              <w:top w:val="single" w:sz="4" w:space="0" w:color="000000"/>
              <w:bottom w:val="single" w:sz="4" w:space="0" w:color="000000"/>
            </w:tcBorders>
            <w:shd w:val="clear" w:color="auto" w:fill="auto"/>
          </w:tcPr>
          <w:p w:rsidR="007A54D1" w:rsidRPr="007A54D1" w:rsidRDefault="007A54D1" w:rsidP="007A54D1">
            <w:pPr>
              <w:rPr>
                <w:rFonts w:ascii="Arial" w:hAnsi="Arial" w:cs="Arial"/>
                <w:iCs/>
                <w:sz w:val="18"/>
                <w:szCs w:val="18"/>
              </w:rPr>
            </w:pPr>
            <w:r w:rsidRPr="007A54D1">
              <w:rPr>
                <w:rFonts w:ascii="Arial" w:hAnsi="Arial" w:cs="Arial"/>
                <w:iCs/>
                <w:sz w:val="18"/>
                <w:szCs w:val="18"/>
              </w:rPr>
              <w:t>PPP</w:t>
            </w:r>
          </w:p>
        </w:tc>
        <w:tc>
          <w:tcPr>
            <w:tcW w:w="2994" w:type="dxa"/>
            <w:tcBorders>
              <w:top w:val="single" w:sz="4" w:space="0" w:color="000000"/>
              <w:bottom w:val="single" w:sz="4" w:space="0" w:color="000000"/>
            </w:tcBorders>
            <w:shd w:val="clear" w:color="auto" w:fill="auto"/>
          </w:tcPr>
          <w:p w:rsidR="007A54D1" w:rsidRPr="00DE475B" w:rsidRDefault="007A54D1" w:rsidP="007A54D1">
            <w:pPr>
              <w:rPr>
                <w:rFonts w:ascii="Arial" w:hAnsi="Arial" w:cs="Arial"/>
                <w:iCs/>
                <w:sz w:val="18"/>
                <w:szCs w:val="18"/>
              </w:rPr>
            </w:pPr>
            <w:r w:rsidRPr="007A54D1">
              <w:rPr>
                <w:rFonts w:ascii="Arial" w:hAnsi="Arial" w:cs="Arial"/>
                <w:iCs/>
                <w:sz w:val="18"/>
                <w:szCs w:val="18"/>
              </w:rPr>
              <w:t xml:space="preserve">Personal Performance Planning </w:t>
            </w:r>
          </w:p>
        </w:tc>
        <w:tc>
          <w:tcPr>
            <w:tcW w:w="4502" w:type="dxa"/>
            <w:tcBorders>
              <w:top w:val="single" w:sz="4" w:space="0" w:color="000000"/>
              <w:bottom w:val="single" w:sz="4" w:space="0" w:color="000000"/>
            </w:tcBorders>
            <w:shd w:val="clear" w:color="auto" w:fill="auto"/>
          </w:tcPr>
          <w:p w:rsidR="007A54D1" w:rsidRPr="00DE475B" w:rsidRDefault="007A54D1">
            <w:pPr>
              <w:rPr>
                <w:rFonts w:ascii="Arial" w:hAnsi="Arial" w:cs="Arial"/>
                <w:sz w:val="18"/>
                <w:szCs w:val="18"/>
              </w:rPr>
            </w:pPr>
          </w:p>
        </w:tc>
      </w:tr>
      <w:tr w:rsidR="00D346B4" w:rsidRPr="00DE475B" w:rsidTr="008C7EDB">
        <w:tc>
          <w:tcPr>
            <w:tcW w:w="1117" w:type="dxa"/>
            <w:tcBorders>
              <w:top w:val="single" w:sz="4" w:space="0" w:color="000000"/>
              <w:bottom w:val="single" w:sz="4" w:space="0" w:color="000000"/>
            </w:tcBorders>
            <w:shd w:val="clear" w:color="auto" w:fill="auto"/>
          </w:tcPr>
          <w:p w:rsidR="00D346B4" w:rsidRPr="00DE475B" w:rsidRDefault="000D57C8">
            <w:pPr>
              <w:pStyle w:val="ARHeading1"/>
              <w:rPr>
                <w:i/>
                <w:sz w:val="18"/>
                <w:szCs w:val="18"/>
              </w:rPr>
            </w:pPr>
            <w:r w:rsidRPr="00DE475B">
              <w:rPr>
                <w:i/>
                <w:sz w:val="18"/>
                <w:szCs w:val="18"/>
              </w:rPr>
              <w:t>Q ANZAC 100</w:t>
            </w:r>
          </w:p>
        </w:tc>
        <w:tc>
          <w:tcPr>
            <w:tcW w:w="2994" w:type="dxa"/>
            <w:tcBorders>
              <w:top w:val="single" w:sz="4" w:space="0" w:color="000000"/>
              <w:bottom w:val="single" w:sz="4" w:space="0" w:color="000000"/>
            </w:tcBorders>
            <w:shd w:val="clear" w:color="auto" w:fill="auto"/>
          </w:tcPr>
          <w:p w:rsidR="00D346B4" w:rsidRPr="00DE475B" w:rsidRDefault="00D346B4">
            <w:pPr>
              <w:rPr>
                <w:rFonts w:ascii="Arial" w:hAnsi="Arial" w:cs="Arial"/>
                <w:sz w:val="18"/>
                <w:szCs w:val="18"/>
              </w:rPr>
            </w:pPr>
          </w:p>
        </w:tc>
        <w:tc>
          <w:tcPr>
            <w:tcW w:w="4502" w:type="dxa"/>
            <w:tcBorders>
              <w:top w:val="single" w:sz="4" w:space="0" w:color="000000"/>
              <w:bottom w:val="single" w:sz="4" w:space="0" w:color="000000"/>
            </w:tcBorders>
            <w:shd w:val="clear" w:color="auto" w:fill="auto"/>
          </w:tcPr>
          <w:p w:rsidR="00D346B4" w:rsidRPr="00DE475B" w:rsidRDefault="00197DC0" w:rsidP="00B45640">
            <w:pPr>
              <w:pStyle w:val="ARHeading1"/>
              <w:snapToGrid w:val="0"/>
              <w:rPr>
                <w:sz w:val="18"/>
                <w:szCs w:val="18"/>
              </w:rPr>
            </w:pPr>
            <w:r w:rsidRPr="00DE475B">
              <w:rPr>
                <w:sz w:val="18"/>
                <w:szCs w:val="18"/>
              </w:rPr>
              <w:t>A five-year pro</w:t>
            </w:r>
            <w:r w:rsidR="00064BFA" w:rsidRPr="00DE475B">
              <w:rPr>
                <w:sz w:val="18"/>
                <w:szCs w:val="18"/>
              </w:rPr>
              <w:t>ject</w:t>
            </w:r>
            <w:r w:rsidRPr="00DE475B">
              <w:rPr>
                <w:sz w:val="18"/>
                <w:szCs w:val="18"/>
              </w:rPr>
              <w:t xml:space="preserve"> </w:t>
            </w:r>
            <w:r w:rsidR="00B45640" w:rsidRPr="00DE475B">
              <w:rPr>
                <w:sz w:val="18"/>
                <w:szCs w:val="18"/>
              </w:rPr>
              <w:t xml:space="preserve">of legacy initiatives supported by the Queensland Government to </w:t>
            </w:r>
            <w:r w:rsidRPr="00DE475B">
              <w:rPr>
                <w:sz w:val="18"/>
                <w:szCs w:val="18"/>
              </w:rPr>
              <w:t>commemorat</w:t>
            </w:r>
            <w:r w:rsidR="00B45640" w:rsidRPr="00DE475B">
              <w:rPr>
                <w:sz w:val="18"/>
                <w:szCs w:val="18"/>
              </w:rPr>
              <w:t>e</w:t>
            </w:r>
            <w:r w:rsidRPr="00DE475B">
              <w:rPr>
                <w:sz w:val="18"/>
                <w:szCs w:val="18"/>
              </w:rPr>
              <w:t xml:space="preserve"> the centenary of </w:t>
            </w:r>
            <w:r w:rsidR="003F734B" w:rsidRPr="00DE475B">
              <w:rPr>
                <w:sz w:val="18"/>
                <w:szCs w:val="18"/>
              </w:rPr>
              <w:t>the First World War</w:t>
            </w:r>
            <w:r w:rsidR="00B45640" w:rsidRPr="00DE475B">
              <w:rPr>
                <w:sz w:val="18"/>
                <w:szCs w:val="18"/>
              </w:rPr>
              <w:t xml:space="preserve"> and </w:t>
            </w:r>
            <w:r w:rsidRPr="00DE475B">
              <w:rPr>
                <w:sz w:val="18"/>
                <w:szCs w:val="18"/>
              </w:rPr>
              <w:t xml:space="preserve">Anzac </w:t>
            </w:r>
            <w:r w:rsidR="00802D42" w:rsidRPr="00DE475B">
              <w:rPr>
                <w:sz w:val="18"/>
                <w:szCs w:val="18"/>
              </w:rPr>
              <w:t>history</w:t>
            </w:r>
          </w:p>
        </w:tc>
      </w:tr>
      <w:tr w:rsidR="00F53762" w:rsidRPr="00DE475B" w:rsidTr="008C7EDB">
        <w:tc>
          <w:tcPr>
            <w:tcW w:w="1117" w:type="dxa"/>
            <w:tcBorders>
              <w:top w:val="single" w:sz="4" w:space="0" w:color="000000"/>
              <w:bottom w:val="single" w:sz="4" w:space="0" w:color="000000"/>
            </w:tcBorders>
            <w:shd w:val="clear" w:color="auto" w:fill="auto"/>
          </w:tcPr>
          <w:p w:rsidR="00F53762" w:rsidRPr="00DE475B" w:rsidRDefault="00F53762" w:rsidP="00F41688">
            <w:pPr>
              <w:pStyle w:val="ARHeading1"/>
              <w:rPr>
                <w:sz w:val="18"/>
                <w:szCs w:val="18"/>
              </w:rPr>
            </w:pPr>
            <w:proofErr w:type="spellStart"/>
            <w:r>
              <w:rPr>
                <w:sz w:val="18"/>
                <w:szCs w:val="18"/>
              </w:rPr>
              <w:t>QLA</w:t>
            </w:r>
            <w:proofErr w:type="spellEnd"/>
          </w:p>
        </w:tc>
        <w:tc>
          <w:tcPr>
            <w:tcW w:w="2994" w:type="dxa"/>
            <w:tcBorders>
              <w:top w:val="single" w:sz="4" w:space="0" w:color="000000"/>
              <w:bottom w:val="single" w:sz="4" w:space="0" w:color="000000"/>
            </w:tcBorders>
            <w:shd w:val="clear" w:color="auto" w:fill="auto"/>
          </w:tcPr>
          <w:p w:rsidR="00F53762" w:rsidRPr="00DE475B" w:rsidRDefault="00F53762" w:rsidP="00F41688">
            <w:pPr>
              <w:rPr>
                <w:rFonts w:ascii="Arial" w:hAnsi="Arial" w:cs="Arial"/>
                <w:sz w:val="18"/>
                <w:szCs w:val="18"/>
              </w:rPr>
            </w:pPr>
            <w:r w:rsidRPr="00F53762">
              <w:rPr>
                <w:rFonts w:ascii="Arial" w:hAnsi="Arial" w:cs="Arial"/>
                <w:sz w:val="18"/>
                <w:szCs w:val="18"/>
              </w:rPr>
              <w:t>Queensland Literary Awards</w:t>
            </w:r>
          </w:p>
        </w:tc>
        <w:tc>
          <w:tcPr>
            <w:tcW w:w="4502" w:type="dxa"/>
            <w:tcBorders>
              <w:top w:val="single" w:sz="4" w:space="0" w:color="000000"/>
              <w:bottom w:val="single" w:sz="4" w:space="0" w:color="000000"/>
            </w:tcBorders>
            <w:shd w:val="clear" w:color="auto" w:fill="auto"/>
          </w:tcPr>
          <w:p w:rsidR="00F53762" w:rsidRPr="00DE475B" w:rsidRDefault="00F53762">
            <w:pPr>
              <w:pStyle w:val="ARHeading1"/>
              <w:rPr>
                <w:sz w:val="18"/>
                <w:szCs w:val="18"/>
              </w:rPr>
            </w:pPr>
          </w:p>
        </w:tc>
      </w:tr>
      <w:tr w:rsidR="000D57C8" w:rsidRPr="00DE475B" w:rsidTr="008C7EDB">
        <w:tc>
          <w:tcPr>
            <w:tcW w:w="1117" w:type="dxa"/>
            <w:tcBorders>
              <w:top w:val="single" w:sz="4" w:space="0" w:color="000000"/>
              <w:bottom w:val="single" w:sz="4" w:space="0" w:color="000000"/>
            </w:tcBorders>
            <w:shd w:val="clear" w:color="auto" w:fill="auto"/>
          </w:tcPr>
          <w:p w:rsidR="000D57C8" w:rsidRPr="00DE475B" w:rsidRDefault="000D57C8" w:rsidP="00F41688">
            <w:pPr>
              <w:pStyle w:val="ARHeading1"/>
              <w:rPr>
                <w:sz w:val="18"/>
                <w:szCs w:val="18"/>
              </w:rPr>
            </w:pPr>
            <w:proofErr w:type="spellStart"/>
            <w:r w:rsidRPr="00DE475B">
              <w:rPr>
                <w:sz w:val="18"/>
                <w:szCs w:val="18"/>
              </w:rPr>
              <w:t>QUT</w:t>
            </w:r>
            <w:proofErr w:type="spellEnd"/>
          </w:p>
        </w:tc>
        <w:tc>
          <w:tcPr>
            <w:tcW w:w="2994" w:type="dxa"/>
            <w:tcBorders>
              <w:top w:val="single" w:sz="4" w:space="0" w:color="000000"/>
              <w:bottom w:val="single" w:sz="4" w:space="0" w:color="000000"/>
            </w:tcBorders>
            <w:shd w:val="clear" w:color="auto" w:fill="auto"/>
          </w:tcPr>
          <w:p w:rsidR="000D57C8" w:rsidRPr="00DE475B" w:rsidRDefault="000D57C8" w:rsidP="00F41688">
            <w:pPr>
              <w:rPr>
                <w:rFonts w:ascii="Arial" w:hAnsi="Arial" w:cs="Arial"/>
                <w:sz w:val="18"/>
                <w:szCs w:val="18"/>
              </w:rPr>
            </w:pPr>
            <w:r w:rsidRPr="00DE475B">
              <w:rPr>
                <w:rFonts w:ascii="Arial" w:hAnsi="Arial" w:cs="Arial"/>
                <w:sz w:val="18"/>
                <w:szCs w:val="18"/>
              </w:rPr>
              <w:t>Queensland University of Technology</w:t>
            </w:r>
          </w:p>
        </w:tc>
        <w:tc>
          <w:tcPr>
            <w:tcW w:w="4502" w:type="dxa"/>
            <w:tcBorders>
              <w:top w:val="single" w:sz="4" w:space="0" w:color="000000"/>
              <w:bottom w:val="single" w:sz="4" w:space="0" w:color="000000"/>
            </w:tcBorders>
            <w:shd w:val="clear" w:color="auto" w:fill="auto"/>
          </w:tcPr>
          <w:p w:rsidR="000D57C8" w:rsidRPr="00DE475B" w:rsidRDefault="000D57C8">
            <w:pPr>
              <w:pStyle w:val="ARHeading1"/>
              <w:rPr>
                <w:sz w:val="18"/>
                <w:szCs w:val="18"/>
              </w:rPr>
            </w:pPr>
          </w:p>
        </w:tc>
      </w:tr>
      <w:tr w:rsidR="00C57131" w:rsidRPr="00DE475B" w:rsidTr="008C7EDB">
        <w:tc>
          <w:tcPr>
            <w:tcW w:w="1117" w:type="dxa"/>
            <w:tcBorders>
              <w:top w:val="single" w:sz="4" w:space="0" w:color="000000"/>
              <w:bottom w:val="single" w:sz="4" w:space="0" w:color="000000"/>
            </w:tcBorders>
            <w:shd w:val="clear" w:color="auto" w:fill="auto"/>
          </w:tcPr>
          <w:p w:rsidR="00C57131" w:rsidRPr="00DE475B" w:rsidRDefault="00DE22AF" w:rsidP="00DE22AF">
            <w:pPr>
              <w:rPr>
                <w:rFonts w:ascii="Arial" w:hAnsi="Arial" w:cs="Arial"/>
                <w:sz w:val="18"/>
                <w:szCs w:val="18"/>
              </w:rPr>
            </w:pPr>
            <w:proofErr w:type="spellStart"/>
            <w:r w:rsidRPr="00DE475B">
              <w:rPr>
                <w:rFonts w:ascii="Arial" w:hAnsi="Arial" w:cs="Arial"/>
                <w:sz w:val="18"/>
                <w:szCs w:val="18"/>
              </w:rPr>
              <w:t>RLQ</w:t>
            </w:r>
            <w:proofErr w:type="spellEnd"/>
          </w:p>
        </w:tc>
        <w:tc>
          <w:tcPr>
            <w:tcW w:w="2994" w:type="dxa"/>
            <w:tcBorders>
              <w:top w:val="single" w:sz="4" w:space="0" w:color="000000"/>
              <w:bottom w:val="single" w:sz="4" w:space="0" w:color="000000"/>
            </w:tcBorders>
            <w:shd w:val="clear" w:color="auto" w:fill="auto"/>
          </w:tcPr>
          <w:p w:rsidR="00C57131" w:rsidRPr="00DE475B" w:rsidRDefault="00DE22AF" w:rsidP="00DE22AF">
            <w:pPr>
              <w:rPr>
                <w:rFonts w:ascii="Arial" w:hAnsi="Arial" w:cs="Arial"/>
                <w:sz w:val="18"/>
                <w:szCs w:val="18"/>
              </w:rPr>
            </w:pPr>
            <w:r w:rsidRPr="00DE475B">
              <w:rPr>
                <w:rFonts w:ascii="Arial" w:hAnsi="Arial" w:cs="Arial"/>
                <w:sz w:val="18"/>
                <w:szCs w:val="18"/>
              </w:rPr>
              <w:t>Rural Libraries Queensland</w:t>
            </w:r>
          </w:p>
        </w:tc>
        <w:tc>
          <w:tcPr>
            <w:tcW w:w="4502" w:type="dxa"/>
            <w:tcBorders>
              <w:top w:val="single" w:sz="4" w:space="0" w:color="000000"/>
              <w:bottom w:val="single" w:sz="4" w:space="0" w:color="000000"/>
            </w:tcBorders>
            <w:shd w:val="clear" w:color="auto" w:fill="auto"/>
          </w:tcPr>
          <w:p w:rsidR="00C57131" w:rsidRPr="00DE475B" w:rsidRDefault="00C57131" w:rsidP="00DE22AF">
            <w:pPr>
              <w:rPr>
                <w:rFonts w:ascii="Arial" w:hAnsi="Arial" w:cs="Arial"/>
                <w:sz w:val="18"/>
                <w:szCs w:val="18"/>
              </w:rPr>
            </w:pPr>
          </w:p>
        </w:tc>
      </w:tr>
    </w:tbl>
    <w:p w:rsidR="00022EEF" w:rsidRPr="00DE475B" w:rsidRDefault="00022EEF" w:rsidP="00022EEF">
      <w:pPr>
        <w:ind w:left="1276" w:hanging="1276"/>
        <w:rPr>
          <w:rFonts w:ascii="Arial" w:hAnsi="Arial" w:cs="Arial"/>
          <w:sz w:val="16"/>
          <w:szCs w:val="16"/>
        </w:rPr>
      </w:pPr>
    </w:p>
    <w:p w:rsidR="00022EEF" w:rsidRPr="00DE475B" w:rsidRDefault="00022EEF" w:rsidP="00022EEF">
      <w:pPr>
        <w:ind w:left="1276" w:hanging="1276"/>
        <w:rPr>
          <w:rFonts w:ascii="Arial" w:hAnsi="Arial" w:cs="Arial"/>
          <w:sz w:val="16"/>
          <w:szCs w:val="16"/>
        </w:rPr>
      </w:pPr>
    </w:p>
    <w:p w:rsidR="00022EEF" w:rsidRPr="00DE475B" w:rsidRDefault="00022EEF" w:rsidP="00022EEF">
      <w:pPr>
        <w:ind w:left="1276" w:hanging="1276"/>
        <w:rPr>
          <w:rFonts w:ascii="Arial" w:hAnsi="Arial" w:cs="Arial"/>
          <w:sz w:val="16"/>
          <w:szCs w:val="16"/>
        </w:rPr>
      </w:pPr>
    </w:p>
    <w:p w:rsidR="00E45F8D" w:rsidRPr="00DE475B" w:rsidRDefault="00E45F8D" w:rsidP="00E45F8D">
      <w:pPr>
        <w:pStyle w:val="ARHeading1"/>
        <w:pageBreakBefore/>
        <w:spacing w:after="120"/>
        <w:rPr>
          <w:b/>
          <w:sz w:val="18"/>
          <w:szCs w:val="18"/>
        </w:rPr>
      </w:pPr>
      <w:r w:rsidRPr="0057480B">
        <w:lastRenderedPageBreak/>
        <w:t>Glossary</w:t>
      </w:r>
    </w:p>
    <w:tbl>
      <w:tblPr>
        <w:tblW w:w="8613" w:type="dxa"/>
        <w:tblInd w:w="108" w:type="dxa"/>
        <w:tblLayout w:type="fixed"/>
        <w:tblCellMar>
          <w:top w:w="28" w:type="dxa"/>
          <w:bottom w:w="28" w:type="dxa"/>
        </w:tblCellMar>
        <w:tblLook w:val="0000" w:firstRow="0" w:lastRow="0" w:firstColumn="0" w:lastColumn="0" w:noHBand="0" w:noVBand="0"/>
      </w:tblPr>
      <w:tblGrid>
        <w:gridCol w:w="1117"/>
        <w:gridCol w:w="2994"/>
        <w:gridCol w:w="4502"/>
      </w:tblGrid>
      <w:tr w:rsidR="0008329F" w:rsidRPr="00DE475B" w:rsidTr="0051632B">
        <w:tc>
          <w:tcPr>
            <w:tcW w:w="1117" w:type="dxa"/>
            <w:shd w:val="clear" w:color="auto" w:fill="BFBFBF"/>
          </w:tcPr>
          <w:p w:rsidR="0008329F" w:rsidRPr="00DE475B" w:rsidRDefault="0008329F" w:rsidP="0051632B">
            <w:pPr>
              <w:pStyle w:val="ARHeading1"/>
              <w:rPr>
                <w:b/>
                <w:sz w:val="18"/>
                <w:szCs w:val="18"/>
              </w:rPr>
            </w:pPr>
            <w:r w:rsidRPr="00DE475B">
              <w:rPr>
                <w:b/>
                <w:sz w:val="18"/>
                <w:szCs w:val="18"/>
              </w:rPr>
              <w:t>Term</w:t>
            </w:r>
          </w:p>
        </w:tc>
        <w:tc>
          <w:tcPr>
            <w:tcW w:w="2994" w:type="dxa"/>
            <w:shd w:val="clear" w:color="auto" w:fill="BFBFBF"/>
          </w:tcPr>
          <w:p w:rsidR="0008329F" w:rsidRPr="00DE475B" w:rsidRDefault="0008329F" w:rsidP="0051632B">
            <w:pPr>
              <w:pStyle w:val="ARHeading1"/>
              <w:rPr>
                <w:b/>
                <w:sz w:val="18"/>
                <w:szCs w:val="18"/>
              </w:rPr>
            </w:pPr>
            <w:r w:rsidRPr="00DE475B">
              <w:rPr>
                <w:b/>
                <w:sz w:val="18"/>
                <w:szCs w:val="18"/>
              </w:rPr>
              <w:t>Meaning</w:t>
            </w:r>
          </w:p>
        </w:tc>
        <w:tc>
          <w:tcPr>
            <w:tcW w:w="4502" w:type="dxa"/>
            <w:shd w:val="clear" w:color="auto" w:fill="BFBFBF"/>
          </w:tcPr>
          <w:p w:rsidR="0008329F" w:rsidRPr="00DE475B" w:rsidRDefault="0008329F" w:rsidP="0051632B">
            <w:pPr>
              <w:rPr>
                <w:sz w:val="18"/>
                <w:szCs w:val="18"/>
              </w:rPr>
            </w:pPr>
            <w:r w:rsidRPr="00DE475B">
              <w:rPr>
                <w:rFonts w:ascii="Arial" w:hAnsi="Arial" w:cs="Arial"/>
                <w:b/>
                <w:sz w:val="18"/>
                <w:szCs w:val="18"/>
              </w:rPr>
              <w:t>Further information</w:t>
            </w:r>
          </w:p>
        </w:tc>
      </w:tr>
      <w:tr w:rsidR="0008329F" w:rsidRPr="00DE475B" w:rsidTr="0051632B">
        <w:tc>
          <w:tcPr>
            <w:tcW w:w="1117" w:type="dxa"/>
            <w:tcBorders>
              <w:top w:val="single" w:sz="4" w:space="0" w:color="000000"/>
              <w:bottom w:val="single" w:sz="4" w:space="0" w:color="000000"/>
            </w:tcBorders>
            <w:shd w:val="clear" w:color="auto" w:fill="auto"/>
          </w:tcPr>
          <w:p w:rsidR="0008329F" w:rsidRPr="00DE475B" w:rsidRDefault="0008329F" w:rsidP="0051632B">
            <w:pPr>
              <w:pStyle w:val="ARHeading1"/>
              <w:rPr>
                <w:sz w:val="18"/>
                <w:szCs w:val="18"/>
              </w:rPr>
            </w:pPr>
            <w:proofErr w:type="spellStart"/>
            <w:r>
              <w:rPr>
                <w:sz w:val="18"/>
                <w:szCs w:val="18"/>
              </w:rPr>
              <w:t>SACE</w:t>
            </w:r>
            <w:proofErr w:type="spellEnd"/>
          </w:p>
        </w:tc>
        <w:tc>
          <w:tcPr>
            <w:tcW w:w="2994" w:type="dxa"/>
            <w:tcBorders>
              <w:top w:val="single" w:sz="4" w:space="0" w:color="000000"/>
              <w:bottom w:val="single" w:sz="4" w:space="0" w:color="000000"/>
            </w:tcBorders>
            <w:shd w:val="clear" w:color="auto" w:fill="auto"/>
          </w:tcPr>
          <w:p w:rsidR="0008329F" w:rsidRPr="00DE475B" w:rsidRDefault="0008329F" w:rsidP="0051632B">
            <w:pPr>
              <w:rPr>
                <w:rFonts w:ascii="Arial" w:hAnsi="Arial" w:cs="Arial"/>
                <w:sz w:val="18"/>
                <w:szCs w:val="18"/>
              </w:rPr>
            </w:pPr>
            <w:r w:rsidRPr="00B85A78">
              <w:rPr>
                <w:rFonts w:ascii="Arial" w:hAnsi="Arial" w:cs="Arial"/>
                <w:sz w:val="18"/>
                <w:szCs w:val="18"/>
              </w:rPr>
              <w:t>Spirit of Anzac Centenary Experience</w:t>
            </w:r>
          </w:p>
        </w:tc>
        <w:tc>
          <w:tcPr>
            <w:tcW w:w="4502" w:type="dxa"/>
            <w:tcBorders>
              <w:top w:val="single" w:sz="4" w:space="0" w:color="000000"/>
              <w:bottom w:val="single" w:sz="4" w:space="0" w:color="000000"/>
            </w:tcBorders>
            <w:shd w:val="clear" w:color="auto" w:fill="auto"/>
          </w:tcPr>
          <w:p w:rsidR="0008329F" w:rsidRPr="00DE475B" w:rsidRDefault="0008329F" w:rsidP="0051632B">
            <w:pPr>
              <w:pStyle w:val="ARHeading1"/>
              <w:snapToGrid w:val="0"/>
              <w:rPr>
                <w:sz w:val="18"/>
                <w:szCs w:val="18"/>
              </w:rPr>
            </w:pPr>
            <w:r w:rsidRPr="00FC31FE">
              <w:rPr>
                <w:sz w:val="18"/>
                <w:szCs w:val="18"/>
              </w:rPr>
              <w:t>A travelling exhibition that tells the story of Australia’s involvement in the First World War</w:t>
            </w:r>
          </w:p>
        </w:tc>
      </w:tr>
      <w:tr w:rsidR="0008329F" w:rsidRPr="00DE475B" w:rsidTr="0051632B">
        <w:tc>
          <w:tcPr>
            <w:tcW w:w="1117" w:type="dxa"/>
            <w:tcBorders>
              <w:top w:val="single" w:sz="4" w:space="0" w:color="000000"/>
              <w:bottom w:val="single" w:sz="4" w:space="0" w:color="000000"/>
            </w:tcBorders>
            <w:shd w:val="clear" w:color="auto" w:fill="auto"/>
          </w:tcPr>
          <w:p w:rsidR="0008329F" w:rsidRPr="00DE475B" w:rsidRDefault="0008329F" w:rsidP="0051632B">
            <w:pPr>
              <w:pStyle w:val="ARHeading1"/>
              <w:rPr>
                <w:sz w:val="18"/>
                <w:szCs w:val="18"/>
              </w:rPr>
            </w:pPr>
            <w:proofErr w:type="spellStart"/>
            <w:r w:rsidRPr="00DE475B">
              <w:rPr>
                <w:sz w:val="18"/>
                <w:szCs w:val="18"/>
              </w:rPr>
              <w:t>SDS</w:t>
            </w:r>
            <w:proofErr w:type="spellEnd"/>
          </w:p>
        </w:tc>
        <w:tc>
          <w:tcPr>
            <w:tcW w:w="2994" w:type="dxa"/>
            <w:tcBorders>
              <w:top w:val="single" w:sz="4" w:space="0" w:color="000000"/>
              <w:bottom w:val="single" w:sz="4" w:space="0" w:color="000000"/>
            </w:tcBorders>
            <w:shd w:val="clear" w:color="auto" w:fill="auto"/>
          </w:tcPr>
          <w:p w:rsidR="0008329F" w:rsidRPr="00DE475B" w:rsidRDefault="0008329F" w:rsidP="0051632B">
            <w:pPr>
              <w:rPr>
                <w:rFonts w:ascii="Arial" w:hAnsi="Arial" w:cs="Arial"/>
                <w:sz w:val="18"/>
                <w:szCs w:val="18"/>
              </w:rPr>
            </w:pPr>
            <w:r w:rsidRPr="00DE475B">
              <w:rPr>
                <w:rFonts w:ascii="Arial" w:hAnsi="Arial" w:cs="Arial"/>
                <w:sz w:val="18"/>
                <w:szCs w:val="18"/>
              </w:rPr>
              <w:t>Service Delivery Statements</w:t>
            </w:r>
          </w:p>
        </w:tc>
        <w:tc>
          <w:tcPr>
            <w:tcW w:w="4502" w:type="dxa"/>
            <w:tcBorders>
              <w:top w:val="single" w:sz="4" w:space="0" w:color="000000"/>
              <w:bottom w:val="single" w:sz="4" w:space="0" w:color="000000"/>
            </w:tcBorders>
            <w:shd w:val="clear" w:color="auto" w:fill="auto"/>
          </w:tcPr>
          <w:p w:rsidR="0008329F" w:rsidRPr="00DE475B" w:rsidRDefault="0008329F" w:rsidP="0051632B">
            <w:pPr>
              <w:pStyle w:val="ARHeading1"/>
              <w:snapToGrid w:val="0"/>
              <w:rPr>
                <w:sz w:val="18"/>
                <w:szCs w:val="18"/>
              </w:rPr>
            </w:pPr>
          </w:p>
        </w:tc>
      </w:tr>
      <w:tr w:rsidR="0008329F" w:rsidRPr="00DE475B" w:rsidTr="0051632B">
        <w:tc>
          <w:tcPr>
            <w:tcW w:w="1117" w:type="dxa"/>
            <w:tcBorders>
              <w:top w:val="single" w:sz="4" w:space="0" w:color="000000"/>
              <w:bottom w:val="single" w:sz="4" w:space="0" w:color="000000"/>
            </w:tcBorders>
            <w:shd w:val="clear" w:color="auto" w:fill="auto"/>
          </w:tcPr>
          <w:p w:rsidR="0008329F" w:rsidRPr="008738FE" w:rsidRDefault="0008329F" w:rsidP="0051632B">
            <w:pPr>
              <w:rPr>
                <w:rFonts w:ascii="Arial" w:hAnsi="Arial" w:cs="Arial"/>
                <w:sz w:val="18"/>
                <w:szCs w:val="18"/>
              </w:rPr>
            </w:pPr>
            <w:proofErr w:type="spellStart"/>
            <w:r w:rsidRPr="008738FE">
              <w:rPr>
                <w:rFonts w:ascii="Arial" w:hAnsi="Arial" w:cs="Arial"/>
                <w:sz w:val="18"/>
                <w:szCs w:val="18"/>
              </w:rPr>
              <w:t>SLAs</w:t>
            </w:r>
            <w:proofErr w:type="spellEnd"/>
          </w:p>
        </w:tc>
        <w:tc>
          <w:tcPr>
            <w:tcW w:w="2994" w:type="dxa"/>
            <w:tcBorders>
              <w:top w:val="single" w:sz="4" w:space="0" w:color="000000"/>
              <w:bottom w:val="single" w:sz="4" w:space="0" w:color="000000"/>
            </w:tcBorders>
            <w:shd w:val="clear" w:color="auto" w:fill="auto"/>
          </w:tcPr>
          <w:p w:rsidR="0008329F" w:rsidRPr="00DE475B" w:rsidRDefault="0008329F" w:rsidP="0051632B">
            <w:pPr>
              <w:rPr>
                <w:rFonts w:ascii="Arial" w:hAnsi="Arial" w:cs="Arial"/>
                <w:sz w:val="18"/>
                <w:szCs w:val="18"/>
              </w:rPr>
            </w:pPr>
            <w:r w:rsidRPr="008738FE">
              <w:rPr>
                <w:rFonts w:ascii="Arial" w:hAnsi="Arial" w:cs="Arial"/>
                <w:sz w:val="18"/>
                <w:szCs w:val="18"/>
              </w:rPr>
              <w:t>Service Level Agreements</w:t>
            </w:r>
          </w:p>
        </w:tc>
        <w:tc>
          <w:tcPr>
            <w:tcW w:w="4502" w:type="dxa"/>
            <w:tcBorders>
              <w:top w:val="single" w:sz="4" w:space="0" w:color="000000"/>
              <w:bottom w:val="single" w:sz="4" w:space="0" w:color="000000"/>
            </w:tcBorders>
            <w:shd w:val="clear" w:color="auto" w:fill="auto"/>
          </w:tcPr>
          <w:p w:rsidR="0008329F" w:rsidRPr="00DE475B" w:rsidRDefault="0008329F" w:rsidP="0051632B">
            <w:pPr>
              <w:pStyle w:val="ARHeading1"/>
              <w:snapToGrid w:val="0"/>
              <w:rPr>
                <w:sz w:val="18"/>
                <w:szCs w:val="18"/>
              </w:rPr>
            </w:pPr>
          </w:p>
        </w:tc>
      </w:tr>
      <w:tr w:rsidR="0008329F" w:rsidRPr="00DE475B" w:rsidTr="0051632B">
        <w:tc>
          <w:tcPr>
            <w:tcW w:w="1117" w:type="dxa"/>
            <w:tcBorders>
              <w:top w:val="single" w:sz="4" w:space="0" w:color="000000"/>
              <w:bottom w:val="single" w:sz="4" w:space="0" w:color="000000"/>
            </w:tcBorders>
            <w:shd w:val="clear" w:color="auto" w:fill="auto"/>
          </w:tcPr>
          <w:p w:rsidR="0008329F" w:rsidRPr="00DE475B" w:rsidRDefault="0008329F" w:rsidP="0051632B">
            <w:pPr>
              <w:pStyle w:val="ARHeading1"/>
              <w:rPr>
                <w:sz w:val="18"/>
                <w:szCs w:val="18"/>
              </w:rPr>
            </w:pPr>
            <w:r w:rsidRPr="00DE475B">
              <w:rPr>
                <w:sz w:val="18"/>
                <w:szCs w:val="18"/>
              </w:rPr>
              <w:t>SLQ</w:t>
            </w:r>
          </w:p>
        </w:tc>
        <w:tc>
          <w:tcPr>
            <w:tcW w:w="2994" w:type="dxa"/>
            <w:tcBorders>
              <w:top w:val="single" w:sz="4" w:space="0" w:color="000000"/>
              <w:bottom w:val="single" w:sz="4" w:space="0" w:color="000000"/>
            </w:tcBorders>
            <w:shd w:val="clear" w:color="auto" w:fill="auto"/>
          </w:tcPr>
          <w:p w:rsidR="0008329F" w:rsidRPr="00DE475B" w:rsidRDefault="0008329F" w:rsidP="0051632B">
            <w:pPr>
              <w:rPr>
                <w:rFonts w:ascii="Arial" w:hAnsi="Arial" w:cs="Arial"/>
                <w:sz w:val="18"/>
                <w:szCs w:val="18"/>
              </w:rPr>
            </w:pPr>
            <w:r w:rsidRPr="00DE475B">
              <w:rPr>
                <w:rFonts w:ascii="Arial" w:hAnsi="Arial" w:cs="Arial"/>
                <w:sz w:val="18"/>
                <w:szCs w:val="18"/>
              </w:rPr>
              <w:t>State Library of Queensland</w:t>
            </w:r>
          </w:p>
        </w:tc>
        <w:tc>
          <w:tcPr>
            <w:tcW w:w="4502" w:type="dxa"/>
            <w:tcBorders>
              <w:top w:val="single" w:sz="4" w:space="0" w:color="000000"/>
              <w:bottom w:val="single" w:sz="4" w:space="0" w:color="000000"/>
            </w:tcBorders>
            <w:shd w:val="clear" w:color="auto" w:fill="auto"/>
          </w:tcPr>
          <w:p w:rsidR="0008329F" w:rsidRPr="00DE475B" w:rsidRDefault="0008329F" w:rsidP="0051632B">
            <w:pPr>
              <w:pStyle w:val="ARHeading1"/>
              <w:snapToGrid w:val="0"/>
              <w:rPr>
                <w:sz w:val="18"/>
                <w:szCs w:val="18"/>
              </w:rPr>
            </w:pPr>
          </w:p>
        </w:tc>
      </w:tr>
      <w:tr w:rsidR="0008329F" w:rsidRPr="00DE475B" w:rsidTr="0051632B">
        <w:tc>
          <w:tcPr>
            <w:tcW w:w="1117" w:type="dxa"/>
            <w:tcBorders>
              <w:top w:val="single" w:sz="4" w:space="0" w:color="000000"/>
              <w:bottom w:val="single" w:sz="4" w:space="0" w:color="000000"/>
            </w:tcBorders>
            <w:shd w:val="clear" w:color="auto" w:fill="auto"/>
          </w:tcPr>
          <w:p w:rsidR="0008329F" w:rsidRPr="00810A40" w:rsidRDefault="0008329F" w:rsidP="0051632B">
            <w:pPr>
              <w:rPr>
                <w:rFonts w:ascii="Arial" w:hAnsi="Arial" w:cs="Arial"/>
                <w:sz w:val="18"/>
                <w:szCs w:val="18"/>
              </w:rPr>
            </w:pPr>
            <w:proofErr w:type="spellStart"/>
            <w:r w:rsidRPr="00810A40">
              <w:rPr>
                <w:rFonts w:ascii="Arial" w:hAnsi="Arial" w:cs="Arial"/>
                <w:sz w:val="18"/>
                <w:szCs w:val="18"/>
              </w:rPr>
              <w:t>SRC</w:t>
            </w:r>
            <w:proofErr w:type="spellEnd"/>
          </w:p>
        </w:tc>
        <w:tc>
          <w:tcPr>
            <w:tcW w:w="2994" w:type="dxa"/>
            <w:tcBorders>
              <w:top w:val="single" w:sz="4" w:space="0" w:color="000000"/>
              <w:bottom w:val="single" w:sz="4" w:space="0" w:color="000000"/>
            </w:tcBorders>
            <w:shd w:val="clear" w:color="auto" w:fill="auto"/>
          </w:tcPr>
          <w:p w:rsidR="0008329F" w:rsidRPr="00DE475B" w:rsidRDefault="0008329F" w:rsidP="0051632B">
            <w:pPr>
              <w:rPr>
                <w:rFonts w:ascii="Arial" w:hAnsi="Arial" w:cs="Arial"/>
                <w:sz w:val="18"/>
                <w:szCs w:val="18"/>
              </w:rPr>
            </w:pPr>
            <w:r w:rsidRPr="00810A40">
              <w:rPr>
                <w:rFonts w:ascii="Arial" w:hAnsi="Arial" w:cs="Arial"/>
                <w:sz w:val="18"/>
                <w:szCs w:val="18"/>
              </w:rPr>
              <w:t>Summer Reading Club</w:t>
            </w:r>
          </w:p>
        </w:tc>
        <w:tc>
          <w:tcPr>
            <w:tcW w:w="4502" w:type="dxa"/>
            <w:tcBorders>
              <w:top w:val="single" w:sz="4" w:space="0" w:color="000000"/>
              <w:bottom w:val="single" w:sz="4" w:space="0" w:color="000000"/>
            </w:tcBorders>
            <w:shd w:val="clear" w:color="auto" w:fill="auto"/>
          </w:tcPr>
          <w:p w:rsidR="0008329F" w:rsidRPr="00DE475B" w:rsidRDefault="0008329F" w:rsidP="0051632B">
            <w:pPr>
              <w:pStyle w:val="ARHeading1"/>
              <w:snapToGrid w:val="0"/>
              <w:rPr>
                <w:sz w:val="18"/>
                <w:szCs w:val="18"/>
              </w:rPr>
            </w:pPr>
            <w:r>
              <w:rPr>
                <w:sz w:val="18"/>
                <w:szCs w:val="18"/>
              </w:rPr>
              <w:t>A summer holiday program for children, coordinated by SLQ and delivered through libraries across Australia</w:t>
            </w:r>
          </w:p>
        </w:tc>
      </w:tr>
      <w:tr w:rsidR="0008329F" w:rsidRPr="00DE475B" w:rsidTr="0051632B">
        <w:tc>
          <w:tcPr>
            <w:tcW w:w="1117" w:type="dxa"/>
            <w:tcBorders>
              <w:top w:val="single" w:sz="4" w:space="0" w:color="000000"/>
              <w:bottom w:val="single" w:sz="4" w:space="0" w:color="000000"/>
            </w:tcBorders>
            <w:shd w:val="clear" w:color="auto" w:fill="auto"/>
          </w:tcPr>
          <w:p w:rsidR="0008329F" w:rsidRPr="00DE475B" w:rsidRDefault="0008329F" w:rsidP="0051632B">
            <w:pPr>
              <w:pStyle w:val="ARHeading1"/>
              <w:rPr>
                <w:sz w:val="18"/>
                <w:szCs w:val="18"/>
              </w:rPr>
            </w:pPr>
            <w:r w:rsidRPr="00DE475B">
              <w:rPr>
                <w:sz w:val="18"/>
                <w:szCs w:val="18"/>
              </w:rPr>
              <w:t>STEM</w:t>
            </w:r>
          </w:p>
        </w:tc>
        <w:tc>
          <w:tcPr>
            <w:tcW w:w="2994" w:type="dxa"/>
            <w:tcBorders>
              <w:top w:val="single" w:sz="4" w:space="0" w:color="000000"/>
              <w:bottom w:val="single" w:sz="4" w:space="0" w:color="000000"/>
            </w:tcBorders>
            <w:shd w:val="clear" w:color="auto" w:fill="auto"/>
          </w:tcPr>
          <w:p w:rsidR="0008329F" w:rsidRPr="00DE475B" w:rsidRDefault="0008329F" w:rsidP="0051632B">
            <w:pPr>
              <w:rPr>
                <w:rFonts w:ascii="Arial" w:hAnsi="Arial" w:cs="Arial"/>
                <w:sz w:val="18"/>
                <w:szCs w:val="18"/>
              </w:rPr>
            </w:pPr>
            <w:r w:rsidRPr="00DE475B">
              <w:rPr>
                <w:rFonts w:ascii="Arial" w:hAnsi="Arial" w:cs="Arial"/>
                <w:sz w:val="18"/>
                <w:szCs w:val="18"/>
              </w:rPr>
              <w:t>Science, Technology, Engineering and Mathematics</w:t>
            </w:r>
          </w:p>
        </w:tc>
        <w:tc>
          <w:tcPr>
            <w:tcW w:w="4502" w:type="dxa"/>
            <w:tcBorders>
              <w:top w:val="single" w:sz="4" w:space="0" w:color="000000"/>
              <w:bottom w:val="single" w:sz="4" w:space="0" w:color="000000"/>
            </w:tcBorders>
            <w:shd w:val="clear" w:color="auto" w:fill="auto"/>
          </w:tcPr>
          <w:p w:rsidR="0008329F" w:rsidRPr="00DE475B" w:rsidRDefault="0008329F" w:rsidP="0051632B">
            <w:pPr>
              <w:pStyle w:val="ARHeading1"/>
              <w:snapToGrid w:val="0"/>
              <w:rPr>
                <w:sz w:val="18"/>
                <w:szCs w:val="18"/>
              </w:rPr>
            </w:pPr>
            <w:r w:rsidRPr="00DE475B">
              <w:rPr>
                <w:sz w:val="18"/>
                <w:szCs w:val="18"/>
              </w:rPr>
              <w:t>Also STEAM — Science, Technology, Engineering, Arts and Mathematics</w:t>
            </w:r>
          </w:p>
        </w:tc>
      </w:tr>
      <w:tr w:rsidR="0008329F" w:rsidRPr="00DE475B" w:rsidTr="0051632B">
        <w:tc>
          <w:tcPr>
            <w:tcW w:w="1117" w:type="dxa"/>
            <w:tcBorders>
              <w:top w:val="single" w:sz="4" w:space="0" w:color="000000"/>
              <w:bottom w:val="single" w:sz="4" w:space="0" w:color="000000"/>
            </w:tcBorders>
            <w:shd w:val="clear" w:color="auto" w:fill="auto"/>
          </w:tcPr>
          <w:p w:rsidR="0008329F" w:rsidRPr="00DE475B" w:rsidRDefault="0008329F" w:rsidP="0051632B">
            <w:pPr>
              <w:pStyle w:val="ARHeading1"/>
              <w:rPr>
                <w:sz w:val="18"/>
                <w:szCs w:val="18"/>
              </w:rPr>
            </w:pPr>
            <w:proofErr w:type="spellStart"/>
            <w:r w:rsidRPr="00DE475B">
              <w:rPr>
                <w:sz w:val="18"/>
                <w:szCs w:val="18"/>
              </w:rPr>
              <w:t>TSSQ</w:t>
            </w:r>
            <w:proofErr w:type="spellEnd"/>
          </w:p>
        </w:tc>
        <w:tc>
          <w:tcPr>
            <w:tcW w:w="2994" w:type="dxa"/>
            <w:tcBorders>
              <w:top w:val="single" w:sz="4" w:space="0" w:color="000000"/>
              <w:bottom w:val="single" w:sz="4" w:space="0" w:color="000000"/>
            </w:tcBorders>
            <w:shd w:val="clear" w:color="auto" w:fill="auto"/>
          </w:tcPr>
          <w:p w:rsidR="0008329F" w:rsidRPr="00DE475B" w:rsidRDefault="0008329F" w:rsidP="0051632B">
            <w:pPr>
              <w:rPr>
                <w:rFonts w:ascii="Arial" w:hAnsi="Arial" w:cs="Arial"/>
                <w:sz w:val="18"/>
                <w:szCs w:val="18"/>
              </w:rPr>
            </w:pPr>
            <w:r w:rsidRPr="00DE475B">
              <w:rPr>
                <w:rFonts w:ascii="Arial" w:hAnsi="Arial" w:cs="Arial"/>
                <w:sz w:val="18"/>
                <w:szCs w:val="18"/>
              </w:rPr>
              <w:t>Tech Savvy Seniors Queensland</w:t>
            </w:r>
          </w:p>
        </w:tc>
        <w:tc>
          <w:tcPr>
            <w:tcW w:w="4502" w:type="dxa"/>
            <w:tcBorders>
              <w:top w:val="single" w:sz="4" w:space="0" w:color="000000"/>
              <w:bottom w:val="single" w:sz="4" w:space="0" w:color="000000"/>
            </w:tcBorders>
            <w:shd w:val="clear" w:color="auto" w:fill="auto"/>
          </w:tcPr>
          <w:p w:rsidR="0008329F" w:rsidRPr="00DE475B" w:rsidRDefault="0008329F" w:rsidP="0051632B">
            <w:pPr>
              <w:pStyle w:val="ARHeading1"/>
              <w:snapToGrid w:val="0"/>
              <w:rPr>
                <w:sz w:val="18"/>
                <w:szCs w:val="18"/>
              </w:rPr>
            </w:pPr>
            <w:r w:rsidRPr="00DE475B">
              <w:rPr>
                <w:sz w:val="18"/>
                <w:szCs w:val="18"/>
              </w:rPr>
              <w:t>A partnership with Telstra which helps public libraries across Queensland deliver technology training to older people</w:t>
            </w:r>
          </w:p>
        </w:tc>
      </w:tr>
    </w:tbl>
    <w:p w:rsidR="00022EEF" w:rsidRPr="00DE475B" w:rsidRDefault="00022EEF" w:rsidP="00022EEF">
      <w:pPr>
        <w:ind w:left="1276" w:hanging="1276"/>
        <w:rPr>
          <w:rFonts w:ascii="Arial" w:hAnsi="Arial" w:cs="Arial"/>
          <w:sz w:val="16"/>
          <w:szCs w:val="16"/>
        </w:rPr>
      </w:pPr>
    </w:p>
    <w:p w:rsidR="00022EEF" w:rsidRPr="00DE475B" w:rsidRDefault="00022EEF" w:rsidP="00022EEF">
      <w:pPr>
        <w:ind w:left="1276" w:hanging="1276"/>
        <w:rPr>
          <w:rFonts w:ascii="Arial" w:hAnsi="Arial" w:cs="Arial"/>
          <w:sz w:val="16"/>
          <w:szCs w:val="16"/>
        </w:rPr>
      </w:pPr>
    </w:p>
    <w:p w:rsidR="00022EEF" w:rsidRPr="00DE475B" w:rsidRDefault="00022EEF" w:rsidP="00022EEF">
      <w:pPr>
        <w:ind w:left="1276" w:hanging="1276"/>
        <w:rPr>
          <w:rFonts w:ascii="Arial" w:hAnsi="Arial" w:cs="Arial"/>
          <w:sz w:val="16"/>
          <w:szCs w:val="16"/>
        </w:rPr>
      </w:pPr>
    </w:p>
    <w:p w:rsidR="00022EEF" w:rsidRPr="00DE475B" w:rsidRDefault="00022EEF" w:rsidP="00022EEF">
      <w:pPr>
        <w:ind w:left="1276" w:hanging="1276"/>
        <w:rPr>
          <w:rFonts w:ascii="Arial" w:hAnsi="Arial" w:cs="Arial"/>
          <w:sz w:val="16"/>
          <w:szCs w:val="16"/>
        </w:rPr>
      </w:pPr>
    </w:p>
    <w:p w:rsidR="00022EEF" w:rsidRPr="00DE475B" w:rsidRDefault="00022EEF" w:rsidP="00022EEF">
      <w:pPr>
        <w:ind w:left="1276" w:hanging="1276"/>
        <w:rPr>
          <w:rFonts w:ascii="Arial" w:hAnsi="Arial" w:cs="Arial"/>
          <w:sz w:val="16"/>
          <w:szCs w:val="16"/>
        </w:rPr>
      </w:pPr>
    </w:p>
    <w:p w:rsidR="00022EEF" w:rsidRPr="00DE475B" w:rsidRDefault="00022EEF" w:rsidP="00022EEF">
      <w:pPr>
        <w:ind w:left="1276" w:hanging="1276"/>
        <w:rPr>
          <w:rFonts w:ascii="Arial" w:hAnsi="Arial" w:cs="Arial"/>
          <w:sz w:val="16"/>
          <w:szCs w:val="16"/>
        </w:rPr>
      </w:pPr>
    </w:p>
    <w:sectPr w:rsidR="00022EEF" w:rsidRPr="00DE475B" w:rsidSect="00B53922">
      <w:type w:val="continuous"/>
      <w:pgSz w:w="11906" w:h="16838"/>
      <w:pgMar w:top="1440" w:right="1701" w:bottom="1440" w:left="1701"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2B" w:rsidRDefault="0051632B">
      <w:r>
        <w:separator/>
      </w:r>
    </w:p>
  </w:endnote>
  <w:endnote w:type="continuationSeparator" w:id="0">
    <w:p w:rsidR="0051632B" w:rsidRDefault="0051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charset w:val="4E"/>
    <w:family w:val="auto"/>
    <w:pitch w:val="variable"/>
    <w:sig w:usb0="00000001" w:usb1="00000000" w:usb2="01000407" w:usb3="00000000" w:csb0="00020000" w:csb1="00000000"/>
  </w:font>
  <w:font w:name="Liberation Sans">
    <w:altName w:val="Arial"/>
    <w:charset w:val="00"/>
    <w:family w:val="swiss"/>
    <w:pitch w:val="variable"/>
  </w:font>
  <w:font w:name="DejaVu Sans">
    <w:charset w:val="00"/>
    <w:family w:val="swiss"/>
    <w:pitch w:val="variable"/>
  </w:font>
  <w:font w:name="Lohit Hindi">
    <w:altName w:val="MS Gothic"/>
    <w:charset w:val="80"/>
    <w:family w:val="auto"/>
    <w:pitch w:val="variable"/>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ZapfDingbatsITC">
    <w:altName w:val="MS Mincho"/>
    <w:panose1 w:val="00000000000000000000"/>
    <w:charset w:val="80"/>
    <w:family w:val="auto"/>
    <w:notTrueType/>
    <w:pitch w:val="default"/>
    <w:sig w:usb0="00000001" w:usb1="08070000" w:usb2="00000010" w:usb3="00000000" w:csb0="00020000" w:csb1="00000000"/>
  </w:font>
  <w:font w:name="HelveticaNeueCELT-Roman">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9C1A12" w:rsidRDefault="0051632B">
    <w:pPr>
      <w:pStyle w:val="Footer"/>
      <w:tabs>
        <w:tab w:val="clear" w:pos="4320"/>
        <w:tab w:val="clear" w:pos="8640"/>
        <w:tab w:val="left" w:pos="978"/>
      </w:tabs>
      <w:rPr>
        <w:rFonts w:ascii="Arial" w:hAnsi="Arial" w:cs="Arial"/>
      </w:rPr>
    </w:pPr>
    <w:r w:rsidRPr="009C1A12">
      <w:rPr>
        <w:rStyle w:val="PageNumber"/>
        <w:rFonts w:ascii="Arial" w:hAnsi="Arial" w:cs="Arial"/>
        <w:sz w:val="20"/>
        <w:szCs w:val="20"/>
      </w:rPr>
      <w:fldChar w:fldCharType="begin"/>
    </w:r>
    <w:r w:rsidRPr="009C1A12">
      <w:rPr>
        <w:rStyle w:val="PageNumber"/>
        <w:rFonts w:ascii="Arial" w:hAnsi="Arial" w:cs="Arial"/>
        <w:sz w:val="20"/>
        <w:szCs w:val="20"/>
      </w:rPr>
      <w:instrText xml:space="preserve"> PAGE </w:instrText>
    </w:r>
    <w:r w:rsidRPr="009C1A12">
      <w:rPr>
        <w:rStyle w:val="PageNumber"/>
        <w:rFonts w:ascii="Arial" w:hAnsi="Arial" w:cs="Arial"/>
        <w:sz w:val="20"/>
        <w:szCs w:val="20"/>
      </w:rPr>
      <w:fldChar w:fldCharType="separate"/>
    </w:r>
    <w:r w:rsidR="00385DD9">
      <w:rPr>
        <w:rStyle w:val="PageNumber"/>
        <w:rFonts w:ascii="Arial" w:hAnsi="Arial" w:cs="Arial"/>
        <w:noProof/>
        <w:sz w:val="20"/>
        <w:szCs w:val="20"/>
      </w:rPr>
      <w:t>32</w:t>
    </w:r>
    <w:r w:rsidRPr="009C1A12">
      <w:rPr>
        <w:rStyle w:val="PageNumber"/>
        <w:rFonts w:ascii="Arial" w:hAnsi="Arial" w:cs="Arial"/>
        <w:sz w:val="20"/>
        <w:szCs w:val="20"/>
      </w:rPr>
      <w:fldChar w:fldCharType="end"/>
    </w:r>
    <w:r w:rsidRPr="009C1A12">
      <w:rPr>
        <w:rStyle w:val="PageNumber"/>
        <w:rFonts w:ascii="Arial" w:hAnsi="Arial" w:cs="Arial"/>
        <w:sz w:val="20"/>
        <w:szCs w:val="20"/>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9E42DE" w:rsidRDefault="0051632B">
    <w:pPr>
      <w:pStyle w:val="Footer"/>
      <w:tabs>
        <w:tab w:val="clear" w:pos="4320"/>
        <w:tab w:val="clear" w:pos="8640"/>
        <w:tab w:val="left" w:pos="978"/>
      </w:tabs>
      <w:rPr>
        <w:rFonts w:ascii="Arial" w:hAnsi="Arial" w:cs="Arial"/>
      </w:rPr>
    </w:pPr>
    <w:r w:rsidRPr="009E42DE">
      <w:rPr>
        <w:rStyle w:val="PageNumber"/>
        <w:rFonts w:ascii="Arial" w:hAnsi="Arial" w:cs="Arial"/>
        <w:sz w:val="20"/>
        <w:szCs w:val="20"/>
      </w:rPr>
      <w:fldChar w:fldCharType="begin"/>
    </w:r>
    <w:r w:rsidRPr="009E42DE">
      <w:rPr>
        <w:rStyle w:val="PageNumber"/>
        <w:rFonts w:ascii="Arial" w:hAnsi="Arial" w:cs="Arial"/>
        <w:sz w:val="20"/>
        <w:szCs w:val="20"/>
      </w:rPr>
      <w:instrText xml:space="preserve"> PAGE </w:instrText>
    </w:r>
    <w:r w:rsidRPr="009E42DE">
      <w:rPr>
        <w:rStyle w:val="PageNumber"/>
        <w:rFonts w:ascii="Arial" w:hAnsi="Arial" w:cs="Arial"/>
        <w:sz w:val="20"/>
        <w:szCs w:val="20"/>
      </w:rPr>
      <w:fldChar w:fldCharType="separate"/>
    </w:r>
    <w:r w:rsidR="00385DD9">
      <w:rPr>
        <w:rStyle w:val="PageNumber"/>
        <w:rFonts w:ascii="Arial" w:hAnsi="Arial" w:cs="Arial"/>
        <w:noProof/>
        <w:sz w:val="20"/>
        <w:szCs w:val="20"/>
      </w:rPr>
      <w:t>48</w:t>
    </w:r>
    <w:r w:rsidRPr="009E42DE">
      <w:rPr>
        <w:rStyle w:val="PageNumber"/>
        <w:rFonts w:ascii="Arial" w:hAnsi="Arial" w:cs="Arial"/>
        <w:sz w:val="20"/>
        <w:szCs w:val="20"/>
      </w:rPr>
      <w:fldChar w:fldCharType="end"/>
    </w:r>
    <w:r w:rsidRPr="009E42DE">
      <w:rPr>
        <w:rStyle w:val="PageNumber"/>
        <w:rFonts w:ascii="Arial" w:hAnsi="Arial" w:cs="Arial"/>
        <w:sz w:val="20"/>
        <w:szCs w:val="20"/>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705A78" w:rsidRDefault="0051632B">
    <w:pPr>
      <w:pStyle w:val="Footer"/>
      <w:jc w:val="right"/>
      <w:rPr>
        <w:rFonts w:ascii="Arial" w:hAnsi="Arial" w:cs="Arial"/>
      </w:rPr>
    </w:pPr>
    <w:r w:rsidRPr="00705A78">
      <w:rPr>
        <w:rStyle w:val="PageNumber"/>
        <w:rFonts w:ascii="Arial" w:hAnsi="Arial" w:cs="Arial"/>
        <w:sz w:val="20"/>
        <w:szCs w:val="20"/>
      </w:rPr>
      <w:fldChar w:fldCharType="begin"/>
    </w:r>
    <w:r w:rsidRPr="00705A78">
      <w:rPr>
        <w:rStyle w:val="PageNumber"/>
        <w:rFonts w:ascii="Arial" w:hAnsi="Arial" w:cs="Arial"/>
        <w:sz w:val="20"/>
        <w:szCs w:val="20"/>
      </w:rPr>
      <w:instrText xml:space="preserve"> PAGE </w:instrText>
    </w:r>
    <w:r w:rsidRPr="00705A78">
      <w:rPr>
        <w:rStyle w:val="PageNumber"/>
        <w:rFonts w:ascii="Arial" w:hAnsi="Arial" w:cs="Arial"/>
        <w:sz w:val="20"/>
        <w:szCs w:val="20"/>
      </w:rPr>
      <w:fldChar w:fldCharType="separate"/>
    </w:r>
    <w:r w:rsidR="00385DD9">
      <w:rPr>
        <w:rStyle w:val="PageNumber"/>
        <w:rFonts w:ascii="Arial" w:hAnsi="Arial" w:cs="Arial"/>
        <w:noProof/>
        <w:sz w:val="20"/>
        <w:szCs w:val="20"/>
      </w:rPr>
      <w:t>47</w:t>
    </w:r>
    <w:r w:rsidRPr="00705A78">
      <w:rPr>
        <w:rStyle w:val="PageNumber"/>
        <w:rFonts w:ascii="Arial" w:hAnsi="Arial" w:cs="Arial"/>
        <w:sz w:val="20"/>
        <w:szCs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9E42DE" w:rsidRDefault="0051632B">
    <w:pPr>
      <w:pStyle w:val="Footer"/>
      <w:tabs>
        <w:tab w:val="clear" w:pos="4320"/>
        <w:tab w:val="clear" w:pos="8640"/>
        <w:tab w:val="left" w:pos="978"/>
      </w:tabs>
      <w:rPr>
        <w:rFonts w:ascii="Arial" w:hAnsi="Arial" w:cs="Arial"/>
      </w:rPr>
    </w:pPr>
    <w:r w:rsidRPr="009E42DE">
      <w:rPr>
        <w:rStyle w:val="PageNumber"/>
        <w:rFonts w:ascii="Arial" w:hAnsi="Arial" w:cs="Arial"/>
        <w:sz w:val="20"/>
        <w:szCs w:val="20"/>
      </w:rPr>
      <w:fldChar w:fldCharType="begin"/>
    </w:r>
    <w:r w:rsidRPr="009E42DE">
      <w:rPr>
        <w:rStyle w:val="PageNumber"/>
        <w:rFonts w:ascii="Arial" w:hAnsi="Arial" w:cs="Arial"/>
        <w:sz w:val="20"/>
        <w:szCs w:val="20"/>
      </w:rPr>
      <w:instrText xml:space="preserve"> PAGE </w:instrText>
    </w:r>
    <w:r w:rsidRPr="009E42DE">
      <w:rPr>
        <w:rStyle w:val="PageNumber"/>
        <w:rFonts w:ascii="Arial" w:hAnsi="Arial" w:cs="Arial"/>
        <w:sz w:val="20"/>
        <w:szCs w:val="20"/>
      </w:rPr>
      <w:fldChar w:fldCharType="separate"/>
    </w:r>
    <w:r w:rsidR="00385DD9">
      <w:rPr>
        <w:rStyle w:val="PageNumber"/>
        <w:rFonts w:ascii="Arial" w:hAnsi="Arial" w:cs="Arial"/>
        <w:noProof/>
        <w:sz w:val="20"/>
        <w:szCs w:val="20"/>
      </w:rPr>
      <w:t>50</w:t>
    </w:r>
    <w:r w:rsidRPr="009E42DE">
      <w:rPr>
        <w:rStyle w:val="PageNumber"/>
        <w:rFonts w:ascii="Arial" w:hAnsi="Arial" w:cs="Arial"/>
        <w:sz w:val="20"/>
        <w:szCs w:val="20"/>
      </w:rPr>
      <w:fldChar w:fldCharType="end"/>
    </w:r>
    <w:r w:rsidRPr="009E42DE">
      <w:rPr>
        <w:rStyle w:val="PageNumber"/>
        <w:rFonts w:ascii="Arial" w:hAnsi="Arial" w:cs="Arial"/>
        <w:sz w:val="20"/>
        <w:szCs w:val="20"/>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705A78" w:rsidRDefault="0051632B">
    <w:pPr>
      <w:pStyle w:val="Footer"/>
      <w:jc w:val="right"/>
      <w:rPr>
        <w:rFonts w:ascii="Arial" w:hAnsi="Arial" w:cs="Arial"/>
      </w:rPr>
    </w:pPr>
    <w:r w:rsidRPr="00705A78">
      <w:rPr>
        <w:rStyle w:val="PageNumber"/>
        <w:rFonts w:ascii="Arial" w:hAnsi="Arial" w:cs="Arial"/>
        <w:sz w:val="20"/>
        <w:szCs w:val="20"/>
      </w:rPr>
      <w:fldChar w:fldCharType="begin"/>
    </w:r>
    <w:r w:rsidRPr="00705A78">
      <w:rPr>
        <w:rStyle w:val="PageNumber"/>
        <w:rFonts w:ascii="Arial" w:hAnsi="Arial" w:cs="Arial"/>
        <w:sz w:val="20"/>
        <w:szCs w:val="20"/>
      </w:rPr>
      <w:instrText xml:space="preserve"> PAGE </w:instrText>
    </w:r>
    <w:r w:rsidRPr="00705A78">
      <w:rPr>
        <w:rStyle w:val="PageNumber"/>
        <w:rFonts w:ascii="Arial" w:hAnsi="Arial" w:cs="Arial"/>
        <w:sz w:val="20"/>
        <w:szCs w:val="20"/>
      </w:rPr>
      <w:fldChar w:fldCharType="separate"/>
    </w:r>
    <w:r w:rsidR="00385DD9">
      <w:rPr>
        <w:rStyle w:val="PageNumber"/>
        <w:rFonts w:ascii="Arial" w:hAnsi="Arial" w:cs="Arial"/>
        <w:noProof/>
        <w:sz w:val="20"/>
        <w:szCs w:val="20"/>
      </w:rPr>
      <w:t>49</w:t>
    </w:r>
    <w:r w:rsidRPr="00705A78">
      <w:rPr>
        <w:rStyle w:val="PageNumber"/>
        <w:rFonts w:ascii="Arial" w:hAnsi="Arial" w:cs="Arial"/>
        <w:sz w:val="20"/>
        <w:szCs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7B230F" w:rsidRDefault="0051632B">
    <w:pPr>
      <w:pStyle w:val="Footer"/>
      <w:rPr>
        <w:rFonts w:ascii="Arial" w:hAnsi="Arial" w:cs="Arial"/>
        <w:sz w:val="20"/>
        <w:szCs w:val="20"/>
      </w:rPr>
    </w:pPr>
    <w:r w:rsidRPr="00B756F3">
      <w:rPr>
        <w:rFonts w:ascii="Arial" w:hAnsi="Arial" w:cs="Arial"/>
        <w:sz w:val="20"/>
        <w:szCs w:val="20"/>
      </w:rPr>
      <w:fldChar w:fldCharType="begin"/>
    </w:r>
    <w:r w:rsidRPr="00B756F3">
      <w:rPr>
        <w:rFonts w:ascii="Arial" w:hAnsi="Arial" w:cs="Arial"/>
        <w:sz w:val="20"/>
        <w:szCs w:val="20"/>
      </w:rPr>
      <w:instrText xml:space="preserve"> PAGE   \* MERGEFORMAT </w:instrText>
    </w:r>
    <w:r w:rsidRPr="00B756F3">
      <w:rPr>
        <w:rFonts w:ascii="Arial" w:hAnsi="Arial" w:cs="Arial"/>
        <w:sz w:val="20"/>
        <w:szCs w:val="20"/>
      </w:rPr>
      <w:fldChar w:fldCharType="separate"/>
    </w:r>
    <w:r w:rsidR="00291F4E">
      <w:rPr>
        <w:rFonts w:ascii="Arial" w:hAnsi="Arial" w:cs="Arial"/>
        <w:noProof/>
        <w:sz w:val="20"/>
        <w:szCs w:val="20"/>
      </w:rPr>
      <w:t>52</w:t>
    </w:r>
    <w:r w:rsidRPr="00B756F3">
      <w:rPr>
        <w:rFonts w:ascii="Arial" w:hAnsi="Arial" w:cs="Arial"/>
        <w:noProof/>
        <w:sz w:val="20"/>
        <w:szCs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B756F3" w:rsidRDefault="0051632B">
    <w:pPr>
      <w:pStyle w:val="Footer"/>
      <w:jc w:val="right"/>
      <w:rPr>
        <w:rFonts w:ascii="Arial" w:hAnsi="Arial" w:cs="Arial"/>
      </w:rPr>
    </w:pPr>
    <w:r w:rsidRPr="00B756F3">
      <w:rPr>
        <w:rStyle w:val="PageNumber"/>
        <w:rFonts w:ascii="Arial" w:hAnsi="Arial" w:cs="Arial"/>
        <w:sz w:val="20"/>
        <w:szCs w:val="20"/>
      </w:rPr>
      <w:fldChar w:fldCharType="begin"/>
    </w:r>
    <w:r w:rsidRPr="00B756F3">
      <w:rPr>
        <w:rStyle w:val="PageNumber"/>
        <w:rFonts w:ascii="Arial" w:hAnsi="Arial" w:cs="Arial"/>
        <w:sz w:val="20"/>
        <w:szCs w:val="20"/>
      </w:rPr>
      <w:instrText xml:space="preserve"> PAGE </w:instrText>
    </w:r>
    <w:r w:rsidRPr="00B756F3">
      <w:rPr>
        <w:rStyle w:val="PageNumber"/>
        <w:rFonts w:ascii="Arial" w:hAnsi="Arial" w:cs="Arial"/>
        <w:sz w:val="20"/>
        <w:szCs w:val="20"/>
      </w:rPr>
      <w:fldChar w:fldCharType="separate"/>
    </w:r>
    <w:r w:rsidR="00385DD9">
      <w:rPr>
        <w:rStyle w:val="PageNumber"/>
        <w:rFonts w:ascii="Arial" w:hAnsi="Arial" w:cs="Arial"/>
        <w:noProof/>
        <w:sz w:val="20"/>
        <w:szCs w:val="20"/>
      </w:rPr>
      <w:t>51</w:t>
    </w:r>
    <w:r w:rsidRPr="00B756F3">
      <w:rPr>
        <w:rStyle w:val="PageNumber"/>
        <w:rFonts w:ascii="Arial" w:hAnsi="Arial" w:cs="Arial"/>
        <w:sz w:val="20"/>
        <w:szCs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9C1A12" w:rsidRDefault="0051632B">
    <w:pPr>
      <w:pStyle w:val="Footer"/>
      <w:jc w:val="right"/>
      <w:rPr>
        <w:rFonts w:ascii="Arial" w:hAnsi="Arial" w:cs="Arial"/>
      </w:rPr>
    </w:pPr>
    <w:r w:rsidRPr="009C1A12">
      <w:rPr>
        <w:rStyle w:val="PageNumber"/>
        <w:rFonts w:ascii="Arial" w:hAnsi="Arial" w:cs="Arial"/>
        <w:sz w:val="20"/>
        <w:szCs w:val="20"/>
      </w:rPr>
      <w:fldChar w:fldCharType="begin"/>
    </w:r>
    <w:r w:rsidRPr="009C1A12">
      <w:rPr>
        <w:rStyle w:val="PageNumber"/>
        <w:rFonts w:ascii="Arial" w:hAnsi="Arial" w:cs="Arial"/>
        <w:sz w:val="20"/>
        <w:szCs w:val="20"/>
      </w:rPr>
      <w:instrText xml:space="preserve"> PAGE </w:instrText>
    </w:r>
    <w:r w:rsidRPr="009C1A12">
      <w:rPr>
        <w:rStyle w:val="PageNumber"/>
        <w:rFonts w:ascii="Arial" w:hAnsi="Arial" w:cs="Arial"/>
        <w:sz w:val="20"/>
        <w:szCs w:val="20"/>
      </w:rPr>
      <w:fldChar w:fldCharType="separate"/>
    </w:r>
    <w:r w:rsidR="00385DD9">
      <w:rPr>
        <w:rStyle w:val="PageNumber"/>
        <w:rFonts w:ascii="Arial" w:hAnsi="Arial" w:cs="Arial"/>
        <w:noProof/>
        <w:sz w:val="20"/>
        <w:szCs w:val="20"/>
      </w:rPr>
      <w:t>35</w:t>
    </w:r>
    <w:r w:rsidRPr="009C1A12">
      <w:rPr>
        <w:rStyle w:val="PageNumber"/>
        <w:rFonts w:ascii="Arial" w:hAnsi="Arial" w:cs="Arial"/>
        <w:sz w:val="20"/>
        <w:szCs w:val="20"/>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7B230F" w:rsidRDefault="0051632B">
    <w:pPr>
      <w:pStyle w:val="Footer"/>
      <w:rPr>
        <w:rFonts w:ascii="Arial" w:hAnsi="Arial" w:cs="Arial"/>
        <w:sz w:val="20"/>
        <w:szCs w:val="20"/>
      </w:rPr>
    </w:pPr>
    <w:r w:rsidRPr="00B756F3">
      <w:rPr>
        <w:rFonts w:ascii="Arial" w:hAnsi="Arial" w:cs="Arial"/>
        <w:sz w:val="20"/>
        <w:szCs w:val="20"/>
      </w:rPr>
      <w:fldChar w:fldCharType="begin"/>
    </w:r>
    <w:r w:rsidRPr="00B756F3">
      <w:rPr>
        <w:rFonts w:ascii="Arial" w:hAnsi="Arial" w:cs="Arial"/>
        <w:sz w:val="20"/>
        <w:szCs w:val="20"/>
      </w:rPr>
      <w:instrText xml:space="preserve"> PAGE   \* MERGEFORMAT </w:instrText>
    </w:r>
    <w:r w:rsidRPr="00B756F3">
      <w:rPr>
        <w:rFonts w:ascii="Arial" w:hAnsi="Arial" w:cs="Arial"/>
        <w:sz w:val="20"/>
        <w:szCs w:val="20"/>
      </w:rPr>
      <w:fldChar w:fldCharType="separate"/>
    </w:r>
    <w:r w:rsidR="00385DD9">
      <w:rPr>
        <w:rFonts w:ascii="Arial" w:hAnsi="Arial" w:cs="Arial"/>
        <w:noProof/>
        <w:sz w:val="20"/>
        <w:szCs w:val="20"/>
      </w:rPr>
      <w:t>60</w:t>
    </w:r>
    <w:r w:rsidRPr="00B756F3">
      <w:rPr>
        <w:rFonts w:ascii="Arial" w:hAnsi="Arial" w:cs="Arial"/>
        <w:noProof/>
        <w:sz w:val="20"/>
        <w:szCs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B756F3" w:rsidRDefault="0051632B">
    <w:pPr>
      <w:pStyle w:val="Footer"/>
      <w:jc w:val="right"/>
      <w:rPr>
        <w:rFonts w:ascii="Arial" w:hAnsi="Arial" w:cs="Arial"/>
      </w:rPr>
    </w:pPr>
    <w:r w:rsidRPr="00B756F3">
      <w:rPr>
        <w:rStyle w:val="PageNumber"/>
        <w:rFonts w:ascii="Arial" w:hAnsi="Arial" w:cs="Arial"/>
        <w:sz w:val="20"/>
        <w:szCs w:val="20"/>
      </w:rPr>
      <w:fldChar w:fldCharType="begin"/>
    </w:r>
    <w:r w:rsidRPr="00B756F3">
      <w:rPr>
        <w:rStyle w:val="PageNumber"/>
        <w:rFonts w:ascii="Arial" w:hAnsi="Arial" w:cs="Arial"/>
        <w:sz w:val="20"/>
        <w:szCs w:val="20"/>
      </w:rPr>
      <w:instrText xml:space="preserve"> PAGE </w:instrText>
    </w:r>
    <w:r w:rsidRPr="00B756F3">
      <w:rPr>
        <w:rStyle w:val="PageNumber"/>
        <w:rFonts w:ascii="Arial" w:hAnsi="Arial" w:cs="Arial"/>
        <w:sz w:val="20"/>
        <w:szCs w:val="20"/>
      </w:rPr>
      <w:fldChar w:fldCharType="separate"/>
    </w:r>
    <w:r w:rsidR="00385DD9">
      <w:rPr>
        <w:rStyle w:val="PageNumber"/>
        <w:rFonts w:ascii="Arial" w:hAnsi="Arial" w:cs="Arial"/>
        <w:noProof/>
        <w:sz w:val="20"/>
        <w:szCs w:val="20"/>
      </w:rPr>
      <w:t>61</w:t>
    </w:r>
    <w:r w:rsidRPr="00B756F3">
      <w:rPr>
        <w:rStyle w:val="PageNumber"/>
        <w:rFonts w:ascii="Arial" w:hAnsi="Arial" w:cs="Arial"/>
        <w:sz w:val="20"/>
        <w:szCs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5964C8" w:rsidRDefault="0051632B" w:rsidP="005964C8">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FF706C" w:rsidRDefault="0051632B" w:rsidP="00FF706C">
    <w:pPr>
      <w:pStyle w:val="Footer"/>
    </w:pPr>
  </w:p>
  <w:p w:rsidR="0051632B" w:rsidRDefault="0051632B"/>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p w:rsidR="0051632B" w:rsidRDefault="0051632B"/>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D16A70" w:rsidRDefault="0051632B" w:rsidP="00D16A70">
    <w:pPr>
      <w:pStyle w:val="Footer"/>
      <w:rPr>
        <w:rFonts w:ascii="Arial" w:hAnsi="Arial" w:cs="Arial"/>
        <w:sz w:val="20"/>
        <w:szCs w:val="20"/>
      </w:rPr>
    </w:pPr>
    <w:r w:rsidRPr="00D16A70">
      <w:rPr>
        <w:rFonts w:ascii="Arial" w:hAnsi="Arial" w:cs="Arial"/>
        <w:sz w:val="20"/>
        <w:szCs w:val="20"/>
      </w:rPr>
      <w:fldChar w:fldCharType="begin"/>
    </w:r>
    <w:r w:rsidRPr="00D16A70">
      <w:rPr>
        <w:rFonts w:ascii="Arial" w:hAnsi="Arial" w:cs="Arial"/>
        <w:sz w:val="20"/>
        <w:szCs w:val="20"/>
      </w:rPr>
      <w:instrText xml:space="preserve"> PAGE   \* MERGEFORMAT </w:instrText>
    </w:r>
    <w:r w:rsidRPr="00D16A70">
      <w:rPr>
        <w:rFonts w:ascii="Arial" w:hAnsi="Arial" w:cs="Arial"/>
        <w:sz w:val="20"/>
        <w:szCs w:val="20"/>
      </w:rPr>
      <w:fldChar w:fldCharType="separate"/>
    </w:r>
    <w:r w:rsidR="00385DD9">
      <w:rPr>
        <w:rFonts w:ascii="Arial" w:hAnsi="Arial" w:cs="Arial"/>
        <w:noProof/>
        <w:sz w:val="20"/>
        <w:szCs w:val="20"/>
      </w:rPr>
      <w:t>78</w:t>
    </w:r>
    <w:r w:rsidRPr="00D16A70">
      <w:rPr>
        <w:rFonts w:ascii="Arial" w:hAnsi="Arial" w:cs="Arial"/>
        <w:noProof/>
        <w:sz w:val="20"/>
        <w:szCs w:val="20"/>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D16A70" w:rsidRDefault="0051632B" w:rsidP="00D16A70">
    <w:pPr>
      <w:pStyle w:val="Footer"/>
      <w:jc w:val="right"/>
      <w:rPr>
        <w:rFonts w:ascii="Arial" w:hAnsi="Arial" w:cs="Arial"/>
        <w:sz w:val="20"/>
        <w:szCs w:val="20"/>
      </w:rPr>
    </w:pPr>
    <w:r w:rsidRPr="00D16A70">
      <w:rPr>
        <w:rFonts w:ascii="Arial" w:hAnsi="Arial" w:cs="Arial"/>
        <w:sz w:val="20"/>
        <w:szCs w:val="20"/>
      </w:rPr>
      <w:fldChar w:fldCharType="begin"/>
    </w:r>
    <w:r w:rsidRPr="00D16A70">
      <w:rPr>
        <w:rFonts w:ascii="Arial" w:hAnsi="Arial" w:cs="Arial"/>
        <w:sz w:val="20"/>
        <w:szCs w:val="20"/>
      </w:rPr>
      <w:instrText xml:space="preserve"> PAGE   \* MERGEFORMAT </w:instrText>
    </w:r>
    <w:r w:rsidRPr="00D16A70">
      <w:rPr>
        <w:rFonts w:ascii="Arial" w:hAnsi="Arial" w:cs="Arial"/>
        <w:sz w:val="20"/>
        <w:szCs w:val="20"/>
      </w:rPr>
      <w:fldChar w:fldCharType="separate"/>
    </w:r>
    <w:r w:rsidR="00385DD9">
      <w:rPr>
        <w:rFonts w:ascii="Arial" w:hAnsi="Arial" w:cs="Arial"/>
        <w:noProof/>
        <w:sz w:val="20"/>
        <w:szCs w:val="20"/>
      </w:rPr>
      <w:t>65</w:t>
    </w:r>
    <w:r w:rsidRPr="00D16A70">
      <w:rPr>
        <w:rFonts w:ascii="Arial" w:hAnsi="Arial" w:cs="Arial"/>
        <w:noProof/>
        <w:sz w:val="20"/>
        <w:szCs w:val="20"/>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D16A70" w:rsidRDefault="0051632B" w:rsidP="00D16A70">
    <w:pPr>
      <w:pStyle w:val="Footer"/>
      <w:jc w:val="right"/>
      <w:rPr>
        <w:rFonts w:ascii="Arial" w:hAnsi="Arial" w:cs="Arial"/>
        <w:sz w:val="20"/>
        <w:szCs w:val="20"/>
      </w:rPr>
    </w:pPr>
    <w:r w:rsidRPr="00D16A70">
      <w:rPr>
        <w:rFonts w:ascii="Arial" w:hAnsi="Arial" w:cs="Arial"/>
        <w:sz w:val="20"/>
        <w:szCs w:val="20"/>
      </w:rPr>
      <w:fldChar w:fldCharType="begin"/>
    </w:r>
    <w:r w:rsidRPr="00D16A70">
      <w:rPr>
        <w:rFonts w:ascii="Arial" w:hAnsi="Arial" w:cs="Arial"/>
        <w:sz w:val="20"/>
        <w:szCs w:val="20"/>
      </w:rPr>
      <w:instrText xml:space="preserve"> PAGE   \* MERGEFORMAT </w:instrText>
    </w:r>
    <w:r w:rsidRPr="00D16A70">
      <w:rPr>
        <w:rFonts w:ascii="Arial" w:hAnsi="Arial" w:cs="Arial"/>
        <w:sz w:val="20"/>
        <w:szCs w:val="20"/>
      </w:rPr>
      <w:fldChar w:fldCharType="separate"/>
    </w:r>
    <w:r w:rsidR="00385DD9">
      <w:rPr>
        <w:rFonts w:ascii="Arial" w:hAnsi="Arial" w:cs="Arial"/>
        <w:noProof/>
        <w:sz w:val="20"/>
        <w:szCs w:val="20"/>
      </w:rPr>
      <w:t>79</w:t>
    </w:r>
    <w:r w:rsidRPr="00D16A70">
      <w:rPr>
        <w:rFonts w:ascii="Arial" w:hAnsi="Arial" w:cs="Arial"/>
        <w:noProof/>
        <w:sz w:val="20"/>
        <w:szCs w:val="20"/>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9C1A12" w:rsidRDefault="0051632B">
    <w:pPr>
      <w:pStyle w:val="Footer"/>
      <w:tabs>
        <w:tab w:val="clear" w:pos="4320"/>
        <w:tab w:val="clear" w:pos="8640"/>
        <w:tab w:val="left" w:pos="978"/>
      </w:tabs>
      <w:rPr>
        <w:rFonts w:ascii="Arial" w:hAnsi="Arial" w:cs="Arial"/>
      </w:rPr>
    </w:pPr>
    <w:r w:rsidRPr="009C1A12">
      <w:rPr>
        <w:rStyle w:val="PageNumber"/>
        <w:rFonts w:ascii="Arial" w:hAnsi="Arial" w:cs="Arial"/>
        <w:sz w:val="20"/>
        <w:szCs w:val="20"/>
      </w:rPr>
      <w:fldChar w:fldCharType="begin"/>
    </w:r>
    <w:r w:rsidRPr="009C1A12">
      <w:rPr>
        <w:rStyle w:val="PageNumber"/>
        <w:rFonts w:ascii="Arial" w:hAnsi="Arial" w:cs="Arial"/>
        <w:sz w:val="20"/>
        <w:szCs w:val="20"/>
      </w:rPr>
      <w:instrText xml:space="preserve"> PAGE </w:instrText>
    </w:r>
    <w:r w:rsidRPr="009C1A12">
      <w:rPr>
        <w:rStyle w:val="PageNumber"/>
        <w:rFonts w:ascii="Arial" w:hAnsi="Arial" w:cs="Arial"/>
        <w:sz w:val="20"/>
        <w:szCs w:val="20"/>
      </w:rPr>
      <w:fldChar w:fldCharType="separate"/>
    </w:r>
    <w:r w:rsidR="00385DD9">
      <w:rPr>
        <w:rStyle w:val="PageNumber"/>
        <w:rFonts w:ascii="Arial" w:hAnsi="Arial" w:cs="Arial"/>
        <w:noProof/>
        <w:sz w:val="20"/>
        <w:szCs w:val="20"/>
      </w:rPr>
      <w:t>82</w:t>
    </w:r>
    <w:r w:rsidRPr="009C1A12">
      <w:rPr>
        <w:rStyle w:val="PageNumber"/>
        <w:rFonts w:ascii="Arial" w:hAnsi="Arial" w:cs="Arial"/>
        <w:sz w:val="20"/>
        <w:szCs w:val="20"/>
      </w:rPr>
      <w:fldChar w:fldCharType="end"/>
    </w:r>
    <w:r w:rsidRPr="009C1A12">
      <w:rPr>
        <w:rStyle w:val="PageNumbe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4C4447" w:rsidRDefault="0051632B">
    <w:pPr>
      <w:pStyle w:val="Footer"/>
      <w:rPr>
        <w:rFonts w:ascii="Arial" w:hAnsi="Arial" w:cs="Arial"/>
        <w:sz w:val="20"/>
        <w:szCs w:val="20"/>
      </w:rPr>
    </w:pPr>
    <w:r w:rsidRPr="004C4447">
      <w:rPr>
        <w:rFonts w:ascii="Arial" w:hAnsi="Arial" w:cs="Arial"/>
        <w:sz w:val="20"/>
        <w:szCs w:val="20"/>
      </w:rPr>
      <w:fldChar w:fldCharType="begin"/>
    </w:r>
    <w:r w:rsidRPr="004C4447">
      <w:rPr>
        <w:rFonts w:ascii="Arial" w:hAnsi="Arial" w:cs="Arial"/>
        <w:sz w:val="20"/>
        <w:szCs w:val="20"/>
      </w:rPr>
      <w:instrText xml:space="preserve"> PAGE   \* MERGEFORMAT </w:instrText>
    </w:r>
    <w:r w:rsidRPr="004C4447">
      <w:rPr>
        <w:rFonts w:ascii="Arial" w:hAnsi="Arial" w:cs="Arial"/>
        <w:sz w:val="20"/>
        <w:szCs w:val="20"/>
      </w:rPr>
      <w:fldChar w:fldCharType="separate"/>
    </w:r>
    <w:r w:rsidR="00385DD9">
      <w:rPr>
        <w:rFonts w:ascii="Arial" w:hAnsi="Arial" w:cs="Arial"/>
        <w:noProof/>
        <w:sz w:val="20"/>
        <w:szCs w:val="20"/>
      </w:rPr>
      <w:t>34</w:t>
    </w:r>
    <w:r w:rsidRPr="004C4447">
      <w:rPr>
        <w:rFonts w:ascii="Arial" w:hAnsi="Arial" w:cs="Arial"/>
        <w:noProof/>
        <w:sz w:val="20"/>
        <w:szCs w:val="20"/>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9C1A12" w:rsidRDefault="0051632B">
    <w:pPr>
      <w:pStyle w:val="Footer"/>
      <w:jc w:val="right"/>
      <w:rPr>
        <w:rFonts w:ascii="Arial" w:hAnsi="Arial" w:cs="Arial"/>
      </w:rPr>
    </w:pPr>
    <w:r w:rsidRPr="009C1A12">
      <w:rPr>
        <w:rStyle w:val="PageNumber"/>
        <w:rFonts w:ascii="Arial" w:hAnsi="Arial" w:cs="Arial"/>
        <w:sz w:val="20"/>
        <w:szCs w:val="20"/>
      </w:rPr>
      <w:fldChar w:fldCharType="begin"/>
    </w:r>
    <w:r w:rsidRPr="009C1A12">
      <w:rPr>
        <w:rStyle w:val="PageNumber"/>
        <w:rFonts w:ascii="Arial" w:hAnsi="Arial" w:cs="Arial"/>
        <w:sz w:val="20"/>
        <w:szCs w:val="20"/>
      </w:rPr>
      <w:instrText xml:space="preserve"> PAGE </w:instrText>
    </w:r>
    <w:r w:rsidRPr="009C1A12">
      <w:rPr>
        <w:rStyle w:val="PageNumber"/>
        <w:rFonts w:ascii="Arial" w:hAnsi="Arial" w:cs="Arial"/>
        <w:sz w:val="20"/>
        <w:szCs w:val="20"/>
      </w:rPr>
      <w:fldChar w:fldCharType="separate"/>
    </w:r>
    <w:r w:rsidR="00385DD9">
      <w:rPr>
        <w:rStyle w:val="PageNumber"/>
        <w:rFonts w:ascii="Arial" w:hAnsi="Arial" w:cs="Arial"/>
        <w:noProof/>
        <w:sz w:val="20"/>
        <w:szCs w:val="20"/>
      </w:rPr>
      <w:t>83</w:t>
    </w:r>
    <w:r w:rsidRPr="009C1A12">
      <w:rPr>
        <w:rStyle w:val="PageNumber"/>
        <w:rFonts w:ascii="Arial" w:hAnsi="Arial" w:cs="Arial"/>
        <w:sz w:val="20"/>
        <w:szCs w:val="20"/>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9C1A12" w:rsidRDefault="0051632B">
    <w:pPr>
      <w:pStyle w:val="Footer"/>
      <w:tabs>
        <w:tab w:val="clear" w:pos="4320"/>
        <w:tab w:val="clear" w:pos="8640"/>
        <w:tab w:val="left" w:pos="978"/>
      </w:tabs>
      <w:rPr>
        <w:rFonts w:ascii="Arial" w:hAnsi="Arial" w:cs="Arial"/>
      </w:rPr>
    </w:pPr>
    <w:r w:rsidRPr="009C1A12">
      <w:rPr>
        <w:rStyle w:val="PageNumber"/>
        <w:rFonts w:ascii="Arial" w:hAnsi="Arial" w:cs="Arial"/>
        <w:sz w:val="20"/>
        <w:szCs w:val="20"/>
      </w:rPr>
      <w:fldChar w:fldCharType="begin"/>
    </w:r>
    <w:r w:rsidRPr="009C1A12">
      <w:rPr>
        <w:rStyle w:val="PageNumber"/>
        <w:rFonts w:ascii="Arial" w:hAnsi="Arial" w:cs="Arial"/>
        <w:sz w:val="20"/>
        <w:szCs w:val="20"/>
      </w:rPr>
      <w:instrText xml:space="preserve"> PAGE </w:instrText>
    </w:r>
    <w:r w:rsidRPr="009C1A12">
      <w:rPr>
        <w:rStyle w:val="PageNumber"/>
        <w:rFonts w:ascii="Arial" w:hAnsi="Arial" w:cs="Arial"/>
        <w:sz w:val="20"/>
        <w:szCs w:val="20"/>
      </w:rPr>
      <w:fldChar w:fldCharType="separate"/>
    </w:r>
    <w:r w:rsidR="00385DD9">
      <w:rPr>
        <w:rStyle w:val="PageNumber"/>
        <w:rFonts w:ascii="Arial" w:hAnsi="Arial" w:cs="Arial"/>
        <w:noProof/>
        <w:sz w:val="20"/>
        <w:szCs w:val="20"/>
      </w:rPr>
      <w:t>88</w:t>
    </w:r>
    <w:r w:rsidRPr="009C1A12">
      <w:rPr>
        <w:rStyle w:val="PageNumber"/>
        <w:rFonts w:ascii="Arial" w:hAnsi="Arial" w:cs="Arial"/>
        <w:sz w:val="20"/>
        <w:szCs w:val="20"/>
      </w:rPr>
      <w:fldChar w:fldCharType="end"/>
    </w:r>
    <w:r w:rsidRPr="009C1A12">
      <w:rPr>
        <w:rStyle w:val="PageNumber"/>
        <w:rFonts w:ascii="Arial" w:hAnsi="Arial" w:cs="Arial"/>
        <w:sz w:val="20"/>
        <w:szCs w:val="20"/>
      </w:rPr>
      <w:tab/>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9C1A12" w:rsidRDefault="0051632B">
    <w:pPr>
      <w:pStyle w:val="Footer"/>
      <w:jc w:val="right"/>
      <w:rPr>
        <w:rFonts w:ascii="Arial" w:hAnsi="Arial" w:cs="Arial"/>
      </w:rPr>
    </w:pPr>
    <w:r w:rsidRPr="009C1A12">
      <w:rPr>
        <w:rStyle w:val="PageNumber"/>
        <w:rFonts w:ascii="Arial" w:hAnsi="Arial" w:cs="Arial"/>
        <w:sz w:val="20"/>
        <w:szCs w:val="20"/>
      </w:rPr>
      <w:fldChar w:fldCharType="begin"/>
    </w:r>
    <w:r w:rsidRPr="009C1A12">
      <w:rPr>
        <w:rStyle w:val="PageNumber"/>
        <w:rFonts w:ascii="Arial" w:hAnsi="Arial" w:cs="Arial"/>
        <w:sz w:val="20"/>
        <w:szCs w:val="20"/>
      </w:rPr>
      <w:instrText xml:space="preserve"> PAGE </w:instrText>
    </w:r>
    <w:r w:rsidRPr="009C1A12">
      <w:rPr>
        <w:rStyle w:val="PageNumber"/>
        <w:rFonts w:ascii="Arial" w:hAnsi="Arial" w:cs="Arial"/>
        <w:sz w:val="20"/>
        <w:szCs w:val="20"/>
      </w:rPr>
      <w:fldChar w:fldCharType="separate"/>
    </w:r>
    <w:r w:rsidR="00385DD9">
      <w:rPr>
        <w:rStyle w:val="PageNumber"/>
        <w:rFonts w:ascii="Arial" w:hAnsi="Arial" w:cs="Arial"/>
        <w:noProof/>
        <w:sz w:val="20"/>
        <w:szCs w:val="20"/>
      </w:rPr>
      <w:t>89</w:t>
    </w:r>
    <w:r w:rsidRPr="009C1A12">
      <w:rPr>
        <w:rStyle w:val="PageNumber"/>
        <w:rFonts w:ascii="Arial" w:hAnsi="Arial" w:cs="Arial"/>
        <w:sz w:val="20"/>
        <w:szCs w:val="20"/>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4C4447" w:rsidRDefault="0051632B" w:rsidP="004C4447">
    <w:pPr>
      <w:pStyle w:val="Footer"/>
      <w:rPr>
        <w:rFonts w:ascii="Arial" w:hAnsi="Arial" w:cs="Arial"/>
        <w:sz w:val="20"/>
        <w:szCs w:val="20"/>
      </w:rPr>
    </w:pPr>
    <w:r w:rsidRPr="004C4447">
      <w:rPr>
        <w:rFonts w:ascii="Arial" w:hAnsi="Arial" w:cs="Arial"/>
        <w:sz w:val="20"/>
        <w:szCs w:val="20"/>
      </w:rPr>
      <w:fldChar w:fldCharType="begin"/>
    </w:r>
    <w:r w:rsidRPr="004C4447">
      <w:rPr>
        <w:rFonts w:ascii="Arial" w:hAnsi="Arial" w:cs="Arial"/>
        <w:sz w:val="20"/>
        <w:szCs w:val="20"/>
      </w:rPr>
      <w:instrText xml:space="preserve"> PAGE   \* MERGEFORMAT </w:instrText>
    </w:r>
    <w:r w:rsidRPr="004C4447">
      <w:rPr>
        <w:rFonts w:ascii="Arial" w:hAnsi="Arial" w:cs="Arial"/>
        <w:sz w:val="20"/>
        <w:szCs w:val="20"/>
      </w:rPr>
      <w:fldChar w:fldCharType="separate"/>
    </w:r>
    <w:r w:rsidR="00385DD9">
      <w:rPr>
        <w:rFonts w:ascii="Arial" w:hAnsi="Arial" w:cs="Arial"/>
        <w:noProof/>
        <w:sz w:val="20"/>
        <w:szCs w:val="20"/>
      </w:rPr>
      <w:t>44</w:t>
    </w:r>
    <w:r w:rsidRPr="004C4447">
      <w:rPr>
        <w:rFonts w:ascii="Arial" w:hAnsi="Arial" w:cs="Arial"/>
        <w:noProof/>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4C4447" w:rsidRDefault="0051632B">
    <w:pPr>
      <w:pStyle w:val="Footer"/>
      <w:jc w:val="right"/>
      <w:rPr>
        <w:rFonts w:ascii="Arial" w:hAnsi="Arial" w:cs="Arial"/>
      </w:rPr>
    </w:pPr>
    <w:r w:rsidRPr="004C4447">
      <w:rPr>
        <w:rStyle w:val="PageNumber"/>
        <w:rFonts w:ascii="Arial" w:hAnsi="Arial" w:cs="Arial"/>
        <w:sz w:val="20"/>
        <w:szCs w:val="20"/>
      </w:rPr>
      <w:fldChar w:fldCharType="begin"/>
    </w:r>
    <w:r w:rsidRPr="004C4447">
      <w:rPr>
        <w:rStyle w:val="PageNumber"/>
        <w:rFonts w:ascii="Arial" w:hAnsi="Arial" w:cs="Arial"/>
        <w:sz w:val="20"/>
        <w:szCs w:val="20"/>
      </w:rPr>
      <w:instrText xml:space="preserve"> PAGE </w:instrText>
    </w:r>
    <w:r w:rsidRPr="004C4447">
      <w:rPr>
        <w:rStyle w:val="PageNumber"/>
        <w:rFonts w:ascii="Arial" w:hAnsi="Arial" w:cs="Arial"/>
        <w:sz w:val="20"/>
        <w:szCs w:val="20"/>
      </w:rPr>
      <w:fldChar w:fldCharType="separate"/>
    </w:r>
    <w:r w:rsidR="00385DD9">
      <w:rPr>
        <w:rStyle w:val="PageNumber"/>
        <w:rFonts w:ascii="Arial" w:hAnsi="Arial" w:cs="Arial"/>
        <w:noProof/>
        <w:sz w:val="20"/>
        <w:szCs w:val="20"/>
      </w:rPr>
      <w:t>43</w:t>
    </w:r>
    <w:r w:rsidRPr="004C4447">
      <w:rPr>
        <w:rStyle w:val="PageNumber"/>
        <w:rFonts w:ascii="Arial" w:hAnsi="Arial" w:cs="Arial"/>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pPr>
      <w:pStyle w:val="Footer"/>
      <w:tabs>
        <w:tab w:val="clear" w:pos="4320"/>
        <w:tab w:val="clear" w:pos="8640"/>
        <w:tab w:val="left" w:pos="978"/>
      </w:tabs>
      <w:rPr>
        <w:rFonts w:ascii="Arial" w:hAnsi="Arial" w:cs="Arial"/>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FF706C" w:rsidRDefault="0051632B" w:rsidP="00FF7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2B" w:rsidRDefault="0051632B">
      <w:r>
        <w:separator/>
      </w:r>
    </w:p>
  </w:footnote>
  <w:footnote w:type="continuationSeparator" w:id="0">
    <w:p w:rsidR="0051632B" w:rsidRDefault="00516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pPr>
      <w:pStyle w:val="Header"/>
    </w:pPr>
    <w:r>
      <w:rPr>
        <w:rFonts w:ascii="Arial" w:hAnsi="Arial" w:cs="Arial"/>
        <w:sz w:val="18"/>
        <w:szCs w:val="18"/>
      </w:rPr>
      <w:t>Library Board of Queensland Annual Report 2016–17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pPr>
      <w:pStyle w:val="Header"/>
      <w:jc w:val="right"/>
    </w:pPr>
    <w:r>
      <w:rPr>
        <w:rFonts w:ascii="Arial" w:hAnsi="Arial" w:cs="Arial"/>
        <w:sz w:val="18"/>
        <w:szCs w:val="18"/>
      </w:rPr>
      <w:t>Library Board of Queensland Annual Report 2016–17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pPr>
      <w:pStyle w:val="Header"/>
      <w:rPr>
        <w:rFonts w:ascii="Arial" w:hAnsi="Arial" w:cs="Arial"/>
        <w:sz w:val="18"/>
        <w:szCs w:val="18"/>
      </w:rPr>
    </w:pPr>
    <w:r>
      <w:rPr>
        <w:rFonts w:ascii="Arial" w:hAnsi="Arial" w:cs="Arial"/>
        <w:sz w:val="18"/>
        <w:szCs w:val="18"/>
      </w:rPr>
      <w:t>Library Board of Queensland Annual Report 2016–17</w:t>
    </w:r>
  </w:p>
  <w:p w:rsidR="0051632B" w:rsidRDefault="0051632B">
    <w:pPr>
      <w:pStyle w:val="Header"/>
      <w:rPr>
        <w:rFonts w:ascii="Arial" w:hAnsi="Arial" w:cs="Arial"/>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pPr>
      <w:pStyle w:val="Header"/>
      <w:jc w:val="right"/>
    </w:pPr>
    <w:r>
      <w:rPr>
        <w:rFonts w:ascii="Arial" w:hAnsi="Arial" w:cs="Arial"/>
        <w:sz w:val="18"/>
        <w:szCs w:val="18"/>
      </w:rPr>
      <w:t>Library Board of Queensland Annual Report 2016–17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9911A5" w:rsidRDefault="0051632B" w:rsidP="00B756F3">
    <w:pPr>
      <w:pStyle w:val="Header"/>
      <w:rPr>
        <w:rFonts w:ascii="Arial" w:hAnsi="Arial" w:cs="Arial"/>
        <w:sz w:val="18"/>
        <w:szCs w:val="18"/>
      </w:rPr>
    </w:pPr>
    <w:r>
      <w:rPr>
        <w:rFonts w:ascii="Arial" w:hAnsi="Arial" w:cs="Arial"/>
        <w:sz w:val="18"/>
        <w:szCs w:val="18"/>
      </w:rPr>
      <w:t>Library Board of Queensland Annual Report 2016–17</w:t>
    </w:r>
  </w:p>
  <w:p w:rsidR="0051632B" w:rsidRDefault="0051632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9911A5" w:rsidRDefault="0051632B" w:rsidP="00B756F3">
    <w:pPr>
      <w:pStyle w:val="Header"/>
      <w:jc w:val="right"/>
      <w:rPr>
        <w:rFonts w:ascii="Arial" w:hAnsi="Arial" w:cs="Arial"/>
        <w:sz w:val="18"/>
        <w:szCs w:val="18"/>
      </w:rPr>
    </w:pPr>
    <w:r>
      <w:rPr>
        <w:rFonts w:ascii="Arial" w:hAnsi="Arial" w:cs="Arial"/>
        <w:sz w:val="18"/>
        <w:szCs w:val="18"/>
      </w:rPr>
      <w:t>Library Board of Queensland Annual Report 2016–17</w:t>
    </w:r>
  </w:p>
  <w:p w:rsidR="0051632B" w:rsidRDefault="0051632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9911A5" w:rsidRDefault="0051632B" w:rsidP="00B756F3">
    <w:pPr>
      <w:pStyle w:val="Header"/>
      <w:rPr>
        <w:rFonts w:ascii="Arial" w:hAnsi="Arial" w:cs="Arial"/>
        <w:sz w:val="18"/>
        <w:szCs w:val="18"/>
      </w:rPr>
    </w:pPr>
    <w:r>
      <w:rPr>
        <w:rFonts w:ascii="Arial" w:hAnsi="Arial" w:cs="Arial"/>
        <w:sz w:val="18"/>
        <w:szCs w:val="18"/>
      </w:rPr>
      <w:t>Library Board of Queensland Annual Report 2016–17</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9911A5" w:rsidRDefault="0051632B" w:rsidP="00B756F3">
    <w:pPr>
      <w:pStyle w:val="Header"/>
      <w:jc w:val="right"/>
      <w:rPr>
        <w:rFonts w:ascii="Arial" w:hAnsi="Arial" w:cs="Arial"/>
        <w:sz w:val="18"/>
        <w:szCs w:val="18"/>
      </w:rPr>
    </w:pPr>
    <w:r>
      <w:rPr>
        <w:rFonts w:ascii="Arial" w:hAnsi="Arial" w:cs="Arial"/>
        <w:sz w:val="18"/>
        <w:szCs w:val="18"/>
      </w:rPr>
      <w:t>Library Board of Queensland Annual Report 2016–17</w:t>
    </w:r>
  </w:p>
  <w:p w:rsidR="0051632B" w:rsidRDefault="00516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pPr>
      <w:pStyle w:val="Header"/>
      <w:jc w:val="right"/>
    </w:pPr>
    <w:r>
      <w:rPr>
        <w:rFonts w:ascii="Arial" w:hAnsi="Arial" w:cs="Arial"/>
        <w:sz w:val="18"/>
        <w:szCs w:val="18"/>
      </w:rPr>
      <w:t>Library Board of Queensland Annual Report 2016–17</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p w:rsidR="0051632B" w:rsidRDefault="0051632B"/>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pPr>
      <w:pStyle w:val="Header"/>
      <w:rPr>
        <w:rFonts w:ascii="Arial" w:hAnsi="Arial" w:cs="Arial"/>
        <w:sz w:val="18"/>
        <w:szCs w:val="18"/>
      </w:rPr>
    </w:pPr>
    <w:r>
      <w:rPr>
        <w:rFonts w:ascii="Arial" w:hAnsi="Arial" w:cs="Arial"/>
        <w:sz w:val="18"/>
        <w:szCs w:val="18"/>
      </w:rPr>
      <w:t>Library Board of Queensland Annual Report 2016–17</w:t>
    </w:r>
  </w:p>
  <w:p w:rsidR="0051632B" w:rsidRDefault="0051632B"/>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rsidP="00516457">
    <w:pPr>
      <w:pStyle w:val="Header"/>
      <w:jc w:val="right"/>
      <w:rPr>
        <w:rFonts w:ascii="Arial" w:hAnsi="Arial" w:cs="Arial"/>
        <w:sz w:val="18"/>
        <w:szCs w:val="18"/>
      </w:rPr>
    </w:pPr>
    <w:r>
      <w:rPr>
        <w:rFonts w:ascii="Arial" w:hAnsi="Arial" w:cs="Arial"/>
        <w:sz w:val="18"/>
        <w:szCs w:val="18"/>
      </w:rPr>
      <w:t>Library Board of Queensland Annual Report 2016–17</w:t>
    </w:r>
  </w:p>
  <w:p w:rsidR="0051632B" w:rsidRDefault="0051632B"/>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pPr>
      <w:pStyle w:val="Header"/>
      <w:rPr>
        <w:rFonts w:ascii="Arial" w:hAnsi="Arial" w:cs="Arial"/>
        <w:sz w:val="18"/>
        <w:szCs w:val="18"/>
      </w:rPr>
    </w:pPr>
    <w:r>
      <w:rPr>
        <w:rFonts w:ascii="Arial" w:hAnsi="Arial" w:cs="Arial"/>
        <w:sz w:val="18"/>
        <w:szCs w:val="18"/>
      </w:rPr>
      <w:t>Library Board of Queensland Annual Report 2016–17</w:t>
    </w:r>
  </w:p>
  <w:p w:rsidR="0051632B" w:rsidRDefault="0051632B">
    <w:pPr>
      <w:pStyle w:val="Header"/>
      <w:rPr>
        <w:rFonts w:ascii="Arial" w:hAnsi="Arial" w:cs="Arial"/>
        <w:sz w:val="18"/>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Pr="009911A5" w:rsidRDefault="0051632B" w:rsidP="009911A5">
    <w:pPr>
      <w:pStyle w:val="Header"/>
      <w:jc w:val="right"/>
      <w:rPr>
        <w:rFonts w:ascii="Arial" w:hAnsi="Arial" w:cs="Arial"/>
        <w:sz w:val="18"/>
        <w:szCs w:val="18"/>
      </w:rPr>
    </w:pPr>
    <w:r>
      <w:rPr>
        <w:rFonts w:ascii="Arial" w:hAnsi="Arial" w:cs="Arial"/>
        <w:sz w:val="18"/>
        <w:szCs w:val="18"/>
      </w:rPr>
      <w:t>Library Board of Queensland Annual Report 2016–17</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pPr>
      <w:pStyle w:val="Header"/>
      <w:rPr>
        <w:rFonts w:ascii="Arial" w:hAnsi="Arial" w:cs="Arial"/>
        <w:sz w:val="18"/>
        <w:szCs w:val="18"/>
      </w:rPr>
    </w:pPr>
    <w:r>
      <w:rPr>
        <w:rFonts w:ascii="Arial" w:hAnsi="Arial" w:cs="Arial"/>
        <w:sz w:val="18"/>
        <w:szCs w:val="18"/>
      </w:rPr>
      <w:t>Library Board of Queensland Annual Report 2016–17</w:t>
    </w:r>
  </w:p>
  <w:p w:rsidR="0051632B" w:rsidRDefault="0051632B">
    <w:pPr>
      <w:pStyle w:val="Head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pPr>
      <w:pStyle w:val="Header"/>
      <w:rPr>
        <w:rFonts w:ascii="Arial" w:hAnsi="Arial" w:cs="Arial"/>
        <w:sz w:val="18"/>
        <w:szCs w:val="18"/>
      </w:rPr>
    </w:pPr>
    <w:r>
      <w:rPr>
        <w:rFonts w:ascii="Arial" w:hAnsi="Arial" w:cs="Arial"/>
        <w:sz w:val="18"/>
        <w:szCs w:val="18"/>
      </w:rPr>
      <w:t>Library Board of Queensland Annual Report 2016–17</w:t>
    </w:r>
  </w:p>
  <w:p w:rsidR="0051632B" w:rsidRDefault="0051632B">
    <w:pPr>
      <w:pStyle w:val="Header"/>
      <w:rPr>
        <w:rFonts w:ascii="Arial" w:hAnsi="Arial" w:cs="Arial"/>
        <w:sz w:val="18"/>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pPr>
      <w:pStyle w:val="Header"/>
      <w:jc w:val="right"/>
    </w:pPr>
    <w:r>
      <w:rPr>
        <w:rFonts w:ascii="Arial" w:hAnsi="Arial" w:cs="Arial"/>
        <w:sz w:val="18"/>
        <w:szCs w:val="18"/>
      </w:rPr>
      <w:t>Library Board of Queensland Annual Report 2016–17</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pPr>
      <w:pStyle w:val="Header"/>
      <w:rPr>
        <w:rFonts w:ascii="Arial" w:hAnsi="Arial" w:cs="Arial"/>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B" w:rsidRDefault="0051632B">
    <w:pPr>
      <w:pStyle w:val="Header"/>
      <w:rPr>
        <w:rFonts w:ascii="Arial" w:hAnsi="Arial" w:cs="Arial"/>
        <w:sz w:val="18"/>
        <w:szCs w:val="18"/>
      </w:rPr>
    </w:pPr>
    <w:r>
      <w:rPr>
        <w:rFonts w:ascii="Arial" w:hAnsi="Arial" w:cs="Arial"/>
        <w:sz w:val="18"/>
        <w:szCs w:val="18"/>
      </w:rPr>
      <w:t>Library Board of Queensland Annual Report 2016–17</w:t>
    </w:r>
  </w:p>
  <w:p w:rsidR="0051632B" w:rsidRDefault="0051632B">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ascii="Arial" w:hAnsi="Arial" w:cs="Times New Roman"/>
        <w:sz w:val="16"/>
      </w:rPr>
    </w:lvl>
  </w:abstractNum>
  <w:abstractNum w:abstractNumId="2">
    <w:nsid w:val="00000003"/>
    <w:multiLevelType w:val="singleLevel"/>
    <w:tmpl w:val="00000003"/>
    <w:name w:val="WW8Num4"/>
    <w:lvl w:ilvl="0">
      <w:start w:val="1"/>
      <w:numFmt w:val="bullet"/>
      <w:lvlText w:val=""/>
      <w:lvlJc w:val="left"/>
      <w:pPr>
        <w:tabs>
          <w:tab w:val="num" w:pos="284"/>
        </w:tabs>
        <w:ind w:left="284" w:hanging="284"/>
      </w:pPr>
      <w:rPr>
        <w:rFonts w:ascii="Symbol" w:hAnsi="Symbol" w:cs="Symbol"/>
        <w:color w:val="auto"/>
        <w:sz w:val="18"/>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sz w:val="16"/>
      </w:rPr>
    </w:lvl>
  </w:abstractNum>
  <w:abstractNum w:abstractNumId="4">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sz w:val="16"/>
      </w:rPr>
    </w:lvl>
  </w:abstractNum>
  <w:abstractNum w:abstractNumId="5">
    <w:nsid w:val="00000006"/>
    <w:multiLevelType w:val="singleLevel"/>
    <w:tmpl w:val="00000006"/>
    <w:name w:val="WW8Num7"/>
    <w:lvl w:ilvl="0">
      <w:start w:val="1"/>
      <w:numFmt w:val="bullet"/>
      <w:lvlText w:val=""/>
      <w:lvlJc w:val="left"/>
      <w:pPr>
        <w:tabs>
          <w:tab w:val="num" w:pos="720"/>
        </w:tabs>
        <w:ind w:left="720" w:hanging="360"/>
      </w:pPr>
      <w:rPr>
        <w:rFonts w:ascii="Symbol" w:hAnsi="Symbol" w:cs="Symbol"/>
        <w:sz w:val="16"/>
      </w:rPr>
    </w:lvl>
  </w:abstractNum>
  <w:abstractNum w:abstractNumId="6">
    <w:nsid w:val="00000007"/>
    <w:multiLevelType w:val="multilevel"/>
    <w:tmpl w:val="00000007"/>
    <w:name w:val="WW8Num8"/>
    <w:lvl w:ilvl="0">
      <w:start w:val="1"/>
      <w:numFmt w:val="bullet"/>
      <w:lvlText w:val=""/>
      <w:lvlJc w:val="left"/>
      <w:pPr>
        <w:tabs>
          <w:tab w:val="num" w:pos="1080"/>
        </w:tabs>
        <w:ind w:left="1080" w:hanging="360"/>
      </w:pPr>
      <w:rPr>
        <w:rFonts w:ascii="Symbol" w:hAnsi="Symbol" w:cs="Symbol"/>
        <w:sz w:val="16"/>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ymbol"/>
        <w:sz w:val="1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9"/>
    <w:multiLevelType w:val="singleLevel"/>
    <w:tmpl w:val="0000000A"/>
    <w:lvl w:ilvl="0">
      <w:start w:val="1"/>
      <w:numFmt w:val="bullet"/>
      <w:lvlText w:val=""/>
      <w:lvlJc w:val="left"/>
      <w:pPr>
        <w:ind w:left="360" w:hanging="360"/>
      </w:pPr>
      <w:rPr>
        <w:rFonts w:ascii="Symbol" w:hAnsi="Symbol" w:cs="Symbol"/>
        <w:sz w:val="16"/>
      </w:rPr>
    </w:lvl>
  </w:abstractNum>
  <w:abstractNum w:abstractNumId="9">
    <w:nsid w:val="0000000A"/>
    <w:multiLevelType w:val="singleLevel"/>
    <w:tmpl w:val="0000000A"/>
    <w:name w:val="WW8Num11"/>
    <w:lvl w:ilvl="0">
      <w:start w:val="1"/>
      <w:numFmt w:val="bullet"/>
      <w:lvlText w:val=""/>
      <w:lvlJc w:val="left"/>
      <w:pPr>
        <w:tabs>
          <w:tab w:val="num" w:pos="720"/>
        </w:tabs>
        <w:ind w:left="720" w:hanging="360"/>
      </w:pPr>
      <w:rPr>
        <w:rFonts w:ascii="Symbol" w:hAnsi="Symbol" w:cs="Symbol"/>
        <w:sz w:val="16"/>
      </w:rPr>
    </w:lvl>
  </w:abstractNum>
  <w:abstractNum w:abstractNumId="10">
    <w:nsid w:val="0000000B"/>
    <w:multiLevelType w:val="singleLevel"/>
    <w:tmpl w:val="0000000B"/>
    <w:name w:val="WW8Num12"/>
    <w:lvl w:ilvl="0">
      <w:start w:val="1"/>
      <w:numFmt w:val="bullet"/>
      <w:pStyle w:val="GOVBulletPointLevel1"/>
      <w:lvlText w:val=""/>
      <w:lvlJc w:val="left"/>
      <w:pPr>
        <w:tabs>
          <w:tab w:val="num" w:pos="357"/>
        </w:tabs>
        <w:ind w:left="357" w:hanging="357"/>
      </w:pPr>
      <w:rPr>
        <w:rFonts w:ascii="Symbol" w:hAnsi="Symbol" w:cs="Symbol"/>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sz w:val="16"/>
      </w:rPr>
    </w:lvl>
  </w:abstractNum>
  <w:abstractNum w:abstractNumId="12">
    <w:nsid w:val="0000000D"/>
    <w:multiLevelType w:val="singleLevel"/>
    <w:tmpl w:val="0000000D"/>
    <w:name w:val="WW8Num14"/>
    <w:lvl w:ilvl="0">
      <w:start w:val="1"/>
      <w:numFmt w:val="bullet"/>
      <w:lvlText w:val=""/>
      <w:lvlJc w:val="left"/>
      <w:pPr>
        <w:tabs>
          <w:tab w:val="num" w:pos="720"/>
        </w:tabs>
        <w:ind w:left="720" w:hanging="360"/>
      </w:pPr>
      <w:rPr>
        <w:rFonts w:ascii="Symbol" w:hAnsi="Symbol" w:cs="Symbol"/>
        <w:sz w:val="16"/>
      </w:rPr>
    </w:lvl>
  </w:abstractNum>
  <w:abstractNum w:abstractNumId="13">
    <w:nsid w:val="0000000E"/>
    <w:multiLevelType w:val="singleLevel"/>
    <w:tmpl w:val="0000000E"/>
    <w:name w:val="WW8Num15"/>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singleLevel"/>
    <w:tmpl w:val="0000000F"/>
    <w:name w:val="WW8Num17"/>
    <w:lvl w:ilvl="0">
      <w:start w:val="1"/>
      <w:numFmt w:val="decimal"/>
      <w:lvlText w:val="%1."/>
      <w:lvlJc w:val="left"/>
      <w:pPr>
        <w:tabs>
          <w:tab w:val="num" w:pos="360"/>
        </w:tabs>
        <w:ind w:left="360" w:hanging="360"/>
      </w:pPr>
      <w:rPr>
        <w:rFonts w:ascii="Arial" w:hAnsi="Arial" w:cs="Times New Roman"/>
        <w:sz w:val="16"/>
      </w:rPr>
    </w:lvl>
  </w:abstractNum>
  <w:abstractNum w:abstractNumId="15">
    <w:nsid w:val="00E91142"/>
    <w:multiLevelType w:val="hybridMultilevel"/>
    <w:tmpl w:val="93209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1BF79C0"/>
    <w:multiLevelType w:val="hybridMultilevel"/>
    <w:tmpl w:val="3424AB4E"/>
    <w:lvl w:ilvl="0" w:tplc="387416C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6ECC609A"/>
    <w:multiLevelType w:val="hybridMultilevel"/>
    <w:tmpl w:val="1CB6D0B0"/>
    <w:lvl w:ilvl="0" w:tplc="88A6B902">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nsid w:val="737230C6"/>
    <w:multiLevelType w:val="hybridMultilevel"/>
    <w:tmpl w:val="A8625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B001428"/>
    <w:multiLevelType w:val="hybridMultilevel"/>
    <w:tmpl w:val="C9F698D0"/>
    <w:lvl w:ilvl="0" w:tplc="00000005">
      <w:start w:val="1"/>
      <w:numFmt w:val="bullet"/>
      <w:lvlText w:val=""/>
      <w:lvlJc w:val="left"/>
      <w:pPr>
        <w:ind w:left="720" w:hanging="360"/>
      </w:pPr>
      <w:rPr>
        <w:rFonts w:ascii="Symbol" w:hAnsi="Symbol" w:cs="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8"/>
  </w:num>
  <w:num w:numId="7">
    <w:abstractNumId w:val="9"/>
  </w:num>
  <w:num w:numId="8">
    <w:abstractNumId w:val="10"/>
  </w:num>
  <w:num w:numId="9">
    <w:abstractNumId w:val="11"/>
  </w:num>
  <w:num w:numId="10">
    <w:abstractNumId w:val="12"/>
  </w:num>
  <w:num w:numId="11">
    <w:abstractNumId w:val="19"/>
  </w:num>
  <w:num w:numId="12">
    <w:abstractNumId w:val="18"/>
  </w:num>
  <w:num w:numId="13">
    <w:abstractNumId w:val="6"/>
  </w:num>
  <w:num w:numId="14">
    <w:abstractNumId w:val="17"/>
  </w:num>
  <w:num w:numId="15">
    <w:abstractNumId w:val="15"/>
  </w:num>
  <w:num w:numId="1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54"/>
    <w:rsid w:val="00000237"/>
    <w:rsid w:val="0000026E"/>
    <w:rsid w:val="0000052D"/>
    <w:rsid w:val="00000600"/>
    <w:rsid w:val="00000C76"/>
    <w:rsid w:val="000012F9"/>
    <w:rsid w:val="000016DE"/>
    <w:rsid w:val="000017CF"/>
    <w:rsid w:val="00001952"/>
    <w:rsid w:val="00001C35"/>
    <w:rsid w:val="00001E67"/>
    <w:rsid w:val="0000213B"/>
    <w:rsid w:val="00002A78"/>
    <w:rsid w:val="000036E2"/>
    <w:rsid w:val="000038FF"/>
    <w:rsid w:val="00003ECE"/>
    <w:rsid w:val="0000428C"/>
    <w:rsid w:val="00004399"/>
    <w:rsid w:val="0000479F"/>
    <w:rsid w:val="00004F52"/>
    <w:rsid w:val="00004FB2"/>
    <w:rsid w:val="00005729"/>
    <w:rsid w:val="00005AB1"/>
    <w:rsid w:val="00005CC6"/>
    <w:rsid w:val="000060C2"/>
    <w:rsid w:val="000067CD"/>
    <w:rsid w:val="00006BA5"/>
    <w:rsid w:val="00007261"/>
    <w:rsid w:val="000076D6"/>
    <w:rsid w:val="00007E89"/>
    <w:rsid w:val="00010E30"/>
    <w:rsid w:val="00011684"/>
    <w:rsid w:val="00011D91"/>
    <w:rsid w:val="000126C1"/>
    <w:rsid w:val="00012954"/>
    <w:rsid w:val="00012AD4"/>
    <w:rsid w:val="00013673"/>
    <w:rsid w:val="000136C0"/>
    <w:rsid w:val="00013CDE"/>
    <w:rsid w:val="000141D4"/>
    <w:rsid w:val="000148DD"/>
    <w:rsid w:val="00015106"/>
    <w:rsid w:val="00015A74"/>
    <w:rsid w:val="00015B9B"/>
    <w:rsid w:val="00015E92"/>
    <w:rsid w:val="000162F1"/>
    <w:rsid w:val="00016A30"/>
    <w:rsid w:val="00016F77"/>
    <w:rsid w:val="0001713C"/>
    <w:rsid w:val="000205DC"/>
    <w:rsid w:val="00021122"/>
    <w:rsid w:val="000221D3"/>
    <w:rsid w:val="0002237D"/>
    <w:rsid w:val="00022752"/>
    <w:rsid w:val="00022EEF"/>
    <w:rsid w:val="00023B3B"/>
    <w:rsid w:val="00024581"/>
    <w:rsid w:val="00024D5C"/>
    <w:rsid w:val="00025671"/>
    <w:rsid w:val="000257A1"/>
    <w:rsid w:val="00025A22"/>
    <w:rsid w:val="00025D05"/>
    <w:rsid w:val="00026D03"/>
    <w:rsid w:val="000302FF"/>
    <w:rsid w:val="00031302"/>
    <w:rsid w:val="00031CDE"/>
    <w:rsid w:val="0003232C"/>
    <w:rsid w:val="000351A0"/>
    <w:rsid w:val="00035585"/>
    <w:rsid w:val="0003599A"/>
    <w:rsid w:val="00035EDC"/>
    <w:rsid w:val="00036897"/>
    <w:rsid w:val="00036D83"/>
    <w:rsid w:val="00036EBB"/>
    <w:rsid w:val="000372DB"/>
    <w:rsid w:val="00037A2D"/>
    <w:rsid w:val="00037CA7"/>
    <w:rsid w:val="00037CC1"/>
    <w:rsid w:val="00040467"/>
    <w:rsid w:val="00040A19"/>
    <w:rsid w:val="00040B3F"/>
    <w:rsid w:val="000421C4"/>
    <w:rsid w:val="00042C23"/>
    <w:rsid w:val="00043021"/>
    <w:rsid w:val="0004385F"/>
    <w:rsid w:val="0004451F"/>
    <w:rsid w:val="000447C9"/>
    <w:rsid w:val="00044A37"/>
    <w:rsid w:val="00044B07"/>
    <w:rsid w:val="000451D8"/>
    <w:rsid w:val="00045574"/>
    <w:rsid w:val="00046029"/>
    <w:rsid w:val="00046115"/>
    <w:rsid w:val="00046DA2"/>
    <w:rsid w:val="00047BC5"/>
    <w:rsid w:val="00050565"/>
    <w:rsid w:val="00051136"/>
    <w:rsid w:val="00051547"/>
    <w:rsid w:val="00051684"/>
    <w:rsid w:val="000523A2"/>
    <w:rsid w:val="00052561"/>
    <w:rsid w:val="00052801"/>
    <w:rsid w:val="000536AC"/>
    <w:rsid w:val="000536C8"/>
    <w:rsid w:val="000538BD"/>
    <w:rsid w:val="00053A2E"/>
    <w:rsid w:val="00053B1D"/>
    <w:rsid w:val="00055037"/>
    <w:rsid w:val="00055657"/>
    <w:rsid w:val="000557E9"/>
    <w:rsid w:val="00055D7C"/>
    <w:rsid w:val="00056D26"/>
    <w:rsid w:val="0005780D"/>
    <w:rsid w:val="00057FD7"/>
    <w:rsid w:val="0006097E"/>
    <w:rsid w:val="00061079"/>
    <w:rsid w:val="000615D4"/>
    <w:rsid w:val="000625E1"/>
    <w:rsid w:val="000631C2"/>
    <w:rsid w:val="000633C0"/>
    <w:rsid w:val="00063692"/>
    <w:rsid w:val="000638FF"/>
    <w:rsid w:val="000639FA"/>
    <w:rsid w:val="000644C5"/>
    <w:rsid w:val="00064579"/>
    <w:rsid w:val="00064BFA"/>
    <w:rsid w:val="00065733"/>
    <w:rsid w:val="0006615D"/>
    <w:rsid w:val="00066FF3"/>
    <w:rsid w:val="00067734"/>
    <w:rsid w:val="00067D9B"/>
    <w:rsid w:val="00067E55"/>
    <w:rsid w:val="00067EA2"/>
    <w:rsid w:val="0007008E"/>
    <w:rsid w:val="000706A1"/>
    <w:rsid w:val="000716E9"/>
    <w:rsid w:val="0007278D"/>
    <w:rsid w:val="00072B96"/>
    <w:rsid w:val="000730F4"/>
    <w:rsid w:val="0007358C"/>
    <w:rsid w:val="00073A74"/>
    <w:rsid w:val="00075085"/>
    <w:rsid w:val="00075668"/>
    <w:rsid w:val="000763CC"/>
    <w:rsid w:val="0007692D"/>
    <w:rsid w:val="00076AA5"/>
    <w:rsid w:val="00077A41"/>
    <w:rsid w:val="00077B23"/>
    <w:rsid w:val="00077D92"/>
    <w:rsid w:val="00077E3F"/>
    <w:rsid w:val="00077E7B"/>
    <w:rsid w:val="00080328"/>
    <w:rsid w:val="0008085B"/>
    <w:rsid w:val="00080D09"/>
    <w:rsid w:val="00081313"/>
    <w:rsid w:val="000820C8"/>
    <w:rsid w:val="000822F7"/>
    <w:rsid w:val="0008294E"/>
    <w:rsid w:val="00082DF8"/>
    <w:rsid w:val="000831C5"/>
    <w:rsid w:val="0008329F"/>
    <w:rsid w:val="0008382E"/>
    <w:rsid w:val="000839FB"/>
    <w:rsid w:val="00084447"/>
    <w:rsid w:val="0008500C"/>
    <w:rsid w:val="00085291"/>
    <w:rsid w:val="00085548"/>
    <w:rsid w:val="0008591E"/>
    <w:rsid w:val="000871F0"/>
    <w:rsid w:val="000876A1"/>
    <w:rsid w:val="00087E24"/>
    <w:rsid w:val="0009041D"/>
    <w:rsid w:val="000907BF"/>
    <w:rsid w:val="00090844"/>
    <w:rsid w:val="00091410"/>
    <w:rsid w:val="0009209A"/>
    <w:rsid w:val="000922DA"/>
    <w:rsid w:val="0009238B"/>
    <w:rsid w:val="000925B1"/>
    <w:rsid w:val="00093486"/>
    <w:rsid w:val="00093F43"/>
    <w:rsid w:val="00094AA9"/>
    <w:rsid w:val="000950A8"/>
    <w:rsid w:val="000956E6"/>
    <w:rsid w:val="000961B6"/>
    <w:rsid w:val="0009644F"/>
    <w:rsid w:val="00096DB4"/>
    <w:rsid w:val="00096ECB"/>
    <w:rsid w:val="00097581"/>
    <w:rsid w:val="00097A9C"/>
    <w:rsid w:val="00097AB4"/>
    <w:rsid w:val="000A0172"/>
    <w:rsid w:val="000A027C"/>
    <w:rsid w:val="000A0FA0"/>
    <w:rsid w:val="000A10A1"/>
    <w:rsid w:val="000A1390"/>
    <w:rsid w:val="000A1506"/>
    <w:rsid w:val="000A1A94"/>
    <w:rsid w:val="000A1FDC"/>
    <w:rsid w:val="000A2CD8"/>
    <w:rsid w:val="000A31AB"/>
    <w:rsid w:val="000A35FE"/>
    <w:rsid w:val="000A3784"/>
    <w:rsid w:val="000A4528"/>
    <w:rsid w:val="000A45EB"/>
    <w:rsid w:val="000A48C4"/>
    <w:rsid w:val="000A4914"/>
    <w:rsid w:val="000A495D"/>
    <w:rsid w:val="000A4ABA"/>
    <w:rsid w:val="000A531C"/>
    <w:rsid w:val="000A5A0C"/>
    <w:rsid w:val="000A5F07"/>
    <w:rsid w:val="000A6252"/>
    <w:rsid w:val="000A631F"/>
    <w:rsid w:val="000A6D44"/>
    <w:rsid w:val="000A7B77"/>
    <w:rsid w:val="000B2150"/>
    <w:rsid w:val="000B2BBF"/>
    <w:rsid w:val="000B3044"/>
    <w:rsid w:val="000B3724"/>
    <w:rsid w:val="000B475A"/>
    <w:rsid w:val="000B48E6"/>
    <w:rsid w:val="000B4A17"/>
    <w:rsid w:val="000B6CF4"/>
    <w:rsid w:val="000B7556"/>
    <w:rsid w:val="000C002A"/>
    <w:rsid w:val="000C1543"/>
    <w:rsid w:val="000C1640"/>
    <w:rsid w:val="000C1727"/>
    <w:rsid w:val="000C1BD5"/>
    <w:rsid w:val="000C2784"/>
    <w:rsid w:val="000C2BE7"/>
    <w:rsid w:val="000C36C2"/>
    <w:rsid w:val="000C3956"/>
    <w:rsid w:val="000C3C28"/>
    <w:rsid w:val="000C5E76"/>
    <w:rsid w:val="000C6353"/>
    <w:rsid w:val="000C724D"/>
    <w:rsid w:val="000C7317"/>
    <w:rsid w:val="000C7E6E"/>
    <w:rsid w:val="000D065D"/>
    <w:rsid w:val="000D1D07"/>
    <w:rsid w:val="000D37D1"/>
    <w:rsid w:val="000D3D5A"/>
    <w:rsid w:val="000D499E"/>
    <w:rsid w:val="000D57C8"/>
    <w:rsid w:val="000D591C"/>
    <w:rsid w:val="000D5F6F"/>
    <w:rsid w:val="000D6058"/>
    <w:rsid w:val="000D66E7"/>
    <w:rsid w:val="000D6BDE"/>
    <w:rsid w:val="000D7BE9"/>
    <w:rsid w:val="000D7EBC"/>
    <w:rsid w:val="000E04B0"/>
    <w:rsid w:val="000E0ADF"/>
    <w:rsid w:val="000E0B2E"/>
    <w:rsid w:val="000E1307"/>
    <w:rsid w:val="000E154C"/>
    <w:rsid w:val="000E17B7"/>
    <w:rsid w:val="000E18BB"/>
    <w:rsid w:val="000E2AF2"/>
    <w:rsid w:val="000E3333"/>
    <w:rsid w:val="000E3B49"/>
    <w:rsid w:val="000E40D3"/>
    <w:rsid w:val="000E4968"/>
    <w:rsid w:val="000E4B61"/>
    <w:rsid w:val="000E5586"/>
    <w:rsid w:val="000E692B"/>
    <w:rsid w:val="000E7847"/>
    <w:rsid w:val="000E7AE3"/>
    <w:rsid w:val="000E7C84"/>
    <w:rsid w:val="000F02D9"/>
    <w:rsid w:val="000F0371"/>
    <w:rsid w:val="000F1F7B"/>
    <w:rsid w:val="000F219D"/>
    <w:rsid w:val="000F2CA8"/>
    <w:rsid w:val="000F31FA"/>
    <w:rsid w:val="000F455F"/>
    <w:rsid w:val="000F4F5F"/>
    <w:rsid w:val="000F5A7A"/>
    <w:rsid w:val="000F5CE5"/>
    <w:rsid w:val="000F6542"/>
    <w:rsid w:val="000F6AE4"/>
    <w:rsid w:val="000F6D8B"/>
    <w:rsid w:val="001008DE"/>
    <w:rsid w:val="001016C8"/>
    <w:rsid w:val="00101F06"/>
    <w:rsid w:val="001029CA"/>
    <w:rsid w:val="00102CF0"/>
    <w:rsid w:val="00102DCD"/>
    <w:rsid w:val="00102FD6"/>
    <w:rsid w:val="001035D9"/>
    <w:rsid w:val="001042B4"/>
    <w:rsid w:val="00104968"/>
    <w:rsid w:val="00104A37"/>
    <w:rsid w:val="00104C4A"/>
    <w:rsid w:val="00104FA3"/>
    <w:rsid w:val="00104FA6"/>
    <w:rsid w:val="0010542B"/>
    <w:rsid w:val="00105548"/>
    <w:rsid w:val="00105892"/>
    <w:rsid w:val="00106D15"/>
    <w:rsid w:val="00107664"/>
    <w:rsid w:val="001078D2"/>
    <w:rsid w:val="00110085"/>
    <w:rsid w:val="0011066E"/>
    <w:rsid w:val="001112EA"/>
    <w:rsid w:val="00111C48"/>
    <w:rsid w:val="00111E5F"/>
    <w:rsid w:val="00112818"/>
    <w:rsid w:val="00112ADC"/>
    <w:rsid w:val="00113785"/>
    <w:rsid w:val="00113DA3"/>
    <w:rsid w:val="00114306"/>
    <w:rsid w:val="001158D6"/>
    <w:rsid w:val="00115EE2"/>
    <w:rsid w:val="0011727D"/>
    <w:rsid w:val="001175E9"/>
    <w:rsid w:val="0011775E"/>
    <w:rsid w:val="001202DD"/>
    <w:rsid w:val="001210A9"/>
    <w:rsid w:val="001235C8"/>
    <w:rsid w:val="001242B1"/>
    <w:rsid w:val="00125F76"/>
    <w:rsid w:val="0012644C"/>
    <w:rsid w:val="0012795B"/>
    <w:rsid w:val="00127F66"/>
    <w:rsid w:val="001301CF"/>
    <w:rsid w:val="0013080C"/>
    <w:rsid w:val="00130854"/>
    <w:rsid w:val="00130861"/>
    <w:rsid w:val="00130B3D"/>
    <w:rsid w:val="0013184F"/>
    <w:rsid w:val="00131979"/>
    <w:rsid w:val="00132800"/>
    <w:rsid w:val="00133271"/>
    <w:rsid w:val="001338B2"/>
    <w:rsid w:val="00133B99"/>
    <w:rsid w:val="00133E15"/>
    <w:rsid w:val="00133EE3"/>
    <w:rsid w:val="00135B92"/>
    <w:rsid w:val="00137695"/>
    <w:rsid w:val="00137F90"/>
    <w:rsid w:val="00140B55"/>
    <w:rsid w:val="00140C5A"/>
    <w:rsid w:val="00140D0D"/>
    <w:rsid w:val="001414B3"/>
    <w:rsid w:val="00141853"/>
    <w:rsid w:val="001422A1"/>
    <w:rsid w:val="00142437"/>
    <w:rsid w:val="00142751"/>
    <w:rsid w:val="0014298D"/>
    <w:rsid w:val="0014386C"/>
    <w:rsid w:val="00143E6F"/>
    <w:rsid w:val="00144059"/>
    <w:rsid w:val="0014433B"/>
    <w:rsid w:val="00144F02"/>
    <w:rsid w:val="00145056"/>
    <w:rsid w:val="00145B44"/>
    <w:rsid w:val="00146534"/>
    <w:rsid w:val="0015014D"/>
    <w:rsid w:val="001508E4"/>
    <w:rsid w:val="00150CFB"/>
    <w:rsid w:val="00150DBC"/>
    <w:rsid w:val="00151152"/>
    <w:rsid w:val="0015184C"/>
    <w:rsid w:val="00151921"/>
    <w:rsid w:val="00151F4E"/>
    <w:rsid w:val="00152567"/>
    <w:rsid w:val="00152C93"/>
    <w:rsid w:val="00154445"/>
    <w:rsid w:val="00154701"/>
    <w:rsid w:val="00154BCE"/>
    <w:rsid w:val="001554D5"/>
    <w:rsid w:val="001563C3"/>
    <w:rsid w:val="00156696"/>
    <w:rsid w:val="00157DE6"/>
    <w:rsid w:val="00160232"/>
    <w:rsid w:val="0016046C"/>
    <w:rsid w:val="001604EB"/>
    <w:rsid w:val="001608B5"/>
    <w:rsid w:val="00160E85"/>
    <w:rsid w:val="001629EE"/>
    <w:rsid w:val="00163E88"/>
    <w:rsid w:val="0016495C"/>
    <w:rsid w:val="00164E9C"/>
    <w:rsid w:val="001657F9"/>
    <w:rsid w:val="00165836"/>
    <w:rsid w:val="00166387"/>
    <w:rsid w:val="001663E4"/>
    <w:rsid w:val="0016658A"/>
    <w:rsid w:val="0016688C"/>
    <w:rsid w:val="00166B49"/>
    <w:rsid w:val="00166B8A"/>
    <w:rsid w:val="00166CF8"/>
    <w:rsid w:val="00166E4D"/>
    <w:rsid w:val="00166EFE"/>
    <w:rsid w:val="001670C7"/>
    <w:rsid w:val="00167ABB"/>
    <w:rsid w:val="0017003B"/>
    <w:rsid w:val="001703B8"/>
    <w:rsid w:val="00171303"/>
    <w:rsid w:val="00172573"/>
    <w:rsid w:val="00172791"/>
    <w:rsid w:val="00173A96"/>
    <w:rsid w:val="001740C5"/>
    <w:rsid w:val="001742A2"/>
    <w:rsid w:val="001742CB"/>
    <w:rsid w:val="00174909"/>
    <w:rsid w:val="00174A9C"/>
    <w:rsid w:val="00174CFF"/>
    <w:rsid w:val="00174FA7"/>
    <w:rsid w:val="00175802"/>
    <w:rsid w:val="00175BF1"/>
    <w:rsid w:val="00175C06"/>
    <w:rsid w:val="00175D12"/>
    <w:rsid w:val="00176BBF"/>
    <w:rsid w:val="00176E98"/>
    <w:rsid w:val="0018046F"/>
    <w:rsid w:val="00180AA2"/>
    <w:rsid w:val="00180D3D"/>
    <w:rsid w:val="0018125C"/>
    <w:rsid w:val="00181855"/>
    <w:rsid w:val="00181A99"/>
    <w:rsid w:val="00182199"/>
    <w:rsid w:val="0018320A"/>
    <w:rsid w:val="00183E4C"/>
    <w:rsid w:val="00184C91"/>
    <w:rsid w:val="0018588C"/>
    <w:rsid w:val="00185898"/>
    <w:rsid w:val="00185CC3"/>
    <w:rsid w:val="00185D50"/>
    <w:rsid w:val="00186250"/>
    <w:rsid w:val="001870F3"/>
    <w:rsid w:val="001873BD"/>
    <w:rsid w:val="00187652"/>
    <w:rsid w:val="00191298"/>
    <w:rsid w:val="00191AAC"/>
    <w:rsid w:val="00192EBD"/>
    <w:rsid w:val="00192EC4"/>
    <w:rsid w:val="00193FBD"/>
    <w:rsid w:val="00194BCB"/>
    <w:rsid w:val="0019542A"/>
    <w:rsid w:val="001956AA"/>
    <w:rsid w:val="00195921"/>
    <w:rsid w:val="00195BAF"/>
    <w:rsid w:val="00195BCF"/>
    <w:rsid w:val="00196855"/>
    <w:rsid w:val="00197101"/>
    <w:rsid w:val="00197C0A"/>
    <w:rsid w:val="00197DC0"/>
    <w:rsid w:val="001A060A"/>
    <w:rsid w:val="001A1E29"/>
    <w:rsid w:val="001A2985"/>
    <w:rsid w:val="001A2D40"/>
    <w:rsid w:val="001A2F4D"/>
    <w:rsid w:val="001A3909"/>
    <w:rsid w:val="001A39C1"/>
    <w:rsid w:val="001A3D9F"/>
    <w:rsid w:val="001A3EAB"/>
    <w:rsid w:val="001A40A0"/>
    <w:rsid w:val="001A41F5"/>
    <w:rsid w:val="001A42F8"/>
    <w:rsid w:val="001A5547"/>
    <w:rsid w:val="001A5BF1"/>
    <w:rsid w:val="001A5DA9"/>
    <w:rsid w:val="001A62D7"/>
    <w:rsid w:val="001A7D4D"/>
    <w:rsid w:val="001B0075"/>
    <w:rsid w:val="001B0BF1"/>
    <w:rsid w:val="001B12B4"/>
    <w:rsid w:val="001B1CA0"/>
    <w:rsid w:val="001B2317"/>
    <w:rsid w:val="001B2C42"/>
    <w:rsid w:val="001B3A35"/>
    <w:rsid w:val="001B4249"/>
    <w:rsid w:val="001B4553"/>
    <w:rsid w:val="001B53D3"/>
    <w:rsid w:val="001B6C36"/>
    <w:rsid w:val="001B6D0B"/>
    <w:rsid w:val="001B72B8"/>
    <w:rsid w:val="001B770C"/>
    <w:rsid w:val="001B7AE9"/>
    <w:rsid w:val="001B7FB6"/>
    <w:rsid w:val="001C00F1"/>
    <w:rsid w:val="001C04B6"/>
    <w:rsid w:val="001C159D"/>
    <w:rsid w:val="001C1D5C"/>
    <w:rsid w:val="001C1D69"/>
    <w:rsid w:val="001C255E"/>
    <w:rsid w:val="001C2BCB"/>
    <w:rsid w:val="001C3080"/>
    <w:rsid w:val="001C3760"/>
    <w:rsid w:val="001C3CD4"/>
    <w:rsid w:val="001C3D8B"/>
    <w:rsid w:val="001C3F91"/>
    <w:rsid w:val="001C4134"/>
    <w:rsid w:val="001C5CAC"/>
    <w:rsid w:val="001C6DCA"/>
    <w:rsid w:val="001C79EC"/>
    <w:rsid w:val="001C7FAF"/>
    <w:rsid w:val="001D0238"/>
    <w:rsid w:val="001D0488"/>
    <w:rsid w:val="001D0D29"/>
    <w:rsid w:val="001D234A"/>
    <w:rsid w:val="001D280D"/>
    <w:rsid w:val="001D3543"/>
    <w:rsid w:val="001D367C"/>
    <w:rsid w:val="001D3812"/>
    <w:rsid w:val="001D42EE"/>
    <w:rsid w:val="001D49DA"/>
    <w:rsid w:val="001D4DAF"/>
    <w:rsid w:val="001D5216"/>
    <w:rsid w:val="001D535D"/>
    <w:rsid w:val="001D5374"/>
    <w:rsid w:val="001D5851"/>
    <w:rsid w:val="001D65A5"/>
    <w:rsid w:val="001D69E3"/>
    <w:rsid w:val="001E0BFB"/>
    <w:rsid w:val="001E1049"/>
    <w:rsid w:val="001E1196"/>
    <w:rsid w:val="001E121C"/>
    <w:rsid w:val="001E1520"/>
    <w:rsid w:val="001E2972"/>
    <w:rsid w:val="001E372E"/>
    <w:rsid w:val="001E4C15"/>
    <w:rsid w:val="001E5171"/>
    <w:rsid w:val="001E5511"/>
    <w:rsid w:val="001E55C1"/>
    <w:rsid w:val="001E56D0"/>
    <w:rsid w:val="001E61A7"/>
    <w:rsid w:val="001E6E1D"/>
    <w:rsid w:val="001E6FE4"/>
    <w:rsid w:val="001E73E8"/>
    <w:rsid w:val="001E7C53"/>
    <w:rsid w:val="001F026E"/>
    <w:rsid w:val="001F1C7C"/>
    <w:rsid w:val="001F1E0D"/>
    <w:rsid w:val="001F1E80"/>
    <w:rsid w:val="001F2246"/>
    <w:rsid w:val="001F23A3"/>
    <w:rsid w:val="001F2B60"/>
    <w:rsid w:val="001F2EE0"/>
    <w:rsid w:val="001F339E"/>
    <w:rsid w:val="001F35C8"/>
    <w:rsid w:val="001F3CC6"/>
    <w:rsid w:val="001F40DC"/>
    <w:rsid w:val="001F441C"/>
    <w:rsid w:val="001F4BFA"/>
    <w:rsid w:val="001F6D77"/>
    <w:rsid w:val="001F6E07"/>
    <w:rsid w:val="0020015A"/>
    <w:rsid w:val="00200870"/>
    <w:rsid w:val="0020133C"/>
    <w:rsid w:val="00201C9B"/>
    <w:rsid w:val="00201C9E"/>
    <w:rsid w:val="002031CA"/>
    <w:rsid w:val="002036BF"/>
    <w:rsid w:val="00203793"/>
    <w:rsid w:val="00206538"/>
    <w:rsid w:val="00206BFF"/>
    <w:rsid w:val="002070AA"/>
    <w:rsid w:val="002071D4"/>
    <w:rsid w:val="002074CC"/>
    <w:rsid w:val="00207CA2"/>
    <w:rsid w:val="002102DE"/>
    <w:rsid w:val="0021141C"/>
    <w:rsid w:val="00211AAC"/>
    <w:rsid w:val="002124A3"/>
    <w:rsid w:val="0021377A"/>
    <w:rsid w:val="00213D97"/>
    <w:rsid w:val="00213FA3"/>
    <w:rsid w:val="00214D34"/>
    <w:rsid w:val="00215347"/>
    <w:rsid w:val="00215FAA"/>
    <w:rsid w:val="002161D0"/>
    <w:rsid w:val="002163A2"/>
    <w:rsid w:val="00217247"/>
    <w:rsid w:val="00217256"/>
    <w:rsid w:val="0021762A"/>
    <w:rsid w:val="00220B98"/>
    <w:rsid w:val="00220D3C"/>
    <w:rsid w:val="00221C4F"/>
    <w:rsid w:val="00221E64"/>
    <w:rsid w:val="00222381"/>
    <w:rsid w:val="00222997"/>
    <w:rsid w:val="00223418"/>
    <w:rsid w:val="002244FF"/>
    <w:rsid w:val="00224AD0"/>
    <w:rsid w:val="00226665"/>
    <w:rsid w:val="0022674A"/>
    <w:rsid w:val="00226C22"/>
    <w:rsid w:val="00226C78"/>
    <w:rsid w:val="00226FAE"/>
    <w:rsid w:val="0023031C"/>
    <w:rsid w:val="00230FF4"/>
    <w:rsid w:val="002314DB"/>
    <w:rsid w:val="00231D83"/>
    <w:rsid w:val="00234CC2"/>
    <w:rsid w:val="00235C5A"/>
    <w:rsid w:val="00236695"/>
    <w:rsid w:val="00236705"/>
    <w:rsid w:val="00236C58"/>
    <w:rsid w:val="00237725"/>
    <w:rsid w:val="00237B25"/>
    <w:rsid w:val="002410E5"/>
    <w:rsid w:val="00242295"/>
    <w:rsid w:val="002422CC"/>
    <w:rsid w:val="00243056"/>
    <w:rsid w:val="00243B66"/>
    <w:rsid w:val="00243EA2"/>
    <w:rsid w:val="002440E3"/>
    <w:rsid w:val="002451A4"/>
    <w:rsid w:val="00245DF6"/>
    <w:rsid w:val="00245F2F"/>
    <w:rsid w:val="00246D11"/>
    <w:rsid w:val="00247134"/>
    <w:rsid w:val="00247E03"/>
    <w:rsid w:val="00247E91"/>
    <w:rsid w:val="00250445"/>
    <w:rsid w:val="00250774"/>
    <w:rsid w:val="00251296"/>
    <w:rsid w:val="0025222A"/>
    <w:rsid w:val="00252331"/>
    <w:rsid w:val="00252AB4"/>
    <w:rsid w:val="0025406A"/>
    <w:rsid w:val="00254B73"/>
    <w:rsid w:val="00255586"/>
    <w:rsid w:val="00255DB8"/>
    <w:rsid w:val="0025616A"/>
    <w:rsid w:val="00256533"/>
    <w:rsid w:val="00256624"/>
    <w:rsid w:val="002569E8"/>
    <w:rsid w:val="00263597"/>
    <w:rsid w:val="00263FD5"/>
    <w:rsid w:val="00264833"/>
    <w:rsid w:val="00265F94"/>
    <w:rsid w:val="0026610E"/>
    <w:rsid w:val="00266D4B"/>
    <w:rsid w:val="00270560"/>
    <w:rsid w:val="002708B2"/>
    <w:rsid w:val="00270A7A"/>
    <w:rsid w:val="00270BCD"/>
    <w:rsid w:val="00270CE5"/>
    <w:rsid w:val="0027184F"/>
    <w:rsid w:val="00272467"/>
    <w:rsid w:val="00272530"/>
    <w:rsid w:val="002726BE"/>
    <w:rsid w:val="002737F8"/>
    <w:rsid w:val="00273C24"/>
    <w:rsid w:val="00273CF3"/>
    <w:rsid w:val="0027417A"/>
    <w:rsid w:val="00274764"/>
    <w:rsid w:val="0027636E"/>
    <w:rsid w:val="00276A3F"/>
    <w:rsid w:val="00276C7D"/>
    <w:rsid w:val="00276E13"/>
    <w:rsid w:val="002779AE"/>
    <w:rsid w:val="0028026A"/>
    <w:rsid w:val="002805AD"/>
    <w:rsid w:val="00280CD5"/>
    <w:rsid w:val="00281882"/>
    <w:rsid w:val="00281899"/>
    <w:rsid w:val="00281D5D"/>
    <w:rsid w:val="0028225B"/>
    <w:rsid w:val="0028281B"/>
    <w:rsid w:val="00282857"/>
    <w:rsid w:val="00283D1E"/>
    <w:rsid w:val="00283D8D"/>
    <w:rsid w:val="00283EB4"/>
    <w:rsid w:val="00283FAC"/>
    <w:rsid w:val="00284B15"/>
    <w:rsid w:val="00284EEF"/>
    <w:rsid w:val="00285832"/>
    <w:rsid w:val="002860C7"/>
    <w:rsid w:val="00287B4B"/>
    <w:rsid w:val="00287CD2"/>
    <w:rsid w:val="00287FC9"/>
    <w:rsid w:val="00290376"/>
    <w:rsid w:val="00290936"/>
    <w:rsid w:val="0029106E"/>
    <w:rsid w:val="00291EDB"/>
    <w:rsid w:val="00291F4E"/>
    <w:rsid w:val="00293ADE"/>
    <w:rsid w:val="00293BA5"/>
    <w:rsid w:val="0029450B"/>
    <w:rsid w:val="00295088"/>
    <w:rsid w:val="002959FF"/>
    <w:rsid w:val="002962BF"/>
    <w:rsid w:val="00297F37"/>
    <w:rsid w:val="002A1058"/>
    <w:rsid w:val="002A1158"/>
    <w:rsid w:val="002A132D"/>
    <w:rsid w:val="002A1D0D"/>
    <w:rsid w:val="002A2265"/>
    <w:rsid w:val="002A235F"/>
    <w:rsid w:val="002A23CD"/>
    <w:rsid w:val="002A3427"/>
    <w:rsid w:val="002A3A7A"/>
    <w:rsid w:val="002A40BA"/>
    <w:rsid w:val="002A4300"/>
    <w:rsid w:val="002A461B"/>
    <w:rsid w:val="002A46B3"/>
    <w:rsid w:val="002A4BEB"/>
    <w:rsid w:val="002A4C46"/>
    <w:rsid w:val="002A4C97"/>
    <w:rsid w:val="002A4CA9"/>
    <w:rsid w:val="002A4FE3"/>
    <w:rsid w:val="002A50BA"/>
    <w:rsid w:val="002A59EE"/>
    <w:rsid w:val="002A7CC9"/>
    <w:rsid w:val="002B07F1"/>
    <w:rsid w:val="002B09D3"/>
    <w:rsid w:val="002B0B4E"/>
    <w:rsid w:val="002B0B59"/>
    <w:rsid w:val="002B1BB3"/>
    <w:rsid w:val="002B1C19"/>
    <w:rsid w:val="002B27EC"/>
    <w:rsid w:val="002B29D6"/>
    <w:rsid w:val="002B32BD"/>
    <w:rsid w:val="002B33FD"/>
    <w:rsid w:val="002B3A79"/>
    <w:rsid w:val="002B4144"/>
    <w:rsid w:val="002B448C"/>
    <w:rsid w:val="002B4F90"/>
    <w:rsid w:val="002B503A"/>
    <w:rsid w:val="002B5458"/>
    <w:rsid w:val="002B54DA"/>
    <w:rsid w:val="002B56FE"/>
    <w:rsid w:val="002B6A5A"/>
    <w:rsid w:val="002B712F"/>
    <w:rsid w:val="002B73CE"/>
    <w:rsid w:val="002B78AE"/>
    <w:rsid w:val="002C022D"/>
    <w:rsid w:val="002C04F6"/>
    <w:rsid w:val="002C2189"/>
    <w:rsid w:val="002C2226"/>
    <w:rsid w:val="002C26BB"/>
    <w:rsid w:val="002C33EE"/>
    <w:rsid w:val="002C3780"/>
    <w:rsid w:val="002C449A"/>
    <w:rsid w:val="002C4A0F"/>
    <w:rsid w:val="002C4C1B"/>
    <w:rsid w:val="002C52F0"/>
    <w:rsid w:val="002C584A"/>
    <w:rsid w:val="002C7AA5"/>
    <w:rsid w:val="002C7D9E"/>
    <w:rsid w:val="002C7F68"/>
    <w:rsid w:val="002D0881"/>
    <w:rsid w:val="002D0BDD"/>
    <w:rsid w:val="002D0C8B"/>
    <w:rsid w:val="002D10C2"/>
    <w:rsid w:val="002D22AF"/>
    <w:rsid w:val="002D38D5"/>
    <w:rsid w:val="002D4045"/>
    <w:rsid w:val="002D462A"/>
    <w:rsid w:val="002D49FD"/>
    <w:rsid w:val="002D72C7"/>
    <w:rsid w:val="002D7C97"/>
    <w:rsid w:val="002E06A4"/>
    <w:rsid w:val="002E0B6A"/>
    <w:rsid w:val="002E1C24"/>
    <w:rsid w:val="002E1CA2"/>
    <w:rsid w:val="002E2162"/>
    <w:rsid w:val="002E27D0"/>
    <w:rsid w:val="002E27DA"/>
    <w:rsid w:val="002E282B"/>
    <w:rsid w:val="002E29CA"/>
    <w:rsid w:val="002E3454"/>
    <w:rsid w:val="002E34D0"/>
    <w:rsid w:val="002E36B7"/>
    <w:rsid w:val="002E3A5B"/>
    <w:rsid w:val="002E4499"/>
    <w:rsid w:val="002E44C8"/>
    <w:rsid w:val="002E50BC"/>
    <w:rsid w:val="002E601F"/>
    <w:rsid w:val="002E6677"/>
    <w:rsid w:val="002F13EC"/>
    <w:rsid w:val="002F174E"/>
    <w:rsid w:val="002F1AE5"/>
    <w:rsid w:val="002F1FB8"/>
    <w:rsid w:val="002F2194"/>
    <w:rsid w:val="002F2DBB"/>
    <w:rsid w:val="002F359C"/>
    <w:rsid w:val="002F52EF"/>
    <w:rsid w:val="002F5988"/>
    <w:rsid w:val="002F61A2"/>
    <w:rsid w:val="002F6690"/>
    <w:rsid w:val="002F6CD5"/>
    <w:rsid w:val="003005DB"/>
    <w:rsid w:val="003009D4"/>
    <w:rsid w:val="00300FF8"/>
    <w:rsid w:val="003014BF"/>
    <w:rsid w:val="00302139"/>
    <w:rsid w:val="0030249F"/>
    <w:rsid w:val="003025A1"/>
    <w:rsid w:val="003029C0"/>
    <w:rsid w:val="00302CB2"/>
    <w:rsid w:val="00303CB5"/>
    <w:rsid w:val="003048DD"/>
    <w:rsid w:val="003053A2"/>
    <w:rsid w:val="003058E0"/>
    <w:rsid w:val="00305BF6"/>
    <w:rsid w:val="00306764"/>
    <w:rsid w:val="00306E25"/>
    <w:rsid w:val="003117CB"/>
    <w:rsid w:val="00311948"/>
    <w:rsid w:val="0031195C"/>
    <w:rsid w:val="00312A15"/>
    <w:rsid w:val="0031428E"/>
    <w:rsid w:val="00317561"/>
    <w:rsid w:val="003202CD"/>
    <w:rsid w:val="00320531"/>
    <w:rsid w:val="0032054C"/>
    <w:rsid w:val="00321DB1"/>
    <w:rsid w:val="00323A15"/>
    <w:rsid w:val="00323AFE"/>
    <w:rsid w:val="00323E7D"/>
    <w:rsid w:val="00324357"/>
    <w:rsid w:val="0032517B"/>
    <w:rsid w:val="00326061"/>
    <w:rsid w:val="003261A6"/>
    <w:rsid w:val="003262C3"/>
    <w:rsid w:val="003264BC"/>
    <w:rsid w:val="003268D7"/>
    <w:rsid w:val="00326F32"/>
    <w:rsid w:val="00327233"/>
    <w:rsid w:val="00330021"/>
    <w:rsid w:val="00330D35"/>
    <w:rsid w:val="00331C9D"/>
    <w:rsid w:val="00332A0B"/>
    <w:rsid w:val="00332B9B"/>
    <w:rsid w:val="00332F4E"/>
    <w:rsid w:val="00333F19"/>
    <w:rsid w:val="0033435B"/>
    <w:rsid w:val="0033526A"/>
    <w:rsid w:val="00335E9E"/>
    <w:rsid w:val="003369C1"/>
    <w:rsid w:val="0033711B"/>
    <w:rsid w:val="0033774F"/>
    <w:rsid w:val="00337D67"/>
    <w:rsid w:val="00340679"/>
    <w:rsid w:val="003409B0"/>
    <w:rsid w:val="00340B22"/>
    <w:rsid w:val="00340E6E"/>
    <w:rsid w:val="003414F7"/>
    <w:rsid w:val="003416E0"/>
    <w:rsid w:val="00341E2A"/>
    <w:rsid w:val="00342192"/>
    <w:rsid w:val="003423E6"/>
    <w:rsid w:val="00342906"/>
    <w:rsid w:val="003431BC"/>
    <w:rsid w:val="0034413F"/>
    <w:rsid w:val="0034420D"/>
    <w:rsid w:val="003445F9"/>
    <w:rsid w:val="00344EB4"/>
    <w:rsid w:val="00345ADB"/>
    <w:rsid w:val="0035006F"/>
    <w:rsid w:val="00352995"/>
    <w:rsid w:val="00352D14"/>
    <w:rsid w:val="00352D8C"/>
    <w:rsid w:val="00352F2E"/>
    <w:rsid w:val="003531A9"/>
    <w:rsid w:val="00353B62"/>
    <w:rsid w:val="003540F3"/>
    <w:rsid w:val="00354964"/>
    <w:rsid w:val="00354DDC"/>
    <w:rsid w:val="003553B7"/>
    <w:rsid w:val="0035550B"/>
    <w:rsid w:val="00355CEB"/>
    <w:rsid w:val="00356451"/>
    <w:rsid w:val="003564D3"/>
    <w:rsid w:val="003566A1"/>
    <w:rsid w:val="00356A3D"/>
    <w:rsid w:val="00356DFA"/>
    <w:rsid w:val="00357430"/>
    <w:rsid w:val="0035759C"/>
    <w:rsid w:val="003608B5"/>
    <w:rsid w:val="00360A68"/>
    <w:rsid w:val="00360B16"/>
    <w:rsid w:val="003618E5"/>
    <w:rsid w:val="00362055"/>
    <w:rsid w:val="0036207F"/>
    <w:rsid w:val="00362D25"/>
    <w:rsid w:val="00362E7A"/>
    <w:rsid w:val="00362E80"/>
    <w:rsid w:val="00363134"/>
    <w:rsid w:val="0036314B"/>
    <w:rsid w:val="0036320D"/>
    <w:rsid w:val="0036324F"/>
    <w:rsid w:val="003638C7"/>
    <w:rsid w:val="003646FD"/>
    <w:rsid w:val="00364A68"/>
    <w:rsid w:val="00365274"/>
    <w:rsid w:val="003658B3"/>
    <w:rsid w:val="00367F8B"/>
    <w:rsid w:val="003705A6"/>
    <w:rsid w:val="00370983"/>
    <w:rsid w:val="00372D3A"/>
    <w:rsid w:val="0037358B"/>
    <w:rsid w:val="00373B38"/>
    <w:rsid w:val="00373FFE"/>
    <w:rsid w:val="0037437D"/>
    <w:rsid w:val="003746EB"/>
    <w:rsid w:val="00374AB6"/>
    <w:rsid w:val="00374CB6"/>
    <w:rsid w:val="0037569A"/>
    <w:rsid w:val="003762EB"/>
    <w:rsid w:val="00376847"/>
    <w:rsid w:val="00376F6F"/>
    <w:rsid w:val="00377394"/>
    <w:rsid w:val="0037765D"/>
    <w:rsid w:val="00377815"/>
    <w:rsid w:val="00377F89"/>
    <w:rsid w:val="00380717"/>
    <w:rsid w:val="003817F0"/>
    <w:rsid w:val="00381AF3"/>
    <w:rsid w:val="003825C7"/>
    <w:rsid w:val="00382C3A"/>
    <w:rsid w:val="003832A3"/>
    <w:rsid w:val="00383E17"/>
    <w:rsid w:val="003844BE"/>
    <w:rsid w:val="00384D79"/>
    <w:rsid w:val="00384F29"/>
    <w:rsid w:val="003851A1"/>
    <w:rsid w:val="003851F0"/>
    <w:rsid w:val="0038584A"/>
    <w:rsid w:val="00385935"/>
    <w:rsid w:val="00385D7E"/>
    <w:rsid w:val="00385DD9"/>
    <w:rsid w:val="0038678E"/>
    <w:rsid w:val="00386A78"/>
    <w:rsid w:val="00387349"/>
    <w:rsid w:val="00387F7A"/>
    <w:rsid w:val="003901FF"/>
    <w:rsid w:val="003904C9"/>
    <w:rsid w:val="003908DD"/>
    <w:rsid w:val="0039395D"/>
    <w:rsid w:val="00394830"/>
    <w:rsid w:val="00396ADB"/>
    <w:rsid w:val="0039781C"/>
    <w:rsid w:val="003A01DA"/>
    <w:rsid w:val="003A1004"/>
    <w:rsid w:val="003A12D3"/>
    <w:rsid w:val="003A17E8"/>
    <w:rsid w:val="003A1AD4"/>
    <w:rsid w:val="003A1CE5"/>
    <w:rsid w:val="003A1D8E"/>
    <w:rsid w:val="003A1FEE"/>
    <w:rsid w:val="003A2047"/>
    <w:rsid w:val="003A2361"/>
    <w:rsid w:val="003A28E8"/>
    <w:rsid w:val="003A2F38"/>
    <w:rsid w:val="003A3520"/>
    <w:rsid w:val="003A3901"/>
    <w:rsid w:val="003A5A48"/>
    <w:rsid w:val="003A661B"/>
    <w:rsid w:val="003A69BF"/>
    <w:rsid w:val="003A6A9E"/>
    <w:rsid w:val="003A6C48"/>
    <w:rsid w:val="003A7416"/>
    <w:rsid w:val="003A76BA"/>
    <w:rsid w:val="003A7735"/>
    <w:rsid w:val="003A7A1B"/>
    <w:rsid w:val="003B06FB"/>
    <w:rsid w:val="003B0BE0"/>
    <w:rsid w:val="003B0D3A"/>
    <w:rsid w:val="003B2D57"/>
    <w:rsid w:val="003B2FC7"/>
    <w:rsid w:val="003B3113"/>
    <w:rsid w:val="003B3E91"/>
    <w:rsid w:val="003B60D4"/>
    <w:rsid w:val="003B6ED0"/>
    <w:rsid w:val="003B745C"/>
    <w:rsid w:val="003B7FF6"/>
    <w:rsid w:val="003C0981"/>
    <w:rsid w:val="003C0CFE"/>
    <w:rsid w:val="003C1462"/>
    <w:rsid w:val="003C1558"/>
    <w:rsid w:val="003C1A1C"/>
    <w:rsid w:val="003C1AD0"/>
    <w:rsid w:val="003C2EA3"/>
    <w:rsid w:val="003C2EDB"/>
    <w:rsid w:val="003C3647"/>
    <w:rsid w:val="003C3CAB"/>
    <w:rsid w:val="003C3DD2"/>
    <w:rsid w:val="003C4C1E"/>
    <w:rsid w:val="003C4F05"/>
    <w:rsid w:val="003C5D50"/>
    <w:rsid w:val="003C6A85"/>
    <w:rsid w:val="003C70D8"/>
    <w:rsid w:val="003C75AD"/>
    <w:rsid w:val="003C7888"/>
    <w:rsid w:val="003D03FC"/>
    <w:rsid w:val="003D048A"/>
    <w:rsid w:val="003D06AE"/>
    <w:rsid w:val="003D09A9"/>
    <w:rsid w:val="003D1065"/>
    <w:rsid w:val="003D1201"/>
    <w:rsid w:val="003D1371"/>
    <w:rsid w:val="003D157C"/>
    <w:rsid w:val="003D1671"/>
    <w:rsid w:val="003D24BE"/>
    <w:rsid w:val="003D277F"/>
    <w:rsid w:val="003D2E4D"/>
    <w:rsid w:val="003D2EF1"/>
    <w:rsid w:val="003D320F"/>
    <w:rsid w:val="003D406A"/>
    <w:rsid w:val="003D48FA"/>
    <w:rsid w:val="003D4D9E"/>
    <w:rsid w:val="003D538C"/>
    <w:rsid w:val="003D53EA"/>
    <w:rsid w:val="003D5597"/>
    <w:rsid w:val="003D5DFA"/>
    <w:rsid w:val="003D71AA"/>
    <w:rsid w:val="003D7C32"/>
    <w:rsid w:val="003D7C40"/>
    <w:rsid w:val="003E1186"/>
    <w:rsid w:val="003E11D6"/>
    <w:rsid w:val="003E1D5B"/>
    <w:rsid w:val="003E2C5C"/>
    <w:rsid w:val="003E3178"/>
    <w:rsid w:val="003E4528"/>
    <w:rsid w:val="003E50AB"/>
    <w:rsid w:val="003E57CF"/>
    <w:rsid w:val="003E6AAA"/>
    <w:rsid w:val="003E7067"/>
    <w:rsid w:val="003E720E"/>
    <w:rsid w:val="003E7E44"/>
    <w:rsid w:val="003F0B71"/>
    <w:rsid w:val="003F1CE4"/>
    <w:rsid w:val="003F218E"/>
    <w:rsid w:val="003F2F1B"/>
    <w:rsid w:val="003F45B1"/>
    <w:rsid w:val="003F51F3"/>
    <w:rsid w:val="003F5572"/>
    <w:rsid w:val="003F5A56"/>
    <w:rsid w:val="003F6CF7"/>
    <w:rsid w:val="003F6D9B"/>
    <w:rsid w:val="003F734B"/>
    <w:rsid w:val="003F7A8B"/>
    <w:rsid w:val="003F7ECD"/>
    <w:rsid w:val="003F7F50"/>
    <w:rsid w:val="00401B77"/>
    <w:rsid w:val="0040211C"/>
    <w:rsid w:val="004028CF"/>
    <w:rsid w:val="004029A0"/>
    <w:rsid w:val="0040302B"/>
    <w:rsid w:val="00404332"/>
    <w:rsid w:val="0040492F"/>
    <w:rsid w:val="00404BB0"/>
    <w:rsid w:val="00404BC9"/>
    <w:rsid w:val="00404BEA"/>
    <w:rsid w:val="00405303"/>
    <w:rsid w:val="00405625"/>
    <w:rsid w:val="00405E49"/>
    <w:rsid w:val="004065E6"/>
    <w:rsid w:val="00406998"/>
    <w:rsid w:val="00406D4C"/>
    <w:rsid w:val="00407102"/>
    <w:rsid w:val="00407692"/>
    <w:rsid w:val="00410095"/>
    <w:rsid w:val="00410737"/>
    <w:rsid w:val="00410A83"/>
    <w:rsid w:val="00410C16"/>
    <w:rsid w:val="00410CB1"/>
    <w:rsid w:val="0041185B"/>
    <w:rsid w:val="00411B20"/>
    <w:rsid w:val="00412324"/>
    <w:rsid w:val="004135F1"/>
    <w:rsid w:val="00413E34"/>
    <w:rsid w:val="004162AB"/>
    <w:rsid w:val="004163E3"/>
    <w:rsid w:val="00416454"/>
    <w:rsid w:val="004164FF"/>
    <w:rsid w:val="00416884"/>
    <w:rsid w:val="00416D70"/>
    <w:rsid w:val="004174C2"/>
    <w:rsid w:val="0041771A"/>
    <w:rsid w:val="00417ED6"/>
    <w:rsid w:val="00420ADA"/>
    <w:rsid w:val="00420CA3"/>
    <w:rsid w:val="00420E45"/>
    <w:rsid w:val="00421928"/>
    <w:rsid w:val="00421B43"/>
    <w:rsid w:val="00421F77"/>
    <w:rsid w:val="004224DF"/>
    <w:rsid w:val="0042338E"/>
    <w:rsid w:val="00423A1D"/>
    <w:rsid w:val="004245C7"/>
    <w:rsid w:val="00424769"/>
    <w:rsid w:val="00425198"/>
    <w:rsid w:val="004262A8"/>
    <w:rsid w:val="00426A4B"/>
    <w:rsid w:val="00426D89"/>
    <w:rsid w:val="00427251"/>
    <w:rsid w:val="00427A27"/>
    <w:rsid w:val="00430603"/>
    <w:rsid w:val="0043063F"/>
    <w:rsid w:val="00431462"/>
    <w:rsid w:val="0043169B"/>
    <w:rsid w:val="0043174D"/>
    <w:rsid w:val="004341E7"/>
    <w:rsid w:val="00434794"/>
    <w:rsid w:val="00436626"/>
    <w:rsid w:val="004366EF"/>
    <w:rsid w:val="00436CF6"/>
    <w:rsid w:val="004378FC"/>
    <w:rsid w:val="00437958"/>
    <w:rsid w:val="004379B0"/>
    <w:rsid w:val="00440BA3"/>
    <w:rsid w:val="00440E27"/>
    <w:rsid w:val="004414BE"/>
    <w:rsid w:val="004415A0"/>
    <w:rsid w:val="00441697"/>
    <w:rsid w:val="0044169E"/>
    <w:rsid w:val="00442200"/>
    <w:rsid w:val="00442487"/>
    <w:rsid w:val="004426E0"/>
    <w:rsid w:val="00442828"/>
    <w:rsid w:val="004428E0"/>
    <w:rsid w:val="00442F99"/>
    <w:rsid w:val="00442FAC"/>
    <w:rsid w:val="004439FC"/>
    <w:rsid w:val="00443A02"/>
    <w:rsid w:val="0044417E"/>
    <w:rsid w:val="00444E45"/>
    <w:rsid w:val="00445252"/>
    <w:rsid w:val="00445A2F"/>
    <w:rsid w:val="0044613D"/>
    <w:rsid w:val="00446175"/>
    <w:rsid w:val="00446E3A"/>
    <w:rsid w:val="004479E6"/>
    <w:rsid w:val="004504BF"/>
    <w:rsid w:val="00450926"/>
    <w:rsid w:val="00451623"/>
    <w:rsid w:val="00451933"/>
    <w:rsid w:val="00451F5E"/>
    <w:rsid w:val="004531D8"/>
    <w:rsid w:val="00453C78"/>
    <w:rsid w:val="0045509A"/>
    <w:rsid w:val="00456364"/>
    <w:rsid w:val="00456CA9"/>
    <w:rsid w:val="00456D1B"/>
    <w:rsid w:val="00460054"/>
    <w:rsid w:val="00460142"/>
    <w:rsid w:val="004605AC"/>
    <w:rsid w:val="00460ED8"/>
    <w:rsid w:val="00460EFC"/>
    <w:rsid w:val="0046126D"/>
    <w:rsid w:val="00461C51"/>
    <w:rsid w:val="00462496"/>
    <w:rsid w:val="004626ED"/>
    <w:rsid w:val="00462AFC"/>
    <w:rsid w:val="00463927"/>
    <w:rsid w:val="00463B2C"/>
    <w:rsid w:val="00463FAF"/>
    <w:rsid w:val="00464F42"/>
    <w:rsid w:val="004651BB"/>
    <w:rsid w:val="00465A27"/>
    <w:rsid w:val="004672F6"/>
    <w:rsid w:val="0046744E"/>
    <w:rsid w:val="00467724"/>
    <w:rsid w:val="00470359"/>
    <w:rsid w:val="00470DF8"/>
    <w:rsid w:val="00470E53"/>
    <w:rsid w:val="00470FCC"/>
    <w:rsid w:val="00471F9C"/>
    <w:rsid w:val="00472562"/>
    <w:rsid w:val="00472D8F"/>
    <w:rsid w:val="00472E6C"/>
    <w:rsid w:val="00473776"/>
    <w:rsid w:val="00473B7E"/>
    <w:rsid w:val="00473C4E"/>
    <w:rsid w:val="00473E1A"/>
    <w:rsid w:val="0047456A"/>
    <w:rsid w:val="00474CE8"/>
    <w:rsid w:val="00475806"/>
    <w:rsid w:val="00475E8A"/>
    <w:rsid w:val="0047637A"/>
    <w:rsid w:val="004765D0"/>
    <w:rsid w:val="00476FB1"/>
    <w:rsid w:val="004770D0"/>
    <w:rsid w:val="004814C4"/>
    <w:rsid w:val="0048183A"/>
    <w:rsid w:val="00481AFA"/>
    <w:rsid w:val="00482735"/>
    <w:rsid w:val="00482CAB"/>
    <w:rsid w:val="00483CA1"/>
    <w:rsid w:val="00484139"/>
    <w:rsid w:val="004841B2"/>
    <w:rsid w:val="004845DF"/>
    <w:rsid w:val="0048499C"/>
    <w:rsid w:val="004857BE"/>
    <w:rsid w:val="0048618E"/>
    <w:rsid w:val="0048674C"/>
    <w:rsid w:val="00486E8F"/>
    <w:rsid w:val="0048765F"/>
    <w:rsid w:val="00487A8A"/>
    <w:rsid w:val="00487B9D"/>
    <w:rsid w:val="00491566"/>
    <w:rsid w:val="0049188A"/>
    <w:rsid w:val="00491FB8"/>
    <w:rsid w:val="0049294B"/>
    <w:rsid w:val="00493AE1"/>
    <w:rsid w:val="00494742"/>
    <w:rsid w:val="004948F6"/>
    <w:rsid w:val="00495601"/>
    <w:rsid w:val="0049636E"/>
    <w:rsid w:val="0049705A"/>
    <w:rsid w:val="0049726E"/>
    <w:rsid w:val="004976F7"/>
    <w:rsid w:val="004A0976"/>
    <w:rsid w:val="004A0B78"/>
    <w:rsid w:val="004A0E73"/>
    <w:rsid w:val="004A0F6F"/>
    <w:rsid w:val="004A145C"/>
    <w:rsid w:val="004A178B"/>
    <w:rsid w:val="004A1D0D"/>
    <w:rsid w:val="004A1D9E"/>
    <w:rsid w:val="004A1DA7"/>
    <w:rsid w:val="004A1E35"/>
    <w:rsid w:val="004A28A4"/>
    <w:rsid w:val="004A3532"/>
    <w:rsid w:val="004A58F7"/>
    <w:rsid w:val="004A5CA2"/>
    <w:rsid w:val="004A5D83"/>
    <w:rsid w:val="004A623E"/>
    <w:rsid w:val="004A7282"/>
    <w:rsid w:val="004A7FA2"/>
    <w:rsid w:val="004B017F"/>
    <w:rsid w:val="004B0741"/>
    <w:rsid w:val="004B0B1E"/>
    <w:rsid w:val="004B0BFF"/>
    <w:rsid w:val="004B17A8"/>
    <w:rsid w:val="004B1CF6"/>
    <w:rsid w:val="004B2ABB"/>
    <w:rsid w:val="004B2B13"/>
    <w:rsid w:val="004B2BD0"/>
    <w:rsid w:val="004B4CB6"/>
    <w:rsid w:val="004B742F"/>
    <w:rsid w:val="004B74D4"/>
    <w:rsid w:val="004B768F"/>
    <w:rsid w:val="004C0AD4"/>
    <w:rsid w:val="004C0FB4"/>
    <w:rsid w:val="004C0FDE"/>
    <w:rsid w:val="004C1302"/>
    <w:rsid w:val="004C1DEB"/>
    <w:rsid w:val="004C202D"/>
    <w:rsid w:val="004C23C6"/>
    <w:rsid w:val="004C27E0"/>
    <w:rsid w:val="004C2B69"/>
    <w:rsid w:val="004C2D61"/>
    <w:rsid w:val="004C3C8D"/>
    <w:rsid w:val="004C3CAB"/>
    <w:rsid w:val="004C3E60"/>
    <w:rsid w:val="004C4447"/>
    <w:rsid w:val="004C4523"/>
    <w:rsid w:val="004C4DA7"/>
    <w:rsid w:val="004C7301"/>
    <w:rsid w:val="004C7B37"/>
    <w:rsid w:val="004D0D05"/>
    <w:rsid w:val="004D1173"/>
    <w:rsid w:val="004D1447"/>
    <w:rsid w:val="004D16A5"/>
    <w:rsid w:val="004D1B93"/>
    <w:rsid w:val="004D1ED7"/>
    <w:rsid w:val="004D23F8"/>
    <w:rsid w:val="004D30E9"/>
    <w:rsid w:val="004D34EC"/>
    <w:rsid w:val="004D3969"/>
    <w:rsid w:val="004D42DD"/>
    <w:rsid w:val="004D491D"/>
    <w:rsid w:val="004D4CDD"/>
    <w:rsid w:val="004D4DB5"/>
    <w:rsid w:val="004D4FFC"/>
    <w:rsid w:val="004D58AF"/>
    <w:rsid w:val="004D5A18"/>
    <w:rsid w:val="004D60D9"/>
    <w:rsid w:val="004D64FA"/>
    <w:rsid w:val="004D6B0A"/>
    <w:rsid w:val="004E05C4"/>
    <w:rsid w:val="004E0DF7"/>
    <w:rsid w:val="004E297F"/>
    <w:rsid w:val="004E2C62"/>
    <w:rsid w:val="004E2DBA"/>
    <w:rsid w:val="004E34A2"/>
    <w:rsid w:val="004E367F"/>
    <w:rsid w:val="004E3952"/>
    <w:rsid w:val="004E3AC7"/>
    <w:rsid w:val="004E3F86"/>
    <w:rsid w:val="004E5866"/>
    <w:rsid w:val="004E696F"/>
    <w:rsid w:val="004F08A0"/>
    <w:rsid w:val="004F0A70"/>
    <w:rsid w:val="004F10AD"/>
    <w:rsid w:val="004F132B"/>
    <w:rsid w:val="004F1402"/>
    <w:rsid w:val="004F1996"/>
    <w:rsid w:val="004F1F8E"/>
    <w:rsid w:val="004F2DC4"/>
    <w:rsid w:val="004F31E3"/>
    <w:rsid w:val="004F3F45"/>
    <w:rsid w:val="004F4148"/>
    <w:rsid w:val="004F5657"/>
    <w:rsid w:val="004F5BCE"/>
    <w:rsid w:val="004F5F63"/>
    <w:rsid w:val="004F7743"/>
    <w:rsid w:val="004F790C"/>
    <w:rsid w:val="004F7E83"/>
    <w:rsid w:val="00500D97"/>
    <w:rsid w:val="00501401"/>
    <w:rsid w:val="00502093"/>
    <w:rsid w:val="00503A8B"/>
    <w:rsid w:val="00503C8D"/>
    <w:rsid w:val="00503CB9"/>
    <w:rsid w:val="0050442E"/>
    <w:rsid w:val="0050460B"/>
    <w:rsid w:val="00504B26"/>
    <w:rsid w:val="00504D8F"/>
    <w:rsid w:val="0050569D"/>
    <w:rsid w:val="00505835"/>
    <w:rsid w:val="0050650C"/>
    <w:rsid w:val="00506887"/>
    <w:rsid w:val="00506A2E"/>
    <w:rsid w:val="005077E6"/>
    <w:rsid w:val="00507906"/>
    <w:rsid w:val="00507D8A"/>
    <w:rsid w:val="00507D95"/>
    <w:rsid w:val="00507DF3"/>
    <w:rsid w:val="00510101"/>
    <w:rsid w:val="00510161"/>
    <w:rsid w:val="00510791"/>
    <w:rsid w:val="00510A0F"/>
    <w:rsid w:val="005113B1"/>
    <w:rsid w:val="0051261F"/>
    <w:rsid w:val="005126AD"/>
    <w:rsid w:val="00512B0F"/>
    <w:rsid w:val="00512F29"/>
    <w:rsid w:val="00513252"/>
    <w:rsid w:val="00513CE9"/>
    <w:rsid w:val="005147B1"/>
    <w:rsid w:val="00514C9F"/>
    <w:rsid w:val="005153C5"/>
    <w:rsid w:val="00515851"/>
    <w:rsid w:val="00515E83"/>
    <w:rsid w:val="0051632B"/>
    <w:rsid w:val="0051632F"/>
    <w:rsid w:val="00516457"/>
    <w:rsid w:val="00516498"/>
    <w:rsid w:val="00517A7F"/>
    <w:rsid w:val="00517CC6"/>
    <w:rsid w:val="00517E76"/>
    <w:rsid w:val="0052090B"/>
    <w:rsid w:val="00520AE2"/>
    <w:rsid w:val="0052123F"/>
    <w:rsid w:val="005217D6"/>
    <w:rsid w:val="00521819"/>
    <w:rsid w:val="00521B4A"/>
    <w:rsid w:val="00521BEF"/>
    <w:rsid w:val="00522221"/>
    <w:rsid w:val="00523D02"/>
    <w:rsid w:val="00523FF4"/>
    <w:rsid w:val="00525AB3"/>
    <w:rsid w:val="00526281"/>
    <w:rsid w:val="005264F7"/>
    <w:rsid w:val="00526985"/>
    <w:rsid w:val="00526D64"/>
    <w:rsid w:val="00526EE2"/>
    <w:rsid w:val="00527438"/>
    <w:rsid w:val="00527919"/>
    <w:rsid w:val="00530061"/>
    <w:rsid w:val="005300E3"/>
    <w:rsid w:val="00530240"/>
    <w:rsid w:val="00530837"/>
    <w:rsid w:val="00530AC1"/>
    <w:rsid w:val="0053156C"/>
    <w:rsid w:val="00531C01"/>
    <w:rsid w:val="005321B9"/>
    <w:rsid w:val="00532440"/>
    <w:rsid w:val="005341DA"/>
    <w:rsid w:val="005348E9"/>
    <w:rsid w:val="00534A15"/>
    <w:rsid w:val="00534BB6"/>
    <w:rsid w:val="005353A3"/>
    <w:rsid w:val="00535A6C"/>
    <w:rsid w:val="00536A05"/>
    <w:rsid w:val="0053706C"/>
    <w:rsid w:val="0053750B"/>
    <w:rsid w:val="00540363"/>
    <w:rsid w:val="0054075F"/>
    <w:rsid w:val="00540FAD"/>
    <w:rsid w:val="00541E62"/>
    <w:rsid w:val="00542BE5"/>
    <w:rsid w:val="00543B4E"/>
    <w:rsid w:val="005446F5"/>
    <w:rsid w:val="0054517E"/>
    <w:rsid w:val="00545FBC"/>
    <w:rsid w:val="00547E62"/>
    <w:rsid w:val="00550524"/>
    <w:rsid w:val="00550752"/>
    <w:rsid w:val="005518EC"/>
    <w:rsid w:val="00551A53"/>
    <w:rsid w:val="00552401"/>
    <w:rsid w:val="0055290F"/>
    <w:rsid w:val="005530B3"/>
    <w:rsid w:val="00553FD8"/>
    <w:rsid w:val="005545A7"/>
    <w:rsid w:val="005554A8"/>
    <w:rsid w:val="0055572E"/>
    <w:rsid w:val="0055623B"/>
    <w:rsid w:val="00556567"/>
    <w:rsid w:val="005565C3"/>
    <w:rsid w:val="0055693B"/>
    <w:rsid w:val="0055746B"/>
    <w:rsid w:val="00557A38"/>
    <w:rsid w:val="00557A5C"/>
    <w:rsid w:val="00561C3A"/>
    <w:rsid w:val="00564CA8"/>
    <w:rsid w:val="00566493"/>
    <w:rsid w:val="00567A11"/>
    <w:rsid w:val="00570853"/>
    <w:rsid w:val="00571370"/>
    <w:rsid w:val="0057139A"/>
    <w:rsid w:val="00571C94"/>
    <w:rsid w:val="00571FA6"/>
    <w:rsid w:val="00572776"/>
    <w:rsid w:val="00572DB1"/>
    <w:rsid w:val="00573054"/>
    <w:rsid w:val="00573E26"/>
    <w:rsid w:val="005741EE"/>
    <w:rsid w:val="0057480B"/>
    <w:rsid w:val="005752CD"/>
    <w:rsid w:val="0057537C"/>
    <w:rsid w:val="00575B6B"/>
    <w:rsid w:val="00576691"/>
    <w:rsid w:val="00576782"/>
    <w:rsid w:val="00576C7C"/>
    <w:rsid w:val="00577BE2"/>
    <w:rsid w:val="005847F7"/>
    <w:rsid w:val="00584EA0"/>
    <w:rsid w:val="00585810"/>
    <w:rsid w:val="00586671"/>
    <w:rsid w:val="00587F2A"/>
    <w:rsid w:val="0059168F"/>
    <w:rsid w:val="00591931"/>
    <w:rsid w:val="0059195B"/>
    <w:rsid w:val="00591BF6"/>
    <w:rsid w:val="00591EBE"/>
    <w:rsid w:val="00592804"/>
    <w:rsid w:val="00592A49"/>
    <w:rsid w:val="00592AF5"/>
    <w:rsid w:val="00592DBD"/>
    <w:rsid w:val="005939C6"/>
    <w:rsid w:val="00593D20"/>
    <w:rsid w:val="00593EDA"/>
    <w:rsid w:val="005941E8"/>
    <w:rsid w:val="00594640"/>
    <w:rsid w:val="00594AC4"/>
    <w:rsid w:val="00594FD4"/>
    <w:rsid w:val="005953BD"/>
    <w:rsid w:val="00595506"/>
    <w:rsid w:val="00595DB2"/>
    <w:rsid w:val="005964C8"/>
    <w:rsid w:val="005A026D"/>
    <w:rsid w:val="005A0EB5"/>
    <w:rsid w:val="005A1314"/>
    <w:rsid w:val="005A2CE0"/>
    <w:rsid w:val="005A2D9F"/>
    <w:rsid w:val="005A436D"/>
    <w:rsid w:val="005A46CF"/>
    <w:rsid w:val="005A46D2"/>
    <w:rsid w:val="005A553C"/>
    <w:rsid w:val="005A5AF8"/>
    <w:rsid w:val="005A5D6B"/>
    <w:rsid w:val="005A6087"/>
    <w:rsid w:val="005A60A6"/>
    <w:rsid w:val="005A6896"/>
    <w:rsid w:val="005B0698"/>
    <w:rsid w:val="005B084B"/>
    <w:rsid w:val="005B0D8F"/>
    <w:rsid w:val="005B1120"/>
    <w:rsid w:val="005B15B4"/>
    <w:rsid w:val="005B347B"/>
    <w:rsid w:val="005B34BF"/>
    <w:rsid w:val="005B48C1"/>
    <w:rsid w:val="005B51CA"/>
    <w:rsid w:val="005B51F0"/>
    <w:rsid w:val="005B5B62"/>
    <w:rsid w:val="005B714F"/>
    <w:rsid w:val="005B7169"/>
    <w:rsid w:val="005B7E4E"/>
    <w:rsid w:val="005C0F90"/>
    <w:rsid w:val="005C10E7"/>
    <w:rsid w:val="005C1AEF"/>
    <w:rsid w:val="005C1B09"/>
    <w:rsid w:val="005C2E90"/>
    <w:rsid w:val="005C3531"/>
    <w:rsid w:val="005C477C"/>
    <w:rsid w:val="005C4A0A"/>
    <w:rsid w:val="005C4AC6"/>
    <w:rsid w:val="005C728D"/>
    <w:rsid w:val="005C7687"/>
    <w:rsid w:val="005C7EB1"/>
    <w:rsid w:val="005D0833"/>
    <w:rsid w:val="005D1AA4"/>
    <w:rsid w:val="005D2489"/>
    <w:rsid w:val="005D2A94"/>
    <w:rsid w:val="005D3316"/>
    <w:rsid w:val="005D3541"/>
    <w:rsid w:val="005D3E5C"/>
    <w:rsid w:val="005D4CD1"/>
    <w:rsid w:val="005D5D06"/>
    <w:rsid w:val="005D7240"/>
    <w:rsid w:val="005D7BDF"/>
    <w:rsid w:val="005E0556"/>
    <w:rsid w:val="005E14E0"/>
    <w:rsid w:val="005E25CD"/>
    <w:rsid w:val="005E28E3"/>
    <w:rsid w:val="005E29FA"/>
    <w:rsid w:val="005E3EF2"/>
    <w:rsid w:val="005E4320"/>
    <w:rsid w:val="005E5ED5"/>
    <w:rsid w:val="005E5F89"/>
    <w:rsid w:val="005E6076"/>
    <w:rsid w:val="005E6DD3"/>
    <w:rsid w:val="005E6F4E"/>
    <w:rsid w:val="005E7352"/>
    <w:rsid w:val="005E75EA"/>
    <w:rsid w:val="005E7702"/>
    <w:rsid w:val="005E7DB4"/>
    <w:rsid w:val="005F0A6F"/>
    <w:rsid w:val="005F0BFD"/>
    <w:rsid w:val="005F0C81"/>
    <w:rsid w:val="005F0CBD"/>
    <w:rsid w:val="005F1AEF"/>
    <w:rsid w:val="005F28A5"/>
    <w:rsid w:val="005F2E0C"/>
    <w:rsid w:val="005F2EFA"/>
    <w:rsid w:val="005F33D1"/>
    <w:rsid w:val="005F3688"/>
    <w:rsid w:val="005F37A1"/>
    <w:rsid w:val="005F3DA1"/>
    <w:rsid w:val="005F42BB"/>
    <w:rsid w:val="005F4C74"/>
    <w:rsid w:val="005F5613"/>
    <w:rsid w:val="005F5CB9"/>
    <w:rsid w:val="005F6236"/>
    <w:rsid w:val="005F6598"/>
    <w:rsid w:val="006005B2"/>
    <w:rsid w:val="00600BBC"/>
    <w:rsid w:val="00600D97"/>
    <w:rsid w:val="00601A28"/>
    <w:rsid w:val="00601A3D"/>
    <w:rsid w:val="00601F2B"/>
    <w:rsid w:val="00602497"/>
    <w:rsid w:val="006027F5"/>
    <w:rsid w:val="00602CC4"/>
    <w:rsid w:val="00603A6E"/>
    <w:rsid w:val="00603D85"/>
    <w:rsid w:val="0060492C"/>
    <w:rsid w:val="00606758"/>
    <w:rsid w:val="006106DD"/>
    <w:rsid w:val="00610C8C"/>
    <w:rsid w:val="00610D2C"/>
    <w:rsid w:val="00610E8C"/>
    <w:rsid w:val="00611F33"/>
    <w:rsid w:val="00612BC2"/>
    <w:rsid w:val="006135AB"/>
    <w:rsid w:val="006137AC"/>
    <w:rsid w:val="00613E15"/>
    <w:rsid w:val="00614490"/>
    <w:rsid w:val="00614C07"/>
    <w:rsid w:val="00614FF6"/>
    <w:rsid w:val="006154C8"/>
    <w:rsid w:val="00615529"/>
    <w:rsid w:val="00615723"/>
    <w:rsid w:val="00616AED"/>
    <w:rsid w:val="00616CE7"/>
    <w:rsid w:val="00616CEA"/>
    <w:rsid w:val="00616FF1"/>
    <w:rsid w:val="00617408"/>
    <w:rsid w:val="006174C3"/>
    <w:rsid w:val="006175CB"/>
    <w:rsid w:val="00617895"/>
    <w:rsid w:val="0061792C"/>
    <w:rsid w:val="00617A02"/>
    <w:rsid w:val="00617A04"/>
    <w:rsid w:val="00617CFB"/>
    <w:rsid w:val="0062130F"/>
    <w:rsid w:val="00621364"/>
    <w:rsid w:val="00622D65"/>
    <w:rsid w:val="00623332"/>
    <w:rsid w:val="0062360B"/>
    <w:rsid w:val="006238FD"/>
    <w:rsid w:val="00624DFB"/>
    <w:rsid w:val="00625DF5"/>
    <w:rsid w:val="0062752A"/>
    <w:rsid w:val="006279C5"/>
    <w:rsid w:val="00627AE4"/>
    <w:rsid w:val="00627BF1"/>
    <w:rsid w:val="006302CB"/>
    <w:rsid w:val="0063037D"/>
    <w:rsid w:val="006303AE"/>
    <w:rsid w:val="006311C9"/>
    <w:rsid w:val="0063157C"/>
    <w:rsid w:val="00632889"/>
    <w:rsid w:val="006329D0"/>
    <w:rsid w:val="006330C2"/>
    <w:rsid w:val="00633281"/>
    <w:rsid w:val="00633944"/>
    <w:rsid w:val="00633EB5"/>
    <w:rsid w:val="00634B98"/>
    <w:rsid w:val="00635071"/>
    <w:rsid w:val="00635C39"/>
    <w:rsid w:val="00636311"/>
    <w:rsid w:val="006364E1"/>
    <w:rsid w:val="006368F0"/>
    <w:rsid w:val="00636953"/>
    <w:rsid w:val="00636CCE"/>
    <w:rsid w:val="00637FF7"/>
    <w:rsid w:val="006403E0"/>
    <w:rsid w:val="0064058A"/>
    <w:rsid w:val="006409AC"/>
    <w:rsid w:val="00640A17"/>
    <w:rsid w:val="0064145F"/>
    <w:rsid w:val="0064177C"/>
    <w:rsid w:val="0064182A"/>
    <w:rsid w:val="00641CD7"/>
    <w:rsid w:val="0064239C"/>
    <w:rsid w:val="006441C1"/>
    <w:rsid w:val="006443EC"/>
    <w:rsid w:val="00645284"/>
    <w:rsid w:val="0064650E"/>
    <w:rsid w:val="00646775"/>
    <w:rsid w:val="00646C21"/>
    <w:rsid w:val="00647AC7"/>
    <w:rsid w:val="00647F22"/>
    <w:rsid w:val="00647F2D"/>
    <w:rsid w:val="00650F6D"/>
    <w:rsid w:val="00651439"/>
    <w:rsid w:val="00652179"/>
    <w:rsid w:val="00652F6C"/>
    <w:rsid w:val="00653140"/>
    <w:rsid w:val="00653FDD"/>
    <w:rsid w:val="006547EA"/>
    <w:rsid w:val="00654D27"/>
    <w:rsid w:val="00655508"/>
    <w:rsid w:val="00655D78"/>
    <w:rsid w:val="00655FCD"/>
    <w:rsid w:val="0065615C"/>
    <w:rsid w:val="00656B9F"/>
    <w:rsid w:val="00656DF1"/>
    <w:rsid w:val="00657124"/>
    <w:rsid w:val="00657397"/>
    <w:rsid w:val="00657BE9"/>
    <w:rsid w:val="006600F5"/>
    <w:rsid w:val="00660138"/>
    <w:rsid w:val="00660C8E"/>
    <w:rsid w:val="00660F71"/>
    <w:rsid w:val="0066123F"/>
    <w:rsid w:val="00661892"/>
    <w:rsid w:val="006618FB"/>
    <w:rsid w:val="006622BB"/>
    <w:rsid w:val="0066276A"/>
    <w:rsid w:val="0066314C"/>
    <w:rsid w:val="006631EC"/>
    <w:rsid w:val="006642CC"/>
    <w:rsid w:val="00666AEE"/>
    <w:rsid w:val="006673FE"/>
    <w:rsid w:val="00667D30"/>
    <w:rsid w:val="00667F51"/>
    <w:rsid w:val="006702AB"/>
    <w:rsid w:val="00671400"/>
    <w:rsid w:val="00671438"/>
    <w:rsid w:val="006716DB"/>
    <w:rsid w:val="00671F5D"/>
    <w:rsid w:val="00672A68"/>
    <w:rsid w:val="00674BDC"/>
    <w:rsid w:val="00675483"/>
    <w:rsid w:val="00675D07"/>
    <w:rsid w:val="006767D2"/>
    <w:rsid w:val="00676A4B"/>
    <w:rsid w:val="00676E7B"/>
    <w:rsid w:val="0068074F"/>
    <w:rsid w:val="00680922"/>
    <w:rsid w:val="0068096D"/>
    <w:rsid w:val="00681AE3"/>
    <w:rsid w:val="00682D1C"/>
    <w:rsid w:val="006851AF"/>
    <w:rsid w:val="006851E7"/>
    <w:rsid w:val="006873BE"/>
    <w:rsid w:val="006924A3"/>
    <w:rsid w:val="0069365B"/>
    <w:rsid w:val="00693ABF"/>
    <w:rsid w:val="0069451E"/>
    <w:rsid w:val="00694F98"/>
    <w:rsid w:val="00695C66"/>
    <w:rsid w:val="006962EC"/>
    <w:rsid w:val="00696837"/>
    <w:rsid w:val="00696A3E"/>
    <w:rsid w:val="00696D92"/>
    <w:rsid w:val="00696E5C"/>
    <w:rsid w:val="00696E5D"/>
    <w:rsid w:val="0069724E"/>
    <w:rsid w:val="00697E9D"/>
    <w:rsid w:val="006A0257"/>
    <w:rsid w:val="006A079B"/>
    <w:rsid w:val="006A0C7B"/>
    <w:rsid w:val="006A1003"/>
    <w:rsid w:val="006A1180"/>
    <w:rsid w:val="006A1A7E"/>
    <w:rsid w:val="006A1B69"/>
    <w:rsid w:val="006A2752"/>
    <w:rsid w:val="006A310E"/>
    <w:rsid w:val="006A3C8C"/>
    <w:rsid w:val="006A3E00"/>
    <w:rsid w:val="006A43C0"/>
    <w:rsid w:val="006A48D9"/>
    <w:rsid w:val="006A53EA"/>
    <w:rsid w:val="006A5AC1"/>
    <w:rsid w:val="006A63DA"/>
    <w:rsid w:val="006A6627"/>
    <w:rsid w:val="006A6C19"/>
    <w:rsid w:val="006A6ECF"/>
    <w:rsid w:val="006A768D"/>
    <w:rsid w:val="006A7916"/>
    <w:rsid w:val="006A7A51"/>
    <w:rsid w:val="006B0662"/>
    <w:rsid w:val="006B0926"/>
    <w:rsid w:val="006B092E"/>
    <w:rsid w:val="006B1101"/>
    <w:rsid w:val="006B3285"/>
    <w:rsid w:val="006B3940"/>
    <w:rsid w:val="006B3D1C"/>
    <w:rsid w:val="006B3E0A"/>
    <w:rsid w:val="006B458C"/>
    <w:rsid w:val="006B4601"/>
    <w:rsid w:val="006B4CA0"/>
    <w:rsid w:val="006B4EAD"/>
    <w:rsid w:val="006B6EF6"/>
    <w:rsid w:val="006B7329"/>
    <w:rsid w:val="006B7610"/>
    <w:rsid w:val="006B7751"/>
    <w:rsid w:val="006B7DFE"/>
    <w:rsid w:val="006C0EC9"/>
    <w:rsid w:val="006C2D67"/>
    <w:rsid w:val="006C36A4"/>
    <w:rsid w:val="006C3738"/>
    <w:rsid w:val="006C400F"/>
    <w:rsid w:val="006C448A"/>
    <w:rsid w:val="006C4A88"/>
    <w:rsid w:val="006C5661"/>
    <w:rsid w:val="006C5F97"/>
    <w:rsid w:val="006C6150"/>
    <w:rsid w:val="006C6403"/>
    <w:rsid w:val="006C656B"/>
    <w:rsid w:val="006C6705"/>
    <w:rsid w:val="006C6D9B"/>
    <w:rsid w:val="006C72B0"/>
    <w:rsid w:val="006C758E"/>
    <w:rsid w:val="006D0171"/>
    <w:rsid w:val="006D07A5"/>
    <w:rsid w:val="006D0AD8"/>
    <w:rsid w:val="006D16A5"/>
    <w:rsid w:val="006D2590"/>
    <w:rsid w:val="006D25D3"/>
    <w:rsid w:val="006D3014"/>
    <w:rsid w:val="006D35E4"/>
    <w:rsid w:val="006D3934"/>
    <w:rsid w:val="006D42C0"/>
    <w:rsid w:val="006D448E"/>
    <w:rsid w:val="006D44E8"/>
    <w:rsid w:val="006D46A5"/>
    <w:rsid w:val="006D4BE6"/>
    <w:rsid w:val="006D5445"/>
    <w:rsid w:val="006D5A74"/>
    <w:rsid w:val="006D5C4F"/>
    <w:rsid w:val="006D62F6"/>
    <w:rsid w:val="006D65B0"/>
    <w:rsid w:val="006D7CD2"/>
    <w:rsid w:val="006D7F08"/>
    <w:rsid w:val="006E031A"/>
    <w:rsid w:val="006E07D0"/>
    <w:rsid w:val="006E17FB"/>
    <w:rsid w:val="006E2925"/>
    <w:rsid w:val="006E41DA"/>
    <w:rsid w:val="006E4778"/>
    <w:rsid w:val="006E477F"/>
    <w:rsid w:val="006E5D7B"/>
    <w:rsid w:val="006E62B5"/>
    <w:rsid w:val="006E6763"/>
    <w:rsid w:val="006E67CA"/>
    <w:rsid w:val="006E68A2"/>
    <w:rsid w:val="006E7DB7"/>
    <w:rsid w:val="006E7ED3"/>
    <w:rsid w:val="006F0094"/>
    <w:rsid w:val="006F0890"/>
    <w:rsid w:val="006F12E5"/>
    <w:rsid w:val="006F2EF6"/>
    <w:rsid w:val="006F32D9"/>
    <w:rsid w:val="006F34A4"/>
    <w:rsid w:val="006F3D84"/>
    <w:rsid w:val="006F40DD"/>
    <w:rsid w:val="006F658B"/>
    <w:rsid w:val="006F6A68"/>
    <w:rsid w:val="006F6B3B"/>
    <w:rsid w:val="006F6DEB"/>
    <w:rsid w:val="006F7654"/>
    <w:rsid w:val="006F7C61"/>
    <w:rsid w:val="007007DB"/>
    <w:rsid w:val="00701717"/>
    <w:rsid w:val="00701922"/>
    <w:rsid w:val="0070195C"/>
    <w:rsid w:val="007021F2"/>
    <w:rsid w:val="007039DD"/>
    <w:rsid w:val="00703D30"/>
    <w:rsid w:val="007041BE"/>
    <w:rsid w:val="00704C2E"/>
    <w:rsid w:val="00704C79"/>
    <w:rsid w:val="00704FE6"/>
    <w:rsid w:val="00705588"/>
    <w:rsid w:val="007055FB"/>
    <w:rsid w:val="007059EF"/>
    <w:rsid w:val="00705A23"/>
    <w:rsid w:val="00705A78"/>
    <w:rsid w:val="00706074"/>
    <w:rsid w:val="0070726D"/>
    <w:rsid w:val="00707594"/>
    <w:rsid w:val="0071121C"/>
    <w:rsid w:val="007113B4"/>
    <w:rsid w:val="00712EFE"/>
    <w:rsid w:val="007132A4"/>
    <w:rsid w:val="0071388F"/>
    <w:rsid w:val="00714432"/>
    <w:rsid w:val="00714685"/>
    <w:rsid w:val="00714B52"/>
    <w:rsid w:val="007157E5"/>
    <w:rsid w:val="00715C94"/>
    <w:rsid w:val="00715FD5"/>
    <w:rsid w:val="00716068"/>
    <w:rsid w:val="007162C9"/>
    <w:rsid w:val="00716C32"/>
    <w:rsid w:val="00717E1E"/>
    <w:rsid w:val="007213FD"/>
    <w:rsid w:val="007216A5"/>
    <w:rsid w:val="0072315E"/>
    <w:rsid w:val="00723B4D"/>
    <w:rsid w:val="00723E70"/>
    <w:rsid w:val="00723F04"/>
    <w:rsid w:val="0072445E"/>
    <w:rsid w:val="007246B3"/>
    <w:rsid w:val="00724E6B"/>
    <w:rsid w:val="007251F7"/>
    <w:rsid w:val="0072602E"/>
    <w:rsid w:val="0072610F"/>
    <w:rsid w:val="00726402"/>
    <w:rsid w:val="00726930"/>
    <w:rsid w:val="007270D9"/>
    <w:rsid w:val="007273E3"/>
    <w:rsid w:val="00730DFB"/>
    <w:rsid w:val="007316DB"/>
    <w:rsid w:val="00731F3F"/>
    <w:rsid w:val="007322F4"/>
    <w:rsid w:val="00732D9B"/>
    <w:rsid w:val="00733AAB"/>
    <w:rsid w:val="007349FF"/>
    <w:rsid w:val="007354E3"/>
    <w:rsid w:val="00735891"/>
    <w:rsid w:val="00735C68"/>
    <w:rsid w:val="00735F37"/>
    <w:rsid w:val="00736171"/>
    <w:rsid w:val="007362E5"/>
    <w:rsid w:val="00736399"/>
    <w:rsid w:val="007367DC"/>
    <w:rsid w:val="007369F4"/>
    <w:rsid w:val="00736A12"/>
    <w:rsid w:val="00736CE1"/>
    <w:rsid w:val="00737869"/>
    <w:rsid w:val="00737E31"/>
    <w:rsid w:val="00740C02"/>
    <w:rsid w:val="0074204F"/>
    <w:rsid w:val="0074235B"/>
    <w:rsid w:val="0074271B"/>
    <w:rsid w:val="0074478B"/>
    <w:rsid w:val="007449C1"/>
    <w:rsid w:val="00744AC2"/>
    <w:rsid w:val="00744E6A"/>
    <w:rsid w:val="00746E66"/>
    <w:rsid w:val="00746F8F"/>
    <w:rsid w:val="00747781"/>
    <w:rsid w:val="00747A56"/>
    <w:rsid w:val="00747B28"/>
    <w:rsid w:val="00747B35"/>
    <w:rsid w:val="00747C51"/>
    <w:rsid w:val="00747E17"/>
    <w:rsid w:val="00747F62"/>
    <w:rsid w:val="007504B4"/>
    <w:rsid w:val="00751B41"/>
    <w:rsid w:val="00751F1C"/>
    <w:rsid w:val="00752027"/>
    <w:rsid w:val="007521B4"/>
    <w:rsid w:val="00752FBE"/>
    <w:rsid w:val="007531C9"/>
    <w:rsid w:val="00754854"/>
    <w:rsid w:val="00754917"/>
    <w:rsid w:val="0075502B"/>
    <w:rsid w:val="00755203"/>
    <w:rsid w:val="00755FE8"/>
    <w:rsid w:val="0075668F"/>
    <w:rsid w:val="00756C28"/>
    <w:rsid w:val="007577AA"/>
    <w:rsid w:val="0076118C"/>
    <w:rsid w:val="0076168A"/>
    <w:rsid w:val="007616C6"/>
    <w:rsid w:val="00761EE2"/>
    <w:rsid w:val="00761F5B"/>
    <w:rsid w:val="007620A2"/>
    <w:rsid w:val="007628A9"/>
    <w:rsid w:val="00762C69"/>
    <w:rsid w:val="0076300B"/>
    <w:rsid w:val="0076440D"/>
    <w:rsid w:val="007646BC"/>
    <w:rsid w:val="00764A84"/>
    <w:rsid w:val="00764E0E"/>
    <w:rsid w:val="007650CC"/>
    <w:rsid w:val="00765556"/>
    <w:rsid w:val="00767365"/>
    <w:rsid w:val="0077001B"/>
    <w:rsid w:val="00770026"/>
    <w:rsid w:val="0077047C"/>
    <w:rsid w:val="00770E59"/>
    <w:rsid w:val="007714ED"/>
    <w:rsid w:val="007715E4"/>
    <w:rsid w:val="007720C9"/>
    <w:rsid w:val="007723B8"/>
    <w:rsid w:val="00772902"/>
    <w:rsid w:val="00772AAE"/>
    <w:rsid w:val="00772B0F"/>
    <w:rsid w:val="00772C8B"/>
    <w:rsid w:val="0077329A"/>
    <w:rsid w:val="00773C42"/>
    <w:rsid w:val="00774466"/>
    <w:rsid w:val="007747C9"/>
    <w:rsid w:val="007753EB"/>
    <w:rsid w:val="00775C00"/>
    <w:rsid w:val="00776618"/>
    <w:rsid w:val="00776F21"/>
    <w:rsid w:val="00781097"/>
    <w:rsid w:val="00781BA4"/>
    <w:rsid w:val="00781EB8"/>
    <w:rsid w:val="00782E24"/>
    <w:rsid w:val="00783316"/>
    <w:rsid w:val="00783CE5"/>
    <w:rsid w:val="00784670"/>
    <w:rsid w:val="00785292"/>
    <w:rsid w:val="0078562F"/>
    <w:rsid w:val="00785B23"/>
    <w:rsid w:val="00786341"/>
    <w:rsid w:val="0079015B"/>
    <w:rsid w:val="00790F2D"/>
    <w:rsid w:val="00790F48"/>
    <w:rsid w:val="00791642"/>
    <w:rsid w:val="0079186F"/>
    <w:rsid w:val="007925CC"/>
    <w:rsid w:val="0079268F"/>
    <w:rsid w:val="00792886"/>
    <w:rsid w:val="0079309B"/>
    <w:rsid w:val="00793190"/>
    <w:rsid w:val="0079363A"/>
    <w:rsid w:val="0079530A"/>
    <w:rsid w:val="00795627"/>
    <w:rsid w:val="0079562F"/>
    <w:rsid w:val="0079566E"/>
    <w:rsid w:val="00795F93"/>
    <w:rsid w:val="007971A2"/>
    <w:rsid w:val="00797828"/>
    <w:rsid w:val="007A0C9B"/>
    <w:rsid w:val="007A117E"/>
    <w:rsid w:val="007A15F8"/>
    <w:rsid w:val="007A1C84"/>
    <w:rsid w:val="007A23D2"/>
    <w:rsid w:val="007A2B80"/>
    <w:rsid w:val="007A3029"/>
    <w:rsid w:val="007A3299"/>
    <w:rsid w:val="007A415D"/>
    <w:rsid w:val="007A4D0B"/>
    <w:rsid w:val="007A5386"/>
    <w:rsid w:val="007A54D1"/>
    <w:rsid w:val="007A5A7A"/>
    <w:rsid w:val="007A6FDE"/>
    <w:rsid w:val="007A74C9"/>
    <w:rsid w:val="007A7A8D"/>
    <w:rsid w:val="007A7FAD"/>
    <w:rsid w:val="007B04A7"/>
    <w:rsid w:val="007B04FF"/>
    <w:rsid w:val="007B1075"/>
    <w:rsid w:val="007B1185"/>
    <w:rsid w:val="007B20B7"/>
    <w:rsid w:val="007B230F"/>
    <w:rsid w:val="007B2625"/>
    <w:rsid w:val="007B2D30"/>
    <w:rsid w:val="007B307D"/>
    <w:rsid w:val="007B3D21"/>
    <w:rsid w:val="007B40F0"/>
    <w:rsid w:val="007B503A"/>
    <w:rsid w:val="007B5815"/>
    <w:rsid w:val="007C0CDE"/>
    <w:rsid w:val="007C0E2D"/>
    <w:rsid w:val="007C1E05"/>
    <w:rsid w:val="007C21A4"/>
    <w:rsid w:val="007C242E"/>
    <w:rsid w:val="007C38AF"/>
    <w:rsid w:val="007C44FF"/>
    <w:rsid w:val="007C46B2"/>
    <w:rsid w:val="007C4DFB"/>
    <w:rsid w:val="007C5046"/>
    <w:rsid w:val="007C5063"/>
    <w:rsid w:val="007C50DC"/>
    <w:rsid w:val="007C5418"/>
    <w:rsid w:val="007C6DA2"/>
    <w:rsid w:val="007C70CF"/>
    <w:rsid w:val="007D1DE7"/>
    <w:rsid w:val="007D2253"/>
    <w:rsid w:val="007D272E"/>
    <w:rsid w:val="007D3800"/>
    <w:rsid w:val="007D4888"/>
    <w:rsid w:val="007D5579"/>
    <w:rsid w:val="007D56D7"/>
    <w:rsid w:val="007D5C3B"/>
    <w:rsid w:val="007D719F"/>
    <w:rsid w:val="007D72EA"/>
    <w:rsid w:val="007D7654"/>
    <w:rsid w:val="007E0EAA"/>
    <w:rsid w:val="007E111B"/>
    <w:rsid w:val="007E24AC"/>
    <w:rsid w:val="007E27B9"/>
    <w:rsid w:val="007E2B47"/>
    <w:rsid w:val="007E34D4"/>
    <w:rsid w:val="007E3567"/>
    <w:rsid w:val="007E3631"/>
    <w:rsid w:val="007E364B"/>
    <w:rsid w:val="007E399F"/>
    <w:rsid w:val="007E4304"/>
    <w:rsid w:val="007E5010"/>
    <w:rsid w:val="007E5E5D"/>
    <w:rsid w:val="007E64AC"/>
    <w:rsid w:val="007E7EBD"/>
    <w:rsid w:val="007F04D1"/>
    <w:rsid w:val="007F1405"/>
    <w:rsid w:val="007F15FC"/>
    <w:rsid w:val="007F3D3D"/>
    <w:rsid w:val="007F4012"/>
    <w:rsid w:val="007F4DCE"/>
    <w:rsid w:val="007F70C6"/>
    <w:rsid w:val="007F7997"/>
    <w:rsid w:val="007F7CC3"/>
    <w:rsid w:val="0080089B"/>
    <w:rsid w:val="008009BD"/>
    <w:rsid w:val="008009CB"/>
    <w:rsid w:val="0080182D"/>
    <w:rsid w:val="00801E65"/>
    <w:rsid w:val="00801E77"/>
    <w:rsid w:val="008025F3"/>
    <w:rsid w:val="00802923"/>
    <w:rsid w:val="00802A87"/>
    <w:rsid w:val="00802CCE"/>
    <w:rsid w:val="00802D42"/>
    <w:rsid w:val="0080300B"/>
    <w:rsid w:val="00804390"/>
    <w:rsid w:val="00804EE2"/>
    <w:rsid w:val="008050AC"/>
    <w:rsid w:val="008070FC"/>
    <w:rsid w:val="00807F1E"/>
    <w:rsid w:val="00810440"/>
    <w:rsid w:val="008108EA"/>
    <w:rsid w:val="00810A40"/>
    <w:rsid w:val="008115AF"/>
    <w:rsid w:val="00811647"/>
    <w:rsid w:val="00811770"/>
    <w:rsid w:val="00812003"/>
    <w:rsid w:val="008121B9"/>
    <w:rsid w:val="008123A0"/>
    <w:rsid w:val="00812628"/>
    <w:rsid w:val="00812BA1"/>
    <w:rsid w:val="00812C30"/>
    <w:rsid w:val="00813389"/>
    <w:rsid w:val="00813699"/>
    <w:rsid w:val="00813A51"/>
    <w:rsid w:val="00813D0F"/>
    <w:rsid w:val="0081417A"/>
    <w:rsid w:val="0081424E"/>
    <w:rsid w:val="008145BE"/>
    <w:rsid w:val="00815E5C"/>
    <w:rsid w:val="00815EC7"/>
    <w:rsid w:val="0081675F"/>
    <w:rsid w:val="00816D34"/>
    <w:rsid w:val="00817C2F"/>
    <w:rsid w:val="00817D07"/>
    <w:rsid w:val="0082091B"/>
    <w:rsid w:val="008212DE"/>
    <w:rsid w:val="008214E3"/>
    <w:rsid w:val="008232F0"/>
    <w:rsid w:val="008238D2"/>
    <w:rsid w:val="00823D7E"/>
    <w:rsid w:val="00824494"/>
    <w:rsid w:val="008246BE"/>
    <w:rsid w:val="00824C8C"/>
    <w:rsid w:val="00826337"/>
    <w:rsid w:val="00826574"/>
    <w:rsid w:val="00826E5F"/>
    <w:rsid w:val="00827B71"/>
    <w:rsid w:val="008307A7"/>
    <w:rsid w:val="00830BE9"/>
    <w:rsid w:val="00830DD2"/>
    <w:rsid w:val="00832AC0"/>
    <w:rsid w:val="0083303F"/>
    <w:rsid w:val="008338E6"/>
    <w:rsid w:val="00833E9F"/>
    <w:rsid w:val="00834BAF"/>
    <w:rsid w:val="00835549"/>
    <w:rsid w:val="0083566D"/>
    <w:rsid w:val="00835DF8"/>
    <w:rsid w:val="008361B1"/>
    <w:rsid w:val="00836891"/>
    <w:rsid w:val="00836AB7"/>
    <w:rsid w:val="00836F06"/>
    <w:rsid w:val="00837100"/>
    <w:rsid w:val="0083739B"/>
    <w:rsid w:val="00837C36"/>
    <w:rsid w:val="00840879"/>
    <w:rsid w:val="00840C5D"/>
    <w:rsid w:val="00841688"/>
    <w:rsid w:val="00841B74"/>
    <w:rsid w:val="00841D90"/>
    <w:rsid w:val="00843536"/>
    <w:rsid w:val="008439CE"/>
    <w:rsid w:val="00844691"/>
    <w:rsid w:val="00844AB3"/>
    <w:rsid w:val="0084524B"/>
    <w:rsid w:val="008452A0"/>
    <w:rsid w:val="0084545C"/>
    <w:rsid w:val="00845B2B"/>
    <w:rsid w:val="008462D0"/>
    <w:rsid w:val="00846805"/>
    <w:rsid w:val="00846EEE"/>
    <w:rsid w:val="008510BA"/>
    <w:rsid w:val="008511CC"/>
    <w:rsid w:val="0085125F"/>
    <w:rsid w:val="00851322"/>
    <w:rsid w:val="00851651"/>
    <w:rsid w:val="00851742"/>
    <w:rsid w:val="00851BEC"/>
    <w:rsid w:val="00851D34"/>
    <w:rsid w:val="00852CE2"/>
    <w:rsid w:val="008535FD"/>
    <w:rsid w:val="008537D3"/>
    <w:rsid w:val="00853CFC"/>
    <w:rsid w:val="008549C6"/>
    <w:rsid w:val="00854B9A"/>
    <w:rsid w:val="00854EFD"/>
    <w:rsid w:val="008558AA"/>
    <w:rsid w:val="0085613F"/>
    <w:rsid w:val="00856AD0"/>
    <w:rsid w:val="00856E80"/>
    <w:rsid w:val="00856EC5"/>
    <w:rsid w:val="00857DF3"/>
    <w:rsid w:val="00861030"/>
    <w:rsid w:val="008612B1"/>
    <w:rsid w:val="00861F85"/>
    <w:rsid w:val="00862506"/>
    <w:rsid w:val="00862A57"/>
    <w:rsid w:val="008637A8"/>
    <w:rsid w:val="00863BE6"/>
    <w:rsid w:val="008645C9"/>
    <w:rsid w:val="0086567D"/>
    <w:rsid w:val="0086614C"/>
    <w:rsid w:val="00866AEE"/>
    <w:rsid w:val="0086728C"/>
    <w:rsid w:val="008678BF"/>
    <w:rsid w:val="008702DA"/>
    <w:rsid w:val="008707D0"/>
    <w:rsid w:val="00870BD5"/>
    <w:rsid w:val="00871D30"/>
    <w:rsid w:val="008727D9"/>
    <w:rsid w:val="0087302C"/>
    <w:rsid w:val="00873082"/>
    <w:rsid w:val="00873493"/>
    <w:rsid w:val="008738FE"/>
    <w:rsid w:val="00875C8D"/>
    <w:rsid w:val="00876846"/>
    <w:rsid w:val="00876E1E"/>
    <w:rsid w:val="008818E0"/>
    <w:rsid w:val="00882405"/>
    <w:rsid w:val="00882A76"/>
    <w:rsid w:val="00882CB3"/>
    <w:rsid w:val="00883DC9"/>
    <w:rsid w:val="00885061"/>
    <w:rsid w:val="0088537A"/>
    <w:rsid w:val="00885653"/>
    <w:rsid w:val="00886CBA"/>
    <w:rsid w:val="0088750C"/>
    <w:rsid w:val="008877D9"/>
    <w:rsid w:val="00887874"/>
    <w:rsid w:val="008879B8"/>
    <w:rsid w:val="00887DE1"/>
    <w:rsid w:val="00890C5A"/>
    <w:rsid w:val="00892036"/>
    <w:rsid w:val="0089224B"/>
    <w:rsid w:val="00892591"/>
    <w:rsid w:val="00892748"/>
    <w:rsid w:val="008932DB"/>
    <w:rsid w:val="008934B8"/>
    <w:rsid w:val="00893565"/>
    <w:rsid w:val="00893597"/>
    <w:rsid w:val="008936C1"/>
    <w:rsid w:val="00894037"/>
    <w:rsid w:val="008944A7"/>
    <w:rsid w:val="0089476F"/>
    <w:rsid w:val="008948EA"/>
    <w:rsid w:val="00894A29"/>
    <w:rsid w:val="00895442"/>
    <w:rsid w:val="008971C8"/>
    <w:rsid w:val="008976B3"/>
    <w:rsid w:val="00897C55"/>
    <w:rsid w:val="008A058B"/>
    <w:rsid w:val="008A1148"/>
    <w:rsid w:val="008A1853"/>
    <w:rsid w:val="008A23A8"/>
    <w:rsid w:val="008A24F0"/>
    <w:rsid w:val="008A26BE"/>
    <w:rsid w:val="008A2B7D"/>
    <w:rsid w:val="008A2DA8"/>
    <w:rsid w:val="008A31B0"/>
    <w:rsid w:val="008A3697"/>
    <w:rsid w:val="008A3E44"/>
    <w:rsid w:val="008A4299"/>
    <w:rsid w:val="008A457E"/>
    <w:rsid w:val="008A4F5F"/>
    <w:rsid w:val="008A51C5"/>
    <w:rsid w:val="008A5B27"/>
    <w:rsid w:val="008A5C10"/>
    <w:rsid w:val="008A5CAD"/>
    <w:rsid w:val="008A658B"/>
    <w:rsid w:val="008A659C"/>
    <w:rsid w:val="008A7673"/>
    <w:rsid w:val="008B1588"/>
    <w:rsid w:val="008B24BB"/>
    <w:rsid w:val="008B428F"/>
    <w:rsid w:val="008B42FD"/>
    <w:rsid w:val="008B4B34"/>
    <w:rsid w:val="008B65DA"/>
    <w:rsid w:val="008B7572"/>
    <w:rsid w:val="008C0257"/>
    <w:rsid w:val="008C1435"/>
    <w:rsid w:val="008C16D1"/>
    <w:rsid w:val="008C18ED"/>
    <w:rsid w:val="008C1B51"/>
    <w:rsid w:val="008C1D16"/>
    <w:rsid w:val="008C1D1A"/>
    <w:rsid w:val="008C23D6"/>
    <w:rsid w:val="008C2DEA"/>
    <w:rsid w:val="008C2E3B"/>
    <w:rsid w:val="008C30EE"/>
    <w:rsid w:val="008C39A3"/>
    <w:rsid w:val="008C43F5"/>
    <w:rsid w:val="008C499D"/>
    <w:rsid w:val="008C4C72"/>
    <w:rsid w:val="008C55B7"/>
    <w:rsid w:val="008C7EDB"/>
    <w:rsid w:val="008D0E6D"/>
    <w:rsid w:val="008D2686"/>
    <w:rsid w:val="008D3555"/>
    <w:rsid w:val="008D3FFB"/>
    <w:rsid w:val="008D4C29"/>
    <w:rsid w:val="008D5B85"/>
    <w:rsid w:val="008D61C3"/>
    <w:rsid w:val="008D6E3A"/>
    <w:rsid w:val="008D7109"/>
    <w:rsid w:val="008D7D3A"/>
    <w:rsid w:val="008E0F48"/>
    <w:rsid w:val="008E0F4E"/>
    <w:rsid w:val="008E1D81"/>
    <w:rsid w:val="008E2B7F"/>
    <w:rsid w:val="008E4372"/>
    <w:rsid w:val="008E4567"/>
    <w:rsid w:val="008E4CD4"/>
    <w:rsid w:val="008E553F"/>
    <w:rsid w:val="008E656F"/>
    <w:rsid w:val="008E67A3"/>
    <w:rsid w:val="008E69D1"/>
    <w:rsid w:val="008E6C01"/>
    <w:rsid w:val="008E6CEE"/>
    <w:rsid w:val="008E7876"/>
    <w:rsid w:val="008E7D67"/>
    <w:rsid w:val="008F0271"/>
    <w:rsid w:val="008F0961"/>
    <w:rsid w:val="008F169E"/>
    <w:rsid w:val="008F17FD"/>
    <w:rsid w:val="008F21E3"/>
    <w:rsid w:val="008F4C4C"/>
    <w:rsid w:val="008F5059"/>
    <w:rsid w:val="008F52EB"/>
    <w:rsid w:val="008F5AB7"/>
    <w:rsid w:val="008F621C"/>
    <w:rsid w:val="008F6475"/>
    <w:rsid w:val="008F6545"/>
    <w:rsid w:val="008F6783"/>
    <w:rsid w:val="008F682C"/>
    <w:rsid w:val="008F6CA0"/>
    <w:rsid w:val="008F72F2"/>
    <w:rsid w:val="00900C1F"/>
    <w:rsid w:val="009014FF"/>
    <w:rsid w:val="00901934"/>
    <w:rsid w:val="00902382"/>
    <w:rsid w:val="009023DE"/>
    <w:rsid w:val="00902DBB"/>
    <w:rsid w:val="00904301"/>
    <w:rsid w:val="009057B0"/>
    <w:rsid w:val="0090585D"/>
    <w:rsid w:val="00906086"/>
    <w:rsid w:val="009063AC"/>
    <w:rsid w:val="009064D6"/>
    <w:rsid w:val="009065E4"/>
    <w:rsid w:val="0090794F"/>
    <w:rsid w:val="00911D98"/>
    <w:rsid w:val="00911F3D"/>
    <w:rsid w:val="00912987"/>
    <w:rsid w:val="00912EA7"/>
    <w:rsid w:val="00914523"/>
    <w:rsid w:val="00914720"/>
    <w:rsid w:val="00914C59"/>
    <w:rsid w:val="00914C86"/>
    <w:rsid w:val="00914E02"/>
    <w:rsid w:val="009150B7"/>
    <w:rsid w:val="009154C3"/>
    <w:rsid w:val="00915582"/>
    <w:rsid w:val="0091578D"/>
    <w:rsid w:val="009158AC"/>
    <w:rsid w:val="00916703"/>
    <w:rsid w:val="00916951"/>
    <w:rsid w:val="00917297"/>
    <w:rsid w:val="00920098"/>
    <w:rsid w:val="0092097C"/>
    <w:rsid w:val="00920AC9"/>
    <w:rsid w:val="00920F10"/>
    <w:rsid w:val="0092142F"/>
    <w:rsid w:val="009216EC"/>
    <w:rsid w:val="00921D6E"/>
    <w:rsid w:val="00922561"/>
    <w:rsid w:val="00922D0D"/>
    <w:rsid w:val="00922D80"/>
    <w:rsid w:val="00922E00"/>
    <w:rsid w:val="00923382"/>
    <w:rsid w:val="00923944"/>
    <w:rsid w:val="00923B93"/>
    <w:rsid w:val="009254E5"/>
    <w:rsid w:val="00925AA8"/>
    <w:rsid w:val="00926B36"/>
    <w:rsid w:val="00926C91"/>
    <w:rsid w:val="00927095"/>
    <w:rsid w:val="00927643"/>
    <w:rsid w:val="00927927"/>
    <w:rsid w:val="00927B20"/>
    <w:rsid w:val="009323B4"/>
    <w:rsid w:val="00932679"/>
    <w:rsid w:val="00933B3C"/>
    <w:rsid w:val="00933C84"/>
    <w:rsid w:val="009352BD"/>
    <w:rsid w:val="009359A8"/>
    <w:rsid w:val="00935A75"/>
    <w:rsid w:val="00935F84"/>
    <w:rsid w:val="009360B2"/>
    <w:rsid w:val="00936B1F"/>
    <w:rsid w:val="009377D9"/>
    <w:rsid w:val="00937BCA"/>
    <w:rsid w:val="009408B2"/>
    <w:rsid w:val="00942E8C"/>
    <w:rsid w:val="0094374E"/>
    <w:rsid w:val="00943BB2"/>
    <w:rsid w:val="00943DF0"/>
    <w:rsid w:val="00943F61"/>
    <w:rsid w:val="009447BD"/>
    <w:rsid w:val="00945125"/>
    <w:rsid w:val="00946AC9"/>
    <w:rsid w:val="00947437"/>
    <w:rsid w:val="00947F0A"/>
    <w:rsid w:val="00950E2E"/>
    <w:rsid w:val="00951261"/>
    <w:rsid w:val="00951530"/>
    <w:rsid w:val="00951700"/>
    <w:rsid w:val="009522FE"/>
    <w:rsid w:val="00952925"/>
    <w:rsid w:val="00954086"/>
    <w:rsid w:val="0095461D"/>
    <w:rsid w:val="00954698"/>
    <w:rsid w:val="009548FC"/>
    <w:rsid w:val="00955278"/>
    <w:rsid w:val="00955A56"/>
    <w:rsid w:val="00955B1D"/>
    <w:rsid w:val="00956333"/>
    <w:rsid w:val="00957A2B"/>
    <w:rsid w:val="00957A77"/>
    <w:rsid w:val="009619D8"/>
    <w:rsid w:val="00961F22"/>
    <w:rsid w:val="009624C1"/>
    <w:rsid w:val="00962945"/>
    <w:rsid w:val="009635AB"/>
    <w:rsid w:val="0096527D"/>
    <w:rsid w:val="0096772E"/>
    <w:rsid w:val="00970C2D"/>
    <w:rsid w:val="00972564"/>
    <w:rsid w:val="00972573"/>
    <w:rsid w:val="00972EC2"/>
    <w:rsid w:val="009733FA"/>
    <w:rsid w:val="00973453"/>
    <w:rsid w:val="009736CC"/>
    <w:rsid w:val="00973926"/>
    <w:rsid w:val="00973A71"/>
    <w:rsid w:val="00973FF2"/>
    <w:rsid w:val="0097529C"/>
    <w:rsid w:val="00975361"/>
    <w:rsid w:val="00975744"/>
    <w:rsid w:val="00975E21"/>
    <w:rsid w:val="00975ECE"/>
    <w:rsid w:val="00977A46"/>
    <w:rsid w:val="00977AC7"/>
    <w:rsid w:val="00981164"/>
    <w:rsid w:val="00986451"/>
    <w:rsid w:val="0098671E"/>
    <w:rsid w:val="00986735"/>
    <w:rsid w:val="00986F77"/>
    <w:rsid w:val="00987211"/>
    <w:rsid w:val="009874D9"/>
    <w:rsid w:val="0098759C"/>
    <w:rsid w:val="009877E4"/>
    <w:rsid w:val="00990C69"/>
    <w:rsid w:val="009911A5"/>
    <w:rsid w:val="00993B51"/>
    <w:rsid w:val="0099597F"/>
    <w:rsid w:val="00995A6B"/>
    <w:rsid w:val="00996397"/>
    <w:rsid w:val="0099669D"/>
    <w:rsid w:val="00997060"/>
    <w:rsid w:val="0099730D"/>
    <w:rsid w:val="00997B45"/>
    <w:rsid w:val="009A046D"/>
    <w:rsid w:val="009A12DB"/>
    <w:rsid w:val="009A17C1"/>
    <w:rsid w:val="009A1974"/>
    <w:rsid w:val="009A244D"/>
    <w:rsid w:val="009A2BD9"/>
    <w:rsid w:val="009A3347"/>
    <w:rsid w:val="009A39B7"/>
    <w:rsid w:val="009A3DE1"/>
    <w:rsid w:val="009A5E10"/>
    <w:rsid w:val="009A5F75"/>
    <w:rsid w:val="009A6666"/>
    <w:rsid w:val="009A68D2"/>
    <w:rsid w:val="009A6AF0"/>
    <w:rsid w:val="009A73C7"/>
    <w:rsid w:val="009A77CB"/>
    <w:rsid w:val="009A7BC5"/>
    <w:rsid w:val="009A7FAB"/>
    <w:rsid w:val="009B096A"/>
    <w:rsid w:val="009B1054"/>
    <w:rsid w:val="009B1735"/>
    <w:rsid w:val="009B1F4B"/>
    <w:rsid w:val="009B30E3"/>
    <w:rsid w:val="009B341F"/>
    <w:rsid w:val="009B345C"/>
    <w:rsid w:val="009B39DE"/>
    <w:rsid w:val="009B405B"/>
    <w:rsid w:val="009B46D2"/>
    <w:rsid w:val="009B61E7"/>
    <w:rsid w:val="009B7AA7"/>
    <w:rsid w:val="009C0D0F"/>
    <w:rsid w:val="009C1381"/>
    <w:rsid w:val="009C1A12"/>
    <w:rsid w:val="009C2CEC"/>
    <w:rsid w:val="009C312A"/>
    <w:rsid w:val="009C3379"/>
    <w:rsid w:val="009C37B1"/>
    <w:rsid w:val="009C37D1"/>
    <w:rsid w:val="009C477C"/>
    <w:rsid w:val="009C4929"/>
    <w:rsid w:val="009C621F"/>
    <w:rsid w:val="009C6709"/>
    <w:rsid w:val="009C6853"/>
    <w:rsid w:val="009C6E86"/>
    <w:rsid w:val="009D177D"/>
    <w:rsid w:val="009D2277"/>
    <w:rsid w:val="009D2724"/>
    <w:rsid w:val="009D28EA"/>
    <w:rsid w:val="009D30B6"/>
    <w:rsid w:val="009D3261"/>
    <w:rsid w:val="009D492B"/>
    <w:rsid w:val="009D5313"/>
    <w:rsid w:val="009D5385"/>
    <w:rsid w:val="009D6102"/>
    <w:rsid w:val="009D6274"/>
    <w:rsid w:val="009D6A49"/>
    <w:rsid w:val="009D6B47"/>
    <w:rsid w:val="009D6F86"/>
    <w:rsid w:val="009D715A"/>
    <w:rsid w:val="009D7366"/>
    <w:rsid w:val="009D7D63"/>
    <w:rsid w:val="009D7E98"/>
    <w:rsid w:val="009E0481"/>
    <w:rsid w:val="009E06DC"/>
    <w:rsid w:val="009E0948"/>
    <w:rsid w:val="009E0B87"/>
    <w:rsid w:val="009E2396"/>
    <w:rsid w:val="009E24EC"/>
    <w:rsid w:val="009E3136"/>
    <w:rsid w:val="009E3630"/>
    <w:rsid w:val="009E37EC"/>
    <w:rsid w:val="009E3B65"/>
    <w:rsid w:val="009E42DE"/>
    <w:rsid w:val="009E43D8"/>
    <w:rsid w:val="009E4FF1"/>
    <w:rsid w:val="009E58E9"/>
    <w:rsid w:val="009E5E2F"/>
    <w:rsid w:val="009E6FC9"/>
    <w:rsid w:val="009E7DF8"/>
    <w:rsid w:val="009F0161"/>
    <w:rsid w:val="009F03DB"/>
    <w:rsid w:val="009F0DB4"/>
    <w:rsid w:val="009F0FD5"/>
    <w:rsid w:val="009F1729"/>
    <w:rsid w:val="009F3743"/>
    <w:rsid w:val="009F3ED2"/>
    <w:rsid w:val="009F6028"/>
    <w:rsid w:val="009F6568"/>
    <w:rsid w:val="009F6FA0"/>
    <w:rsid w:val="009F72A6"/>
    <w:rsid w:val="009F7BB6"/>
    <w:rsid w:val="009F7CFF"/>
    <w:rsid w:val="00A005B6"/>
    <w:rsid w:val="00A0060A"/>
    <w:rsid w:val="00A00DC3"/>
    <w:rsid w:val="00A00FE1"/>
    <w:rsid w:val="00A01409"/>
    <w:rsid w:val="00A01865"/>
    <w:rsid w:val="00A01D98"/>
    <w:rsid w:val="00A01DF7"/>
    <w:rsid w:val="00A04011"/>
    <w:rsid w:val="00A05347"/>
    <w:rsid w:val="00A056EE"/>
    <w:rsid w:val="00A058CF"/>
    <w:rsid w:val="00A06732"/>
    <w:rsid w:val="00A078E9"/>
    <w:rsid w:val="00A11623"/>
    <w:rsid w:val="00A1189F"/>
    <w:rsid w:val="00A11CDE"/>
    <w:rsid w:val="00A12915"/>
    <w:rsid w:val="00A12ADB"/>
    <w:rsid w:val="00A12AF7"/>
    <w:rsid w:val="00A12C09"/>
    <w:rsid w:val="00A1324C"/>
    <w:rsid w:val="00A13413"/>
    <w:rsid w:val="00A13895"/>
    <w:rsid w:val="00A15D36"/>
    <w:rsid w:val="00A1670C"/>
    <w:rsid w:val="00A16C96"/>
    <w:rsid w:val="00A17760"/>
    <w:rsid w:val="00A200FB"/>
    <w:rsid w:val="00A20E0C"/>
    <w:rsid w:val="00A20F56"/>
    <w:rsid w:val="00A219C1"/>
    <w:rsid w:val="00A219C5"/>
    <w:rsid w:val="00A220AD"/>
    <w:rsid w:val="00A22266"/>
    <w:rsid w:val="00A2292F"/>
    <w:rsid w:val="00A22F64"/>
    <w:rsid w:val="00A23588"/>
    <w:rsid w:val="00A2443F"/>
    <w:rsid w:val="00A25C36"/>
    <w:rsid w:val="00A26F69"/>
    <w:rsid w:val="00A27A78"/>
    <w:rsid w:val="00A27D69"/>
    <w:rsid w:val="00A3103C"/>
    <w:rsid w:val="00A314E2"/>
    <w:rsid w:val="00A318D2"/>
    <w:rsid w:val="00A32210"/>
    <w:rsid w:val="00A3257D"/>
    <w:rsid w:val="00A32D19"/>
    <w:rsid w:val="00A32EE2"/>
    <w:rsid w:val="00A33F51"/>
    <w:rsid w:val="00A3407D"/>
    <w:rsid w:val="00A34F9F"/>
    <w:rsid w:val="00A35C6F"/>
    <w:rsid w:val="00A35E09"/>
    <w:rsid w:val="00A35FF5"/>
    <w:rsid w:val="00A370F8"/>
    <w:rsid w:val="00A372A7"/>
    <w:rsid w:val="00A37B28"/>
    <w:rsid w:val="00A37F96"/>
    <w:rsid w:val="00A40076"/>
    <w:rsid w:val="00A415EC"/>
    <w:rsid w:val="00A41976"/>
    <w:rsid w:val="00A43A29"/>
    <w:rsid w:val="00A44217"/>
    <w:rsid w:val="00A4422F"/>
    <w:rsid w:val="00A443B3"/>
    <w:rsid w:val="00A45EFA"/>
    <w:rsid w:val="00A468BE"/>
    <w:rsid w:val="00A4695E"/>
    <w:rsid w:val="00A46A1C"/>
    <w:rsid w:val="00A46A46"/>
    <w:rsid w:val="00A50EF9"/>
    <w:rsid w:val="00A5150E"/>
    <w:rsid w:val="00A51EF7"/>
    <w:rsid w:val="00A5262C"/>
    <w:rsid w:val="00A537CC"/>
    <w:rsid w:val="00A5388F"/>
    <w:rsid w:val="00A53CD6"/>
    <w:rsid w:val="00A53CDE"/>
    <w:rsid w:val="00A541BF"/>
    <w:rsid w:val="00A55079"/>
    <w:rsid w:val="00A55E8D"/>
    <w:rsid w:val="00A56104"/>
    <w:rsid w:val="00A56DC8"/>
    <w:rsid w:val="00A5735E"/>
    <w:rsid w:val="00A578A6"/>
    <w:rsid w:val="00A57BC1"/>
    <w:rsid w:val="00A57E0D"/>
    <w:rsid w:val="00A602AB"/>
    <w:rsid w:val="00A60B45"/>
    <w:rsid w:val="00A60C15"/>
    <w:rsid w:val="00A62087"/>
    <w:rsid w:val="00A623BD"/>
    <w:rsid w:val="00A627F9"/>
    <w:rsid w:val="00A6295E"/>
    <w:rsid w:val="00A62C4B"/>
    <w:rsid w:val="00A6305E"/>
    <w:rsid w:val="00A632D7"/>
    <w:rsid w:val="00A6419F"/>
    <w:rsid w:val="00A642AD"/>
    <w:rsid w:val="00A64C4D"/>
    <w:rsid w:val="00A6547A"/>
    <w:rsid w:val="00A6583E"/>
    <w:rsid w:val="00A658C8"/>
    <w:rsid w:val="00A66B40"/>
    <w:rsid w:val="00A66B55"/>
    <w:rsid w:val="00A66DD4"/>
    <w:rsid w:val="00A674DB"/>
    <w:rsid w:val="00A67913"/>
    <w:rsid w:val="00A67E31"/>
    <w:rsid w:val="00A70C23"/>
    <w:rsid w:val="00A71AD8"/>
    <w:rsid w:val="00A72543"/>
    <w:rsid w:val="00A730B3"/>
    <w:rsid w:val="00A73778"/>
    <w:rsid w:val="00A7429A"/>
    <w:rsid w:val="00A75C45"/>
    <w:rsid w:val="00A75E0C"/>
    <w:rsid w:val="00A769D8"/>
    <w:rsid w:val="00A770A8"/>
    <w:rsid w:val="00A77E2A"/>
    <w:rsid w:val="00A80920"/>
    <w:rsid w:val="00A80A91"/>
    <w:rsid w:val="00A80B8B"/>
    <w:rsid w:val="00A81023"/>
    <w:rsid w:val="00A81348"/>
    <w:rsid w:val="00A82B3B"/>
    <w:rsid w:val="00A834A9"/>
    <w:rsid w:val="00A8365E"/>
    <w:rsid w:val="00A83DE4"/>
    <w:rsid w:val="00A87A2E"/>
    <w:rsid w:val="00A90011"/>
    <w:rsid w:val="00A90199"/>
    <w:rsid w:val="00A9025C"/>
    <w:rsid w:val="00A9040C"/>
    <w:rsid w:val="00A90DAB"/>
    <w:rsid w:val="00A91472"/>
    <w:rsid w:val="00A92D40"/>
    <w:rsid w:val="00A93E38"/>
    <w:rsid w:val="00A949BB"/>
    <w:rsid w:val="00A951F8"/>
    <w:rsid w:val="00A95D77"/>
    <w:rsid w:val="00A963D1"/>
    <w:rsid w:val="00A96C97"/>
    <w:rsid w:val="00A97068"/>
    <w:rsid w:val="00A97239"/>
    <w:rsid w:val="00AA0E36"/>
    <w:rsid w:val="00AA11D9"/>
    <w:rsid w:val="00AA172A"/>
    <w:rsid w:val="00AA1A79"/>
    <w:rsid w:val="00AA26D6"/>
    <w:rsid w:val="00AA451B"/>
    <w:rsid w:val="00AA4C64"/>
    <w:rsid w:val="00AA6F36"/>
    <w:rsid w:val="00AA7390"/>
    <w:rsid w:val="00AA77B5"/>
    <w:rsid w:val="00AB1472"/>
    <w:rsid w:val="00AB148F"/>
    <w:rsid w:val="00AB15B5"/>
    <w:rsid w:val="00AB1B7D"/>
    <w:rsid w:val="00AB1EAE"/>
    <w:rsid w:val="00AB4329"/>
    <w:rsid w:val="00AB4E0B"/>
    <w:rsid w:val="00AB5001"/>
    <w:rsid w:val="00AB5B81"/>
    <w:rsid w:val="00AB6D64"/>
    <w:rsid w:val="00AB7044"/>
    <w:rsid w:val="00AB71EF"/>
    <w:rsid w:val="00AB7CAA"/>
    <w:rsid w:val="00AC0011"/>
    <w:rsid w:val="00AC0042"/>
    <w:rsid w:val="00AC00C0"/>
    <w:rsid w:val="00AC011B"/>
    <w:rsid w:val="00AC0480"/>
    <w:rsid w:val="00AC0B70"/>
    <w:rsid w:val="00AC15D9"/>
    <w:rsid w:val="00AC2B8A"/>
    <w:rsid w:val="00AC313F"/>
    <w:rsid w:val="00AC392D"/>
    <w:rsid w:val="00AC4045"/>
    <w:rsid w:val="00AC4B2D"/>
    <w:rsid w:val="00AC5614"/>
    <w:rsid w:val="00AC6A58"/>
    <w:rsid w:val="00AD0B57"/>
    <w:rsid w:val="00AD0D28"/>
    <w:rsid w:val="00AD0ED2"/>
    <w:rsid w:val="00AD11DC"/>
    <w:rsid w:val="00AD1B73"/>
    <w:rsid w:val="00AD2F06"/>
    <w:rsid w:val="00AD2F55"/>
    <w:rsid w:val="00AD3CE9"/>
    <w:rsid w:val="00AD4F3D"/>
    <w:rsid w:val="00AD5168"/>
    <w:rsid w:val="00AD63EE"/>
    <w:rsid w:val="00AD6699"/>
    <w:rsid w:val="00AD6CA4"/>
    <w:rsid w:val="00AD70D9"/>
    <w:rsid w:val="00AD7C14"/>
    <w:rsid w:val="00AE023E"/>
    <w:rsid w:val="00AE03B0"/>
    <w:rsid w:val="00AE09AD"/>
    <w:rsid w:val="00AE0A5D"/>
    <w:rsid w:val="00AE20C8"/>
    <w:rsid w:val="00AE2B8E"/>
    <w:rsid w:val="00AE2E07"/>
    <w:rsid w:val="00AE32F7"/>
    <w:rsid w:val="00AE341B"/>
    <w:rsid w:val="00AE3600"/>
    <w:rsid w:val="00AE3654"/>
    <w:rsid w:val="00AE4550"/>
    <w:rsid w:val="00AE4FE9"/>
    <w:rsid w:val="00AE552F"/>
    <w:rsid w:val="00AE5905"/>
    <w:rsid w:val="00AE5BC6"/>
    <w:rsid w:val="00AE6525"/>
    <w:rsid w:val="00AE721C"/>
    <w:rsid w:val="00AE72DD"/>
    <w:rsid w:val="00AE73EB"/>
    <w:rsid w:val="00AE73F8"/>
    <w:rsid w:val="00AE749C"/>
    <w:rsid w:val="00AE7BD7"/>
    <w:rsid w:val="00AF0669"/>
    <w:rsid w:val="00AF0895"/>
    <w:rsid w:val="00AF0A31"/>
    <w:rsid w:val="00AF124B"/>
    <w:rsid w:val="00AF1A98"/>
    <w:rsid w:val="00AF1E1D"/>
    <w:rsid w:val="00AF1F84"/>
    <w:rsid w:val="00AF1F92"/>
    <w:rsid w:val="00AF3248"/>
    <w:rsid w:val="00AF38DE"/>
    <w:rsid w:val="00AF3BE1"/>
    <w:rsid w:val="00AF3D8D"/>
    <w:rsid w:val="00AF41FC"/>
    <w:rsid w:val="00AF63C9"/>
    <w:rsid w:val="00AF6699"/>
    <w:rsid w:val="00AF7191"/>
    <w:rsid w:val="00B002EB"/>
    <w:rsid w:val="00B01BDC"/>
    <w:rsid w:val="00B01FF5"/>
    <w:rsid w:val="00B0352F"/>
    <w:rsid w:val="00B035D7"/>
    <w:rsid w:val="00B042DA"/>
    <w:rsid w:val="00B04728"/>
    <w:rsid w:val="00B05435"/>
    <w:rsid w:val="00B057C7"/>
    <w:rsid w:val="00B061B4"/>
    <w:rsid w:val="00B06FE1"/>
    <w:rsid w:val="00B10094"/>
    <w:rsid w:val="00B10AA4"/>
    <w:rsid w:val="00B10D8F"/>
    <w:rsid w:val="00B11597"/>
    <w:rsid w:val="00B11813"/>
    <w:rsid w:val="00B11A13"/>
    <w:rsid w:val="00B11D14"/>
    <w:rsid w:val="00B1243D"/>
    <w:rsid w:val="00B124AF"/>
    <w:rsid w:val="00B12555"/>
    <w:rsid w:val="00B127B8"/>
    <w:rsid w:val="00B12B4D"/>
    <w:rsid w:val="00B13093"/>
    <w:rsid w:val="00B133E0"/>
    <w:rsid w:val="00B13592"/>
    <w:rsid w:val="00B138CB"/>
    <w:rsid w:val="00B148F0"/>
    <w:rsid w:val="00B14AEB"/>
    <w:rsid w:val="00B14B8D"/>
    <w:rsid w:val="00B14E53"/>
    <w:rsid w:val="00B14F51"/>
    <w:rsid w:val="00B15AEE"/>
    <w:rsid w:val="00B17904"/>
    <w:rsid w:val="00B17B6C"/>
    <w:rsid w:val="00B17CBD"/>
    <w:rsid w:val="00B17F1C"/>
    <w:rsid w:val="00B205DC"/>
    <w:rsid w:val="00B20802"/>
    <w:rsid w:val="00B208FD"/>
    <w:rsid w:val="00B20CDF"/>
    <w:rsid w:val="00B21A4E"/>
    <w:rsid w:val="00B21C39"/>
    <w:rsid w:val="00B221AF"/>
    <w:rsid w:val="00B226C4"/>
    <w:rsid w:val="00B237C3"/>
    <w:rsid w:val="00B2382D"/>
    <w:rsid w:val="00B23DE9"/>
    <w:rsid w:val="00B259E2"/>
    <w:rsid w:val="00B268D9"/>
    <w:rsid w:val="00B27361"/>
    <w:rsid w:val="00B276A8"/>
    <w:rsid w:val="00B3016F"/>
    <w:rsid w:val="00B30C9C"/>
    <w:rsid w:val="00B324E0"/>
    <w:rsid w:val="00B3266C"/>
    <w:rsid w:val="00B32AD3"/>
    <w:rsid w:val="00B32E5A"/>
    <w:rsid w:val="00B33A12"/>
    <w:rsid w:val="00B33A8B"/>
    <w:rsid w:val="00B3424E"/>
    <w:rsid w:val="00B34F3B"/>
    <w:rsid w:val="00B35AF0"/>
    <w:rsid w:val="00B35B95"/>
    <w:rsid w:val="00B36169"/>
    <w:rsid w:val="00B365A1"/>
    <w:rsid w:val="00B36C7E"/>
    <w:rsid w:val="00B402A2"/>
    <w:rsid w:val="00B40798"/>
    <w:rsid w:val="00B4089A"/>
    <w:rsid w:val="00B40E5D"/>
    <w:rsid w:val="00B41CBB"/>
    <w:rsid w:val="00B41E55"/>
    <w:rsid w:val="00B429B0"/>
    <w:rsid w:val="00B430A5"/>
    <w:rsid w:val="00B437DF"/>
    <w:rsid w:val="00B44ED8"/>
    <w:rsid w:val="00B45138"/>
    <w:rsid w:val="00B45640"/>
    <w:rsid w:val="00B45F75"/>
    <w:rsid w:val="00B4647C"/>
    <w:rsid w:val="00B466C9"/>
    <w:rsid w:val="00B47B05"/>
    <w:rsid w:val="00B51277"/>
    <w:rsid w:val="00B51B0C"/>
    <w:rsid w:val="00B51B11"/>
    <w:rsid w:val="00B51C85"/>
    <w:rsid w:val="00B5248E"/>
    <w:rsid w:val="00B52932"/>
    <w:rsid w:val="00B53922"/>
    <w:rsid w:val="00B539B1"/>
    <w:rsid w:val="00B54707"/>
    <w:rsid w:val="00B54E84"/>
    <w:rsid w:val="00B55349"/>
    <w:rsid w:val="00B5573F"/>
    <w:rsid w:val="00B56CD9"/>
    <w:rsid w:val="00B56E7F"/>
    <w:rsid w:val="00B571D2"/>
    <w:rsid w:val="00B578A7"/>
    <w:rsid w:val="00B57DC2"/>
    <w:rsid w:val="00B60502"/>
    <w:rsid w:val="00B60654"/>
    <w:rsid w:val="00B60740"/>
    <w:rsid w:val="00B618AB"/>
    <w:rsid w:val="00B61C9B"/>
    <w:rsid w:val="00B620FC"/>
    <w:rsid w:val="00B6288E"/>
    <w:rsid w:val="00B62F6C"/>
    <w:rsid w:val="00B6468F"/>
    <w:rsid w:val="00B64F65"/>
    <w:rsid w:val="00B657B9"/>
    <w:rsid w:val="00B6600F"/>
    <w:rsid w:val="00B66465"/>
    <w:rsid w:val="00B67DF0"/>
    <w:rsid w:val="00B67FA7"/>
    <w:rsid w:val="00B7056C"/>
    <w:rsid w:val="00B70A15"/>
    <w:rsid w:val="00B70A92"/>
    <w:rsid w:val="00B70F8D"/>
    <w:rsid w:val="00B7122D"/>
    <w:rsid w:val="00B72909"/>
    <w:rsid w:val="00B72AD8"/>
    <w:rsid w:val="00B72CEC"/>
    <w:rsid w:val="00B73159"/>
    <w:rsid w:val="00B731B8"/>
    <w:rsid w:val="00B732DF"/>
    <w:rsid w:val="00B7344C"/>
    <w:rsid w:val="00B738D7"/>
    <w:rsid w:val="00B73B01"/>
    <w:rsid w:val="00B73E03"/>
    <w:rsid w:val="00B74B93"/>
    <w:rsid w:val="00B750E0"/>
    <w:rsid w:val="00B75140"/>
    <w:rsid w:val="00B756F3"/>
    <w:rsid w:val="00B75EE2"/>
    <w:rsid w:val="00B760D0"/>
    <w:rsid w:val="00B771D6"/>
    <w:rsid w:val="00B77576"/>
    <w:rsid w:val="00B80157"/>
    <w:rsid w:val="00B80653"/>
    <w:rsid w:val="00B80F05"/>
    <w:rsid w:val="00B83B63"/>
    <w:rsid w:val="00B849E1"/>
    <w:rsid w:val="00B85881"/>
    <w:rsid w:val="00B85A78"/>
    <w:rsid w:val="00B85B71"/>
    <w:rsid w:val="00B85EFC"/>
    <w:rsid w:val="00B86539"/>
    <w:rsid w:val="00B86772"/>
    <w:rsid w:val="00B87D2A"/>
    <w:rsid w:val="00B90FF7"/>
    <w:rsid w:val="00B91411"/>
    <w:rsid w:val="00B91AB2"/>
    <w:rsid w:val="00B91AE8"/>
    <w:rsid w:val="00B91E64"/>
    <w:rsid w:val="00B92046"/>
    <w:rsid w:val="00B9280E"/>
    <w:rsid w:val="00B929C7"/>
    <w:rsid w:val="00B929CA"/>
    <w:rsid w:val="00B93C73"/>
    <w:rsid w:val="00B94FB0"/>
    <w:rsid w:val="00B954A0"/>
    <w:rsid w:val="00B9567C"/>
    <w:rsid w:val="00B95C51"/>
    <w:rsid w:val="00B95CD1"/>
    <w:rsid w:val="00B95E7D"/>
    <w:rsid w:val="00B962C8"/>
    <w:rsid w:val="00B964BB"/>
    <w:rsid w:val="00B9741E"/>
    <w:rsid w:val="00B97F96"/>
    <w:rsid w:val="00BA05D1"/>
    <w:rsid w:val="00BA086F"/>
    <w:rsid w:val="00BA0B65"/>
    <w:rsid w:val="00BA0CBA"/>
    <w:rsid w:val="00BA10FF"/>
    <w:rsid w:val="00BA1DD8"/>
    <w:rsid w:val="00BA326E"/>
    <w:rsid w:val="00BA3928"/>
    <w:rsid w:val="00BA4693"/>
    <w:rsid w:val="00BA5357"/>
    <w:rsid w:val="00BA67AA"/>
    <w:rsid w:val="00BA773C"/>
    <w:rsid w:val="00BA7995"/>
    <w:rsid w:val="00BA7B4A"/>
    <w:rsid w:val="00BA7ED0"/>
    <w:rsid w:val="00BB01A9"/>
    <w:rsid w:val="00BB1703"/>
    <w:rsid w:val="00BB18CF"/>
    <w:rsid w:val="00BB1B9A"/>
    <w:rsid w:val="00BB1FBE"/>
    <w:rsid w:val="00BB26BD"/>
    <w:rsid w:val="00BB3002"/>
    <w:rsid w:val="00BB38B8"/>
    <w:rsid w:val="00BB38FE"/>
    <w:rsid w:val="00BB3958"/>
    <w:rsid w:val="00BB4542"/>
    <w:rsid w:val="00BB5420"/>
    <w:rsid w:val="00BB596B"/>
    <w:rsid w:val="00BB5C2C"/>
    <w:rsid w:val="00BB5EED"/>
    <w:rsid w:val="00BB5F99"/>
    <w:rsid w:val="00BB6555"/>
    <w:rsid w:val="00BB7E66"/>
    <w:rsid w:val="00BB7F54"/>
    <w:rsid w:val="00BC0070"/>
    <w:rsid w:val="00BC08C2"/>
    <w:rsid w:val="00BC08ED"/>
    <w:rsid w:val="00BC226D"/>
    <w:rsid w:val="00BC249D"/>
    <w:rsid w:val="00BC33BE"/>
    <w:rsid w:val="00BC4605"/>
    <w:rsid w:val="00BC63E6"/>
    <w:rsid w:val="00BC6844"/>
    <w:rsid w:val="00BC71E1"/>
    <w:rsid w:val="00BC7B64"/>
    <w:rsid w:val="00BC7D22"/>
    <w:rsid w:val="00BD007C"/>
    <w:rsid w:val="00BD135F"/>
    <w:rsid w:val="00BD288B"/>
    <w:rsid w:val="00BD3644"/>
    <w:rsid w:val="00BD44C5"/>
    <w:rsid w:val="00BD4686"/>
    <w:rsid w:val="00BD476B"/>
    <w:rsid w:val="00BD4EA5"/>
    <w:rsid w:val="00BD5F6D"/>
    <w:rsid w:val="00BD60AC"/>
    <w:rsid w:val="00BD6384"/>
    <w:rsid w:val="00BD64FB"/>
    <w:rsid w:val="00BD70C8"/>
    <w:rsid w:val="00BD76B6"/>
    <w:rsid w:val="00BD79BD"/>
    <w:rsid w:val="00BD7BC3"/>
    <w:rsid w:val="00BE0DEF"/>
    <w:rsid w:val="00BE195D"/>
    <w:rsid w:val="00BE34AA"/>
    <w:rsid w:val="00BE3678"/>
    <w:rsid w:val="00BE4D23"/>
    <w:rsid w:val="00BE4D6F"/>
    <w:rsid w:val="00BE57B7"/>
    <w:rsid w:val="00BE586E"/>
    <w:rsid w:val="00BE58CC"/>
    <w:rsid w:val="00BE5F84"/>
    <w:rsid w:val="00BE61BE"/>
    <w:rsid w:val="00BE641D"/>
    <w:rsid w:val="00BE6DB1"/>
    <w:rsid w:val="00BE7E97"/>
    <w:rsid w:val="00BF034D"/>
    <w:rsid w:val="00BF04CC"/>
    <w:rsid w:val="00BF06F7"/>
    <w:rsid w:val="00BF0959"/>
    <w:rsid w:val="00BF1D13"/>
    <w:rsid w:val="00BF2FC9"/>
    <w:rsid w:val="00BF346F"/>
    <w:rsid w:val="00BF4C0E"/>
    <w:rsid w:val="00BF5404"/>
    <w:rsid w:val="00BF6A5D"/>
    <w:rsid w:val="00BF7DE4"/>
    <w:rsid w:val="00C0074C"/>
    <w:rsid w:val="00C011FB"/>
    <w:rsid w:val="00C013C1"/>
    <w:rsid w:val="00C016A6"/>
    <w:rsid w:val="00C01993"/>
    <w:rsid w:val="00C02C81"/>
    <w:rsid w:val="00C02F97"/>
    <w:rsid w:val="00C038FB"/>
    <w:rsid w:val="00C0413A"/>
    <w:rsid w:val="00C041BF"/>
    <w:rsid w:val="00C04847"/>
    <w:rsid w:val="00C04952"/>
    <w:rsid w:val="00C04E06"/>
    <w:rsid w:val="00C069AA"/>
    <w:rsid w:val="00C07A91"/>
    <w:rsid w:val="00C10346"/>
    <w:rsid w:val="00C118E2"/>
    <w:rsid w:val="00C11FCD"/>
    <w:rsid w:val="00C12A44"/>
    <w:rsid w:val="00C12D1D"/>
    <w:rsid w:val="00C141B8"/>
    <w:rsid w:val="00C1464E"/>
    <w:rsid w:val="00C14BA7"/>
    <w:rsid w:val="00C153B1"/>
    <w:rsid w:val="00C169D4"/>
    <w:rsid w:val="00C176DC"/>
    <w:rsid w:val="00C20061"/>
    <w:rsid w:val="00C20694"/>
    <w:rsid w:val="00C206FE"/>
    <w:rsid w:val="00C21EED"/>
    <w:rsid w:val="00C22C0B"/>
    <w:rsid w:val="00C236C5"/>
    <w:rsid w:val="00C24C80"/>
    <w:rsid w:val="00C24D09"/>
    <w:rsid w:val="00C2577D"/>
    <w:rsid w:val="00C2617E"/>
    <w:rsid w:val="00C26275"/>
    <w:rsid w:val="00C2778E"/>
    <w:rsid w:val="00C27E7A"/>
    <w:rsid w:val="00C30377"/>
    <w:rsid w:val="00C303F5"/>
    <w:rsid w:val="00C30739"/>
    <w:rsid w:val="00C30C6B"/>
    <w:rsid w:val="00C3120D"/>
    <w:rsid w:val="00C31E43"/>
    <w:rsid w:val="00C33B30"/>
    <w:rsid w:val="00C35275"/>
    <w:rsid w:val="00C35518"/>
    <w:rsid w:val="00C37F15"/>
    <w:rsid w:val="00C41301"/>
    <w:rsid w:val="00C4130F"/>
    <w:rsid w:val="00C421AB"/>
    <w:rsid w:val="00C42FAC"/>
    <w:rsid w:val="00C44E06"/>
    <w:rsid w:val="00C452FA"/>
    <w:rsid w:val="00C45F88"/>
    <w:rsid w:val="00C47778"/>
    <w:rsid w:val="00C51DE2"/>
    <w:rsid w:val="00C51F85"/>
    <w:rsid w:val="00C52A41"/>
    <w:rsid w:val="00C5315A"/>
    <w:rsid w:val="00C5332E"/>
    <w:rsid w:val="00C5343C"/>
    <w:rsid w:val="00C53662"/>
    <w:rsid w:val="00C5429F"/>
    <w:rsid w:val="00C5549C"/>
    <w:rsid w:val="00C55673"/>
    <w:rsid w:val="00C55F72"/>
    <w:rsid w:val="00C5659A"/>
    <w:rsid w:val="00C56E12"/>
    <w:rsid w:val="00C57131"/>
    <w:rsid w:val="00C610FF"/>
    <w:rsid w:val="00C631F5"/>
    <w:rsid w:val="00C63A0E"/>
    <w:rsid w:val="00C63E34"/>
    <w:rsid w:val="00C641BB"/>
    <w:rsid w:val="00C6520C"/>
    <w:rsid w:val="00C66400"/>
    <w:rsid w:val="00C66E8E"/>
    <w:rsid w:val="00C671CE"/>
    <w:rsid w:val="00C7031A"/>
    <w:rsid w:val="00C7045D"/>
    <w:rsid w:val="00C7051B"/>
    <w:rsid w:val="00C70971"/>
    <w:rsid w:val="00C70F24"/>
    <w:rsid w:val="00C7152D"/>
    <w:rsid w:val="00C71BA9"/>
    <w:rsid w:val="00C71F49"/>
    <w:rsid w:val="00C72594"/>
    <w:rsid w:val="00C7322D"/>
    <w:rsid w:val="00C733CB"/>
    <w:rsid w:val="00C74413"/>
    <w:rsid w:val="00C74CB7"/>
    <w:rsid w:val="00C74EA8"/>
    <w:rsid w:val="00C75D6F"/>
    <w:rsid w:val="00C76621"/>
    <w:rsid w:val="00C770E8"/>
    <w:rsid w:val="00C771E1"/>
    <w:rsid w:val="00C81372"/>
    <w:rsid w:val="00C81D99"/>
    <w:rsid w:val="00C82ACC"/>
    <w:rsid w:val="00C83B2B"/>
    <w:rsid w:val="00C83FBB"/>
    <w:rsid w:val="00C84D55"/>
    <w:rsid w:val="00C85368"/>
    <w:rsid w:val="00C85443"/>
    <w:rsid w:val="00C8545F"/>
    <w:rsid w:val="00C862DB"/>
    <w:rsid w:val="00C865AF"/>
    <w:rsid w:val="00C86DD9"/>
    <w:rsid w:val="00C87CC0"/>
    <w:rsid w:val="00C900BA"/>
    <w:rsid w:val="00C90C9B"/>
    <w:rsid w:val="00C9121E"/>
    <w:rsid w:val="00C913A5"/>
    <w:rsid w:val="00C91718"/>
    <w:rsid w:val="00C9189A"/>
    <w:rsid w:val="00C920BD"/>
    <w:rsid w:val="00C9213E"/>
    <w:rsid w:val="00C92CCD"/>
    <w:rsid w:val="00C933B1"/>
    <w:rsid w:val="00C93E92"/>
    <w:rsid w:val="00C93F27"/>
    <w:rsid w:val="00C941CF"/>
    <w:rsid w:val="00C94AAD"/>
    <w:rsid w:val="00C94E93"/>
    <w:rsid w:val="00C953A6"/>
    <w:rsid w:val="00C95C31"/>
    <w:rsid w:val="00C9670D"/>
    <w:rsid w:val="00C97972"/>
    <w:rsid w:val="00C97DB1"/>
    <w:rsid w:val="00CA0244"/>
    <w:rsid w:val="00CA08F2"/>
    <w:rsid w:val="00CA108A"/>
    <w:rsid w:val="00CA13DC"/>
    <w:rsid w:val="00CA156C"/>
    <w:rsid w:val="00CA3A62"/>
    <w:rsid w:val="00CA5179"/>
    <w:rsid w:val="00CA57B3"/>
    <w:rsid w:val="00CA5BD8"/>
    <w:rsid w:val="00CA6141"/>
    <w:rsid w:val="00CA625F"/>
    <w:rsid w:val="00CA6709"/>
    <w:rsid w:val="00CA712C"/>
    <w:rsid w:val="00CA785E"/>
    <w:rsid w:val="00CB0620"/>
    <w:rsid w:val="00CB0CB5"/>
    <w:rsid w:val="00CB1581"/>
    <w:rsid w:val="00CB1FEF"/>
    <w:rsid w:val="00CB2051"/>
    <w:rsid w:val="00CB26C6"/>
    <w:rsid w:val="00CB278B"/>
    <w:rsid w:val="00CB2AC9"/>
    <w:rsid w:val="00CB2EDA"/>
    <w:rsid w:val="00CB34FA"/>
    <w:rsid w:val="00CB3551"/>
    <w:rsid w:val="00CB3AEC"/>
    <w:rsid w:val="00CB41AE"/>
    <w:rsid w:val="00CB41CD"/>
    <w:rsid w:val="00CB4C4E"/>
    <w:rsid w:val="00CB560D"/>
    <w:rsid w:val="00CB5A31"/>
    <w:rsid w:val="00CB6FC2"/>
    <w:rsid w:val="00CB7268"/>
    <w:rsid w:val="00CB74D1"/>
    <w:rsid w:val="00CC155E"/>
    <w:rsid w:val="00CC1CAA"/>
    <w:rsid w:val="00CC1E3D"/>
    <w:rsid w:val="00CC25C5"/>
    <w:rsid w:val="00CC2793"/>
    <w:rsid w:val="00CC34BE"/>
    <w:rsid w:val="00CC36E3"/>
    <w:rsid w:val="00CC3817"/>
    <w:rsid w:val="00CC397B"/>
    <w:rsid w:val="00CC407B"/>
    <w:rsid w:val="00CC40C4"/>
    <w:rsid w:val="00CC4C45"/>
    <w:rsid w:val="00CC52E4"/>
    <w:rsid w:val="00CC5A71"/>
    <w:rsid w:val="00CC5B58"/>
    <w:rsid w:val="00CC654A"/>
    <w:rsid w:val="00CC6B76"/>
    <w:rsid w:val="00CC725C"/>
    <w:rsid w:val="00CD00ED"/>
    <w:rsid w:val="00CD04A7"/>
    <w:rsid w:val="00CD090C"/>
    <w:rsid w:val="00CD3835"/>
    <w:rsid w:val="00CD440C"/>
    <w:rsid w:val="00CD5122"/>
    <w:rsid w:val="00CD542A"/>
    <w:rsid w:val="00CD5615"/>
    <w:rsid w:val="00CD5FA4"/>
    <w:rsid w:val="00CD7557"/>
    <w:rsid w:val="00CD7DE8"/>
    <w:rsid w:val="00CD7F67"/>
    <w:rsid w:val="00CE09C6"/>
    <w:rsid w:val="00CE13B4"/>
    <w:rsid w:val="00CE1533"/>
    <w:rsid w:val="00CE20FC"/>
    <w:rsid w:val="00CE29FD"/>
    <w:rsid w:val="00CE3EDF"/>
    <w:rsid w:val="00CE3FCE"/>
    <w:rsid w:val="00CE4207"/>
    <w:rsid w:val="00CE5403"/>
    <w:rsid w:val="00CE654D"/>
    <w:rsid w:val="00CE6560"/>
    <w:rsid w:val="00CE6A37"/>
    <w:rsid w:val="00CE6CAD"/>
    <w:rsid w:val="00CE730A"/>
    <w:rsid w:val="00CF0A33"/>
    <w:rsid w:val="00CF11BE"/>
    <w:rsid w:val="00CF223C"/>
    <w:rsid w:val="00CF2F3D"/>
    <w:rsid w:val="00CF2FA1"/>
    <w:rsid w:val="00CF31B4"/>
    <w:rsid w:val="00CF37D0"/>
    <w:rsid w:val="00CF4E4B"/>
    <w:rsid w:val="00CF5257"/>
    <w:rsid w:val="00CF7E0D"/>
    <w:rsid w:val="00D001DB"/>
    <w:rsid w:val="00D02FE7"/>
    <w:rsid w:val="00D0444D"/>
    <w:rsid w:val="00D05599"/>
    <w:rsid w:val="00D05791"/>
    <w:rsid w:val="00D05904"/>
    <w:rsid w:val="00D070BD"/>
    <w:rsid w:val="00D07A8A"/>
    <w:rsid w:val="00D1044A"/>
    <w:rsid w:val="00D1262A"/>
    <w:rsid w:val="00D12F82"/>
    <w:rsid w:val="00D13642"/>
    <w:rsid w:val="00D14190"/>
    <w:rsid w:val="00D144D6"/>
    <w:rsid w:val="00D14751"/>
    <w:rsid w:val="00D14901"/>
    <w:rsid w:val="00D152C9"/>
    <w:rsid w:val="00D15720"/>
    <w:rsid w:val="00D15DA1"/>
    <w:rsid w:val="00D16419"/>
    <w:rsid w:val="00D16447"/>
    <w:rsid w:val="00D16A70"/>
    <w:rsid w:val="00D17100"/>
    <w:rsid w:val="00D17AC6"/>
    <w:rsid w:val="00D17EF5"/>
    <w:rsid w:val="00D17F61"/>
    <w:rsid w:val="00D17F64"/>
    <w:rsid w:val="00D20288"/>
    <w:rsid w:val="00D20789"/>
    <w:rsid w:val="00D20B2E"/>
    <w:rsid w:val="00D21651"/>
    <w:rsid w:val="00D21753"/>
    <w:rsid w:val="00D23AA4"/>
    <w:rsid w:val="00D24768"/>
    <w:rsid w:val="00D25526"/>
    <w:rsid w:val="00D256A4"/>
    <w:rsid w:val="00D26696"/>
    <w:rsid w:val="00D26E87"/>
    <w:rsid w:val="00D270E1"/>
    <w:rsid w:val="00D2713A"/>
    <w:rsid w:val="00D27FCD"/>
    <w:rsid w:val="00D30B5C"/>
    <w:rsid w:val="00D30C61"/>
    <w:rsid w:val="00D30E78"/>
    <w:rsid w:val="00D311A5"/>
    <w:rsid w:val="00D314AF"/>
    <w:rsid w:val="00D3187F"/>
    <w:rsid w:val="00D3193B"/>
    <w:rsid w:val="00D32242"/>
    <w:rsid w:val="00D327C1"/>
    <w:rsid w:val="00D33284"/>
    <w:rsid w:val="00D33585"/>
    <w:rsid w:val="00D34181"/>
    <w:rsid w:val="00D344BF"/>
    <w:rsid w:val="00D34554"/>
    <w:rsid w:val="00D346B4"/>
    <w:rsid w:val="00D35137"/>
    <w:rsid w:val="00D35899"/>
    <w:rsid w:val="00D35AFE"/>
    <w:rsid w:val="00D35E94"/>
    <w:rsid w:val="00D36390"/>
    <w:rsid w:val="00D36551"/>
    <w:rsid w:val="00D36DBA"/>
    <w:rsid w:val="00D36F03"/>
    <w:rsid w:val="00D379B0"/>
    <w:rsid w:val="00D37CBF"/>
    <w:rsid w:val="00D4000D"/>
    <w:rsid w:val="00D41D15"/>
    <w:rsid w:val="00D43827"/>
    <w:rsid w:val="00D44D44"/>
    <w:rsid w:val="00D45D7F"/>
    <w:rsid w:val="00D45ECC"/>
    <w:rsid w:val="00D46745"/>
    <w:rsid w:val="00D468EF"/>
    <w:rsid w:val="00D47532"/>
    <w:rsid w:val="00D4782D"/>
    <w:rsid w:val="00D50281"/>
    <w:rsid w:val="00D503E9"/>
    <w:rsid w:val="00D50405"/>
    <w:rsid w:val="00D50762"/>
    <w:rsid w:val="00D510AA"/>
    <w:rsid w:val="00D51D6D"/>
    <w:rsid w:val="00D523B4"/>
    <w:rsid w:val="00D5353C"/>
    <w:rsid w:val="00D538C1"/>
    <w:rsid w:val="00D53A74"/>
    <w:rsid w:val="00D556DF"/>
    <w:rsid w:val="00D55BC1"/>
    <w:rsid w:val="00D56961"/>
    <w:rsid w:val="00D575F2"/>
    <w:rsid w:val="00D60196"/>
    <w:rsid w:val="00D6021E"/>
    <w:rsid w:val="00D60495"/>
    <w:rsid w:val="00D60769"/>
    <w:rsid w:val="00D61056"/>
    <w:rsid w:val="00D61714"/>
    <w:rsid w:val="00D621A8"/>
    <w:rsid w:val="00D62E21"/>
    <w:rsid w:val="00D647D7"/>
    <w:rsid w:val="00D652C2"/>
    <w:rsid w:val="00D6592E"/>
    <w:rsid w:val="00D65AAC"/>
    <w:rsid w:val="00D65B8F"/>
    <w:rsid w:val="00D65F07"/>
    <w:rsid w:val="00D665EC"/>
    <w:rsid w:val="00D6674A"/>
    <w:rsid w:val="00D6729B"/>
    <w:rsid w:val="00D7082D"/>
    <w:rsid w:val="00D71466"/>
    <w:rsid w:val="00D715C3"/>
    <w:rsid w:val="00D71F67"/>
    <w:rsid w:val="00D72404"/>
    <w:rsid w:val="00D730C6"/>
    <w:rsid w:val="00D732EA"/>
    <w:rsid w:val="00D739EE"/>
    <w:rsid w:val="00D74A47"/>
    <w:rsid w:val="00D7574E"/>
    <w:rsid w:val="00D774BA"/>
    <w:rsid w:val="00D77A2B"/>
    <w:rsid w:val="00D77FB1"/>
    <w:rsid w:val="00D80375"/>
    <w:rsid w:val="00D8092A"/>
    <w:rsid w:val="00D80E90"/>
    <w:rsid w:val="00D81E45"/>
    <w:rsid w:val="00D82436"/>
    <w:rsid w:val="00D824A8"/>
    <w:rsid w:val="00D82B10"/>
    <w:rsid w:val="00D82D5C"/>
    <w:rsid w:val="00D82DAF"/>
    <w:rsid w:val="00D82DD7"/>
    <w:rsid w:val="00D83B71"/>
    <w:rsid w:val="00D83F59"/>
    <w:rsid w:val="00D84876"/>
    <w:rsid w:val="00D84A5E"/>
    <w:rsid w:val="00D84F67"/>
    <w:rsid w:val="00D85CC6"/>
    <w:rsid w:val="00D86878"/>
    <w:rsid w:val="00D869A8"/>
    <w:rsid w:val="00D86CCE"/>
    <w:rsid w:val="00D86EE7"/>
    <w:rsid w:val="00D870D7"/>
    <w:rsid w:val="00D87647"/>
    <w:rsid w:val="00D87697"/>
    <w:rsid w:val="00D9002F"/>
    <w:rsid w:val="00D90572"/>
    <w:rsid w:val="00D9104F"/>
    <w:rsid w:val="00D93725"/>
    <w:rsid w:val="00D93780"/>
    <w:rsid w:val="00D943B6"/>
    <w:rsid w:val="00D944DB"/>
    <w:rsid w:val="00D94F68"/>
    <w:rsid w:val="00D95BEB"/>
    <w:rsid w:val="00D96190"/>
    <w:rsid w:val="00DA0C4E"/>
    <w:rsid w:val="00DA12A5"/>
    <w:rsid w:val="00DA2CE0"/>
    <w:rsid w:val="00DA2E88"/>
    <w:rsid w:val="00DA314D"/>
    <w:rsid w:val="00DA4E7A"/>
    <w:rsid w:val="00DA5155"/>
    <w:rsid w:val="00DA5639"/>
    <w:rsid w:val="00DA5C1D"/>
    <w:rsid w:val="00DA6396"/>
    <w:rsid w:val="00DA6BF7"/>
    <w:rsid w:val="00DA73C3"/>
    <w:rsid w:val="00DA73DB"/>
    <w:rsid w:val="00DA782A"/>
    <w:rsid w:val="00DB0F59"/>
    <w:rsid w:val="00DB12FB"/>
    <w:rsid w:val="00DB187A"/>
    <w:rsid w:val="00DB2F4A"/>
    <w:rsid w:val="00DB34A6"/>
    <w:rsid w:val="00DB3649"/>
    <w:rsid w:val="00DB3C1D"/>
    <w:rsid w:val="00DB48BF"/>
    <w:rsid w:val="00DB499D"/>
    <w:rsid w:val="00DB5341"/>
    <w:rsid w:val="00DB61EC"/>
    <w:rsid w:val="00DB7544"/>
    <w:rsid w:val="00DB7E42"/>
    <w:rsid w:val="00DB7ED2"/>
    <w:rsid w:val="00DC00DA"/>
    <w:rsid w:val="00DC063B"/>
    <w:rsid w:val="00DC0783"/>
    <w:rsid w:val="00DC0CE1"/>
    <w:rsid w:val="00DC1966"/>
    <w:rsid w:val="00DC1D68"/>
    <w:rsid w:val="00DC2360"/>
    <w:rsid w:val="00DC2372"/>
    <w:rsid w:val="00DC2601"/>
    <w:rsid w:val="00DC2634"/>
    <w:rsid w:val="00DC3754"/>
    <w:rsid w:val="00DC3CBC"/>
    <w:rsid w:val="00DC488C"/>
    <w:rsid w:val="00DC4B94"/>
    <w:rsid w:val="00DC5297"/>
    <w:rsid w:val="00DC57D3"/>
    <w:rsid w:val="00DC5C13"/>
    <w:rsid w:val="00DC5EFD"/>
    <w:rsid w:val="00DC6934"/>
    <w:rsid w:val="00DC6EFF"/>
    <w:rsid w:val="00DC7006"/>
    <w:rsid w:val="00DC7DFB"/>
    <w:rsid w:val="00DD017D"/>
    <w:rsid w:val="00DD0DB5"/>
    <w:rsid w:val="00DD15CE"/>
    <w:rsid w:val="00DD1E02"/>
    <w:rsid w:val="00DD3959"/>
    <w:rsid w:val="00DD3C58"/>
    <w:rsid w:val="00DD3DC0"/>
    <w:rsid w:val="00DD4628"/>
    <w:rsid w:val="00DD48E2"/>
    <w:rsid w:val="00DD5A5D"/>
    <w:rsid w:val="00DD61C4"/>
    <w:rsid w:val="00DD649D"/>
    <w:rsid w:val="00DD64E2"/>
    <w:rsid w:val="00DD688B"/>
    <w:rsid w:val="00DD6CD8"/>
    <w:rsid w:val="00DD6D0D"/>
    <w:rsid w:val="00DD72CD"/>
    <w:rsid w:val="00DD7923"/>
    <w:rsid w:val="00DE0D22"/>
    <w:rsid w:val="00DE1BFB"/>
    <w:rsid w:val="00DE22AF"/>
    <w:rsid w:val="00DE34C2"/>
    <w:rsid w:val="00DE3BB7"/>
    <w:rsid w:val="00DE3BC2"/>
    <w:rsid w:val="00DE3D4A"/>
    <w:rsid w:val="00DE4001"/>
    <w:rsid w:val="00DE441C"/>
    <w:rsid w:val="00DE4756"/>
    <w:rsid w:val="00DE475B"/>
    <w:rsid w:val="00DE4C21"/>
    <w:rsid w:val="00DE63CA"/>
    <w:rsid w:val="00DE7C28"/>
    <w:rsid w:val="00DF07FB"/>
    <w:rsid w:val="00DF0CC5"/>
    <w:rsid w:val="00DF0F69"/>
    <w:rsid w:val="00DF22F0"/>
    <w:rsid w:val="00DF27A2"/>
    <w:rsid w:val="00DF381B"/>
    <w:rsid w:val="00DF4674"/>
    <w:rsid w:val="00DF51FB"/>
    <w:rsid w:val="00DF5562"/>
    <w:rsid w:val="00DF63C8"/>
    <w:rsid w:val="00DF6B20"/>
    <w:rsid w:val="00DF73B0"/>
    <w:rsid w:val="00DF7F49"/>
    <w:rsid w:val="00E0022C"/>
    <w:rsid w:val="00E0046D"/>
    <w:rsid w:val="00E00F8E"/>
    <w:rsid w:val="00E01DF5"/>
    <w:rsid w:val="00E020E0"/>
    <w:rsid w:val="00E021AE"/>
    <w:rsid w:val="00E02EA7"/>
    <w:rsid w:val="00E0355D"/>
    <w:rsid w:val="00E03C2A"/>
    <w:rsid w:val="00E03C30"/>
    <w:rsid w:val="00E0510C"/>
    <w:rsid w:val="00E05122"/>
    <w:rsid w:val="00E05FE6"/>
    <w:rsid w:val="00E064B5"/>
    <w:rsid w:val="00E06FD1"/>
    <w:rsid w:val="00E071A1"/>
    <w:rsid w:val="00E07D8B"/>
    <w:rsid w:val="00E10504"/>
    <w:rsid w:val="00E10AEF"/>
    <w:rsid w:val="00E11694"/>
    <w:rsid w:val="00E11A54"/>
    <w:rsid w:val="00E131FB"/>
    <w:rsid w:val="00E14C1F"/>
    <w:rsid w:val="00E15E8B"/>
    <w:rsid w:val="00E16532"/>
    <w:rsid w:val="00E16EF8"/>
    <w:rsid w:val="00E1735A"/>
    <w:rsid w:val="00E17E47"/>
    <w:rsid w:val="00E17EB6"/>
    <w:rsid w:val="00E201F1"/>
    <w:rsid w:val="00E206D9"/>
    <w:rsid w:val="00E2078C"/>
    <w:rsid w:val="00E21E13"/>
    <w:rsid w:val="00E22690"/>
    <w:rsid w:val="00E22BD7"/>
    <w:rsid w:val="00E23C80"/>
    <w:rsid w:val="00E23CA8"/>
    <w:rsid w:val="00E24067"/>
    <w:rsid w:val="00E24D97"/>
    <w:rsid w:val="00E24DE0"/>
    <w:rsid w:val="00E25172"/>
    <w:rsid w:val="00E2542E"/>
    <w:rsid w:val="00E26A7A"/>
    <w:rsid w:val="00E3038B"/>
    <w:rsid w:val="00E30C58"/>
    <w:rsid w:val="00E30D8A"/>
    <w:rsid w:val="00E31154"/>
    <w:rsid w:val="00E32F16"/>
    <w:rsid w:val="00E33142"/>
    <w:rsid w:val="00E34832"/>
    <w:rsid w:val="00E34ABF"/>
    <w:rsid w:val="00E350AB"/>
    <w:rsid w:val="00E35937"/>
    <w:rsid w:val="00E35A49"/>
    <w:rsid w:val="00E363F1"/>
    <w:rsid w:val="00E37F52"/>
    <w:rsid w:val="00E40043"/>
    <w:rsid w:val="00E41CC5"/>
    <w:rsid w:val="00E42746"/>
    <w:rsid w:val="00E42F2B"/>
    <w:rsid w:val="00E431D7"/>
    <w:rsid w:val="00E4365F"/>
    <w:rsid w:val="00E43B7B"/>
    <w:rsid w:val="00E43FF9"/>
    <w:rsid w:val="00E445DC"/>
    <w:rsid w:val="00E450F2"/>
    <w:rsid w:val="00E45318"/>
    <w:rsid w:val="00E45F8D"/>
    <w:rsid w:val="00E470E5"/>
    <w:rsid w:val="00E47203"/>
    <w:rsid w:val="00E47D7E"/>
    <w:rsid w:val="00E501D1"/>
    <w:rsid w:val="00E50463"/>
    <w:rsid w:val="00E512D7"/>
    <w:rsid w:val="00E514D0"/>
    <w:rsid w:val="00E51825"/>
    <w:rsid w:val="00E51ADD"/>
    <w:rsid w:val="00E51CC7"/>
    <w:rsid w:val="00E51D6F"/>
    <w:rsid w:val="00E524E4"/>
    <w:rsid w:val="00E52753"/>
    <w:rsid w:val="00E541B8"/>
    <w:rsid w:val="00E54A5B"/>
    <w:rsid w:val="00E557C0"/>
    <w:rsid w:val="00E55D0A"/>
    <w:rsid w:val="00E55EF4"/>
    <w:rsid w:val="00E56023"/>
    <w:rsid w:val="00E565B7"/>
    <w:rsid w:val="00E57332"/>
    <w:rsid w:val="00E57344"/>
    <w:rsid w:val="00E57D04"/>
    <w:rsid w:val="00E57D70"/>
    <w:rsid w:val="00E603C5"/>
    <w:rsid w:val="00E60C94"/>
    <w:rsid w:val="00E60DBF"/>
    <w:rsid w:val="00E60E70"/>
    <w:rsid w:val="00E61015"/>
    <w:rsid w:val="00E619DD"/>
    <w:rsid w:val="00E61C52"/>
    <w:rsid w:val="00E61E82"/>
    <w:rsid w:val="00E62408"/>
    <w:rsid w:val="00E6250F"/>
    <w:rsid w:val="00E62A42"/>
    <w:rsid w:val="00E62E1E"/>
    <w:rsid w:val="00E62FE6"/>
    <w:rsid w:val="00E63B6C"/>
    <w:rsid w:val="00E64A8C"/>
    <w:rsid w:val="00E64FD7"/>
    <w:rsid w:val="00E6669F"/>
    <w:rsid w:val="00E666DB"/>
    <w:rsid w:val="00E66BDA"/>
    <w:rsid w:val="00E71145"/>
    <w:rsid w:val="00E711E0"/>
    <w:rsid w:val="00E71CED"/>
    <w:rsid w:val="00E71E20"/>
    <w:rsid w:val="00E72E1E"/>
    <w:rsid w:val="00E73F20"/>
    <w:rsid w:val="00E740F5"/>
    <w:rsid w:val="00E745F8"/>
    <w:rsid w:val="00E74B88"/>
    <w:rsid w:val="00E755FD"/>
    <w:rsid w:val="00E771F4"/>
    <w:rsid w:val="00E77936"/>
    <w:rsid w:val="00E811B0"/>
    <w:rsid w:val="00E81215"/>
    <w:rsid w:val="00E81F00"/>
    <w:rsid w:val="00E82584"/>
    <w:rsid w:val="00E842DB"/>
    <w:rsid w:val="00E85E1E"/>
    <w:rsid w:val="00E861A5"/>
    <w:rsid w:val="00E868A6"/>
    <w:rsid w:val="00E877DC"/>
    <w:rsid w:val="00E9010D"/>
    <w:rsid w:val="00E906B2"/>
    <w:rsid w:val="00E907B4"/>
    <w:rsid w:val="00E91063"/>
    <w:rsid w:val="00E917BE"/>
    <w:rsid w:val="00E91836"/>
    <w:rsid w:val="00E91EF4"/>
    <w:rsid w:val="00E92394"/>
    <w:rsid w:val="00E92F32"/>
    <w:rsid w:val="00E93942"/>
    <w:rsid w:val="00E94143"/>
    <w:rsid w:val="00E9431A"/>
    <w:rsid w:val="00E94AA4"/>
    <w:rsid w:val="00E9768B"/>
    <w:rsid w:val="00E97FB2"/>
    <w:rsid w:val="00E97FEF"/>
    <w:rsid w:val="00EA438A"/>
    <w:rsid w:val="00EA44E7"/>
    <w:rsid w:val="00EA4D07"/>
    <w:rsid w:val="00EA5C9D"/>
    <w:rsid w:val="00EA60C7"/>
    <w:rsid w:val="00EA634F"/>
    <w:rsid w:val="00EA688B"/>
    <w:rsid w:val="00EB0639"/>
    <w:rsid w:val="00EB0B75"/>
    <w:rsid w:val="00EB26B2"/>
    <w:rsid w:val="00EB3CF7"/>
    <w:rsid w:val="00EB4027"/>
    <w:rsid w:val="00EB4B95"/>
    <w:rsid w:val="00EB62D8"/>
    <w:rsid w:val="00EB6734"/>
    <w:rsid w:val="00EB6AF6"/>
    <w:rsid w:val="00EB7072"/>
    <w:rsid w:val="00EC13A8"/>
    <w:rsid w:val="00EC1988"/>
    <w:rsid w:val="00EC325B"/>
    <w:rsid w:val="00EC342A"/>
    <w:rsid w:val="00EC3744"/>
    <w:rsid w:val="00EC386B"/>
    <w:rsid w:val="00EC3898"/>
    <w:rsid w:val="00EC3910"/>
    <w:rsid w:val="00EC3F31"/>
    <w:rsid w:val="00EC40AE"/>
    <w:rsid w:val="00EC42AF"/>
    <w:rsid w:val="00EC56BF"/>
    <w:rsid w:val="00EC58BD"/>
    <w:rsid w:val="00ED02E4"/>
    <w:rsid w:val="00ED0656"/>
    <w:rsid w:val="00ED1A5F"/>
    <w:rsid w:val="00ED2853"/>
    <w:rsid w:val="00ED2E42"/>
    <w:rsid w:val="00ED2F8D"/>
    <w:rsid w:val="00ED36F3"/>
    <w:rsid w:val="00ED4846"/>
    <w:rsid w:val="00ED5772"/>
    <w:rsid w:val="00ED5AF6"/>
    <w:rsid w:val="00ED6530"/>
    <w:rsid w:val="00ED6BD2"/>
    <w:rsid w:val="00ED6DE7"/>
    <w:rsid w:val="00ED705F"/>
    <w:rsid w:val="00ED7765"/>
    <w:rsid w:val="00ED78A1"/>
    <w:rsid w:val="00ED7F4C"/>
    <w:rsid w:val="00EE0721"/>
    <w:rsid w:val="00EE0EB9"/>
    <w:rsid w:val="00EE169D"/>
    <w:rsid w:val="00EE28D4"/>
    <w:rsid w:val="00EE2EC1"/>
    <w:rsid w:val="00EE44C1"/>
    <w:rsid w:val="00EE48A0"/>
    <w:rsid w:val="00EE4C3D"/>
    <w:rsid w:val="00EE62E7"/>
    <w:rsid w:val="00EE6997"/>
    <w:rsid w:val="00EE7119"/>
    <w:rsid w:val="00EF01B7"/>
    <w:rsid w:val="00EF0E4E"/>
    <w:rsid w:val="00EF2644"/>
    <w:rsid w:val="00EF2C94"/>
    <w:rsid w:val="00EF3E3B"/>
    <w:rsid w:val="00EF4440"/>
    <w:rsid w:val="00EF50F6"/>
    <w:rsid w:val="00EF5479"/>
    <w:rsid w:val="00EF5547"/>
    <w:rsid w:val="00EF7212"/>
    <w:rsid w:val="00EF7C7A"/>
    <w:rsid w:val="00EF7D3F"/>
    <w:rsid w:val="00F00ECF"/>
    <w:rsid w:val="00F01256"/>
    <w:rsid w:val="00F016BC"/>
    <w:rsid w:val="00F018E0"/>
    <w:rsid w:val="00F019E2"/>
    <w:rsid w:val="00F01B95"/>
    <w:rsid w:val="00F01D46"/>
    <w:rsid w:val="00F02773"/>
    <w:rsid w:val="00F037FB"/>
    <w:rsid w:val="00F044D8"/>
    <w:rsid w:val="00F0473F"/>
    <w:rsid w:val="00F04E6E"/>
    <w:rsid w:val="00F04F5D"/>
    <w:rsid w:val="00F054B5"/>
    <w:rsid w:val="00F05D46"/>
    <w:rsid w:val="00F05D69"/>
    <w:rsid w:val="00F061D5"/>
    <w:rsid w:val="00F062EB"/>
    <w:rsid w:val="00F06553"/>
    <w:rsid w:val="00F06807"/>
    <w:rsid w:val="00F0696A"/>
    <w:rsid w:val="00F06BD8"/>
    <w:rsid w:val="00F07335"/>
    <w:rsid w:val="00F0751E"/>
    <w:rsid w:val="00F10DC1"/>
    <w:rsid w:val="00F10E6C"/>
    <w:rsid w:val="00F117F4"/>
    <w:rsid w:val="00F1225F"/>
    <w:rsid w:val="00F12BEF"/>
    <w:rsid w:val="00F13364"/>
    <w:rsid w:val="00F142CB"/>
    <w:rsid w:val="00F14692"/>
    <w:rsid w:val="00F1472E"/>
    <w:rsid w:val="00F167D1"/>
    <w:rsid w:val="00F16C72"/>
    <w:rsid w:val="00F1755B"/>
    <w:rsid w:val="00F17CA4"/>
    <w:rsid w:val="00F17DB4"/>
    <w:rsid w:val="00F20374"/>
    <w:rsid w:val="00F21032"/>
    <w:rsid w:val="00F2157E"/>
    <w:rsid w:val="00F21A38"/>
    <w:rsid w:val="00F21A43"/>
    <w:rsid w:val="00F2409F"/>
    <w:rsid w:val="00F2469C"/>
    <w:rsid w:val="00F25471"/>
    <w:rsid w:val="00F27696"/>
    <w:rsid w:val="00F27AB2"/>
    <w:rsid w:val="00F30133"/>
    <w:rsid w:val="00F30921"/>
    <w:rsid w:val="00F31781"/>
    <w:rsid w:val="00F31D5D"/>
    <w:rsid w:val="00F322D9"/>
    <w:rsid w:val="00F3279D"/>
    <w:rsid w:val="00F329F2"/>
    <w:rsid w:val="00F338A0"/>
    <w:rsid w:val="00F33B1D"/>
    <w:rsid w:val="00F34242"/>
    <w:rsid w:val="00F3459B"/>
    <w:rsid w:val="00F3538A"/>
    <w:rsid w:val="00F3562B"/>
    <w:rsid w:val="00F358C3"/>
    <w:rsid w:val="00F359C3"/>
    <w:rsid w:val="00F35B17"/>
    <w:rsid w:val="00F37DE7"/>
    <w:rsid w:val="00F37EAB"/>
    <w:rsid w:val="00F40446"/>
    <w:rsid w:val="00F41688"/>
    <w:rsid w:val="00F41B29"/>
    <w:rsid w:val="00F41BE4"/>
    <w:rsid w:val="00F41C43"/>
    <w:rsid w:val="00F41E00"/>
    <w:rsid w:val="00F426CC"/>
    <w:rsid w:val="00F42923"/>
    <w:rsid w:val="00F42E4E"/>
    <w:rsid w:val="00F42E50"/>
    <w:rsid w:val="00F42EF1"/>
    <w:rsid w:val="00F440B0"/>
    <w:rsid w:val="00F44AB1"/>
    <w:rsid w:val="00F45036"/>
    <w:rsid w:val="00F451B2"/>
    <w:rsid w:val="00F451D0"/>
    <w:rsid w:val="00F45565"/>
    <w:rsid w:val="00F46536"/>
    <w:rsid w:val="00F4775E"/>
    <w:rsid w:val="00F50A3B"/>
    <w:rsid w:val="00F51889"/>
    <w:rsid w:val="00F52193"/>
    <w:rsid w:val="00F52770"/>
    <w:rsid w:val="00F533DF"/>
    <w:rsid w:val="00F5361B"/>
    <w:rsid w:val="00F53762"/>
    <w:rsid w:val="00F53D2D"/>
    <w:rsid w:val="00F544A3"/>
    <w:rsid w:val="00F549DB"/>
    <w:rsid w:val="00F54A3F"/>
    <w:rsid w:val="00F554A9"/>
    <w:rsid w:val="00F56784"/>
    <w:rsid w:val="00F56872"/>
    <w:rsid w:val="00F5699F"/>
    <w:rsid w:val="00F56BDA"/>
    <w:rsid w:val="00F573AC"/>
    <w:rsid w:val="00F579DF"/>
    <w:rsid w:val="00F60054"/>
    <w:rsid w:val="00F60460"/>
    <w:rsid w:val="00F6065C"/>
    <w:rsid w:val="00F61856"/>
    <w:rsid w:val="00F61CD0"/>
    <w:rsid w:val="00F634A0"/>
    <w:rsid w:val="00F63925"/>
    <w:rsid w:val="00F63F5F"/>
    <w:rsid w:val="00F6481C"/>
    <w:rsid w:val="00F64DE9"/>
    <w:rsid w:val="00F6546B"/>
    <w:rsid w:val="00F65482"/>
    <w:rsid w:val="00F65BA3"/>
    <w:rsid w:val="00F6728F"/>
    <w:rsid w:val="00F6745F"/>
    <w:rsid w:val="00F67579"/>
    <w:rsid w:val="00F7189F"/>
    <w:rsid w:val="00F71B84"/>
    <w:rsid w:val="00F71D56"/>
    <w:rsid w:val="00F7370D"/>
    <w:rsid w:val="00F73916"/>
    <w:rsid w:val="00F74007"/>
    <w:rsid w:val="00F74F1A"/>
    <w:rsid w:val="00F75421"/>
    <w:rsid w:val="00F75D00"/>
    <w:rsid w:val="00F75DBC"/>
    <w:rsid w:val="00F76297"/>
    <w:rsid w:val="00F76799"/>
    <w:rsid w:val="00F772CC"/>
    <w:rsid w:val="00F778BA"/>
    <w:rsid w:val="00F81208"/>
    <w:rsid w:val="00F82044"/>
    <w:rsid w:val="00F83226"/>
    <w:rsid w:val="00F832C0"/>
    <w:rsid w:val="00F84360"/>
    <w:rsid w:val="00F85BA9"/>
    <w:rsid w:val="00F860BF"/>
    <w:rsid w:val="00F8644E"/>
    <w:rsid w:val="00F86D92"/>
    <w:rsid w:val="00F9037E"/>
    <w:rsid w:val="00F91A11"/>
    <w:rsid w:val="00F92BE1"/>
    <w:rsid w:val="00F92CD6"/>
    <w:rsid w:val="00F9327F"/>
    <w:rsid w:val="00F932D9"/>
    <w:rsid w:val="00F9363B"/>
    <w:rsid w:val="00F94E25"/>
    <w:rsid w:val="00F95051"/>
    <w:rsid w:val="00F959C1"/>
    <w:rsid w:val="00F961A9"/>
    <w:rsid w:val="00F9671E"/>
    <w:rsid w:val="00F97B9D"/>
    <w:rsid w:val="00F97C41"/>
    <w:rsid w:val="00FA0035"/>
    <w:rsid w:val="00FA0E3B"/>
    <w:rsid w:val="00FA105D"/>
    <w:rsid w:val="00FA1C3A"/>
    <w:rsid w:val="00FA1D29"/>
    <w:rsid w:val="00FA20BA"/>
    <w:rsid w:val="00FA21A9"/>
    <w:rsid w:val="00FA325C"/>
    <w:rsid w:val="00FA3347"/>
    <w:rsid w:val="00FA340E"/>
    <w:rsid w:val="00FA4300"/>
    <w:rsid w:val="00FA49A6"/>
    <w:rsid w:val="00FA4CB7"/>
    <w:rsid w:val="00FA55A2"/>
    <w:rsid w:val="00FA59D5"/>
    <w:rsid w:val="00FA5BB3"/>
    <w:rsid w:val="00FA631C"/>
    <w:rsid w:val="00FA679A"/>
    <w:rsid w:val="00FA7053"/>
    <w:rsid w:val="00FB0B04"/>
    <w:rsid w:val="00FB0ED0"/>
    <w:rsid w:val="00FB11C7"/>
    <w:rsid w:val="00FB24D0"/>
    <w:rsid w:val="00FB25E4"/>
    <w:rsid w:val="00FB2C95"/>
    <w:rsid w:val="00FB3766"/>
    <w:rsid w:val="00FB3DC8"/>
    <w:rsid w:val="00FB4047"/>
    <w:rsid w:val="00FB4052"/>
    <w:rsid w:val="00FB420F"/>
    <w:rsid w:val="00FB43D1"/>
    <w:rsid w:val="00FB4455"/>
    <w:rsid w:val="00FB4A3D"/>
    <w:rsid w:val="00FB513A"/>
    <w:rsid w:val="00FB6415"/>
    <w:rsid w:val="00FB6F24"/>
    <w:rsid w:val="00FB6F32"/>
    <w:rsid w:val="00FC01C7"/>
    <w:rsid w:val="00FC09F8"/>
    <w:rsid w:val="00FC1444"/>
    <w:rsid w:val="00FC1795"/>
    <w:rsid w:val="00FC239C"/>
    <w:rsid w:val="00FC2EEA"/>
    <w:rsid w:val="00FC31FE"/>
    <w:rsid w:val="00FC3402"/>
    <w:rsid w:val="00FC40D0"/>
    <w:rsid w:val="00FC40FF"/>
    <w:rsid w:val="00FC4360"/>
    <w:rsid w:val="00FC4BE4"/>
    <w:rsid w:val="00FC4D26"/>
    <w:rsid w:val="00FC61F1"/>
    <w:rsid w:val="00FC6B54"/>
    <w:rsid w:val="00FC6BF9"/>
    <w:rsid w:val="00FC6C57"/>
    <w:rsid w:val="00FC6E42"/>
    <w:rsid w:val="00FC70D3"/>
    <w:rsid w:val="00FC7717"/>
    <w:rsid w:val="00FC79EF"/>
    <w:rsid w:val="00FC7BAF"/>
    <w:rsid w:val="00FD09BF"/>
    <w:rsid w:val="00FD10F2"/>
    <w:rsid w:val="00FD1314"/>
    <w:rsid w:val="00FD1553"/>
    <w:rsid w:val="00FD296F"/>
    <w:rsid w:val="00FD331B"/>
    <w:rsid w:val="00FD3FE4"/>
    <w:rsid w:val="00FD42E8"/>
    <w:rsid w:val="00FD45F4"/>
    <w:rsid w:val="00FD48EE"/>
    <w:rsid w:val="00FD56AF"/>
    <w:rsid w:val="00FD5F1E"/>
    <w:rsid w:val="00FD65DB"/>
    <w:rsid w:val="00FD7813"/>
    <w:rsid w:val="00FD7F68"/>
    <w:rsid w:val="00FE0992"/>
    <w:rsid w:val="00FE0D8E"/>
    <w:rsid w:val="00FE100F"/>
    <w:rsid w:val="00FE13D9"/>
    <w:rsid w:val="00FE3845"/>
    <w:rsid w:val="00FE4199"/>
    <w:rsid w:val="00FE54F7"/>
    <w:rsid w:val="00FE5BF0"/>
    <w:rsid w:val="00FE6108"/>
    <w:rsid w:val="00FE654B"/>
    <w:rsid w:val="00FE65AA"/>
    <w:rsid w:val="00FF1454"/>
    <w:rsid w:val="00FF15E9"/>
    <w:rsid w:val="00FF3C4E"/>
    <w:rsid w:val="00FF3DD6"/>
    <w:rsid w:val="00FF4075"/>
    <w:rsid w:val="00FF5E2F"/>
    <w:rsid w:val="00FF64E9"/>
    <w:rsid w:val="00FF706C"/>
    <w:rsid w:val="00FF77B1"/>
    <w:rsid w:val="00FF798B"/>
    <w:rsid w:val="00FF7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E w:val="0"/>
    </w:pPr>
    <w:rPr>
      <w:rFonts w:ascii="Helvetica Neue" w:hAnsi="Helvetica Neue" w:cs="Helvetica Neue"/>
      <w:color w:val="000000"/>
      <w:sz w:val="24"/>
      <w:szCs w:val="24"/>
      <w:lang w:eastAsia="zh-CN"/>
    </w:rPr>
  </w:style>
  <w:style w:type="paragraph" w:styleId="Heading2">
    <w:name w:val="heading 2"/>
    <w:basedOn w:val="Normal"/>
    <w:next w:val="BodyText"/>
    <w:qFormat/>
    <w:pPr>
      <w:numPr>
        <w:ilvl w:val="1"/>
        <w:numId w:val="1"/>
      </w:numPr>
      <w:spacing w:before="280" w:after="280"/>
      <w:outlineLvl w:val="1"/>
    </w:pPr>
    <w:rPr>
      <w:b/>
      <w:bCs/>
      <w:sz w:val="36"/>
      <w:szCs w:val="36"/>
    </w:rPr>
  </w:style>
  <w:style w:type="paragraph" w:styleId="Heading3">
    <w:name w:val="heading 3"/>
    <w:basedOn w:val="Normal"/>
    <w:next w:val="BodyText"/>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Times New Roman"/>
      <w:sz w:val="16"/>
    </w:rPr>
  </w:style>
  <w:style w:type="character" w:customStyle="1" w:styleId="WW8Num2z0">
    <w:name w:val="WW8Num2z0"/>
    <w:rPr>
      <w:rFonts w:ascii="Symbol" w:hAnsi="Symbol" w:cs="Symbol"/>
      <w:sz w:val="1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color w:val="auto"/>
      <w:sz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sz w:val="16"/>
    </w:rPr>
  </w:style>
  <w:style w:type="character" w:customStyle="1" w:styleId="WW8Num7z0">
    <w:name w:val="WW8Num7z0"/>
    <w:rPr>
      <w:rFonts w:ascii="Symbol" w:hAnsi="Symbol" w:cs="Symbol"/>
      <w:sz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sz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sz w:val="1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Wingdings"/>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sz w:val="16"/>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sz w:val="16"/>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sz w:val="16"/>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Arial" w:hAnsi="Arial" w:cs="Times New Roman"/>
      <w:sz w:val="16"/>
    </w:rPr>
  </w:style>
  <w:style w:type="character" w:customStyle="1" w:styleId="WW8Num17z1">
    <w:name w:val="WW8Num17z1"/>
    <w:rPr>
      <w:rFonts w:cs="Times New Roman"/>
    </w:rPr>
  </w:style>
  <w:style w:type="character" w:customStyle="1" w:styleId="ARHeading1Char">
    <w:name w:val="AR Heading 1 Char"/>
    <w:rPr>
      <w:rFonts w:ascii="Arial" w:hAnsi="Arial" w:cs="Arial"/>
      <w:sz w:val="40"/>
      <w:szCs w:val="40"/>
      <w:lang w:val="en-AU" w:bidi="ar-SA"/>
    </w:rPr>
  </w:style>
  <w:style w:type="character" w:styleId="Hyperlink">
    <w:name w:val="Hyperlink"/>
    <w:rPr>
      <w:color w:val="0000FF"/>
      <w:u w:val="single"/>
    </w:rPr>
  </w:style>
  <w:style w:type="character" w:styleId="HTMLCite">
    <w:name w:val="HTML Cite"/>
    <w:rPr>
      <w:i w:val="0"/>
      <w:iCs w:val="0"/>
      <w:color w:val="0E774A"/>
    </w:rPr>
  </w:style>
  <w:style w:type="character" w:customStyle="1" w:styleId="Hyperlink1">
    <w:name w:val="Hyperlink1"/>
    <w:rPr>
      <w:color w:val="0023F1"/>
      <w:sz w:val="20"/>
      <w:u w:val="single"/>
    </w:rPr>
  </w:style>
  <w:style w:type="character" w:styleId="Strong">
    <w:name w:val="Strong"/>
    <w:qFormat/>
    <w:rPr>
      <w:b/>
      <w:bCs/>
    </w:rPr>
  </w:style>
  <w:style w:type="character" w:styleId="CommentReference">
    <w:name w:val="annotation reference"/>
    <w:uiPriority w:val="99"/>
    <w:rPr>
      <w:sz w:val="16"/>
      <w:szCs w:val="16"/>
    </w:rPr>
  </w:style>
  <w:style w:type="character" w:customStyle="1" w:styleId="kwinlaw">
    <w:name w:val="kwinlaw"/>
    <w:rPr>
      <w:rFonts w:ascii="Arial" w:hAnsi="Arial" w:cs="Arial"/>
      <w:color w:val="auto"/>
      <w:sz w:val="20"/>
      <w:szCs w:val="20"/>
    </w:rPr>
  </w:style>
  <w:style w:type="character" w:styleId="Emphasis">
    <w:name w:val="Emphasis"/>
    <w:uiPriority w:val="20"/>
    <w:qFormat/>
    <w:rPr>
      <w:i/>
      <w:iCs/>
    </w:rPr>
  </w:style>
  <w:style w:type="character" w:customStyle="1" w:styleId="apple-converted-space">
    <w:name w:val="apple-converted-space"/>
    <w:basedOn w:val="DefaultParagraphFont"/>
  </w:style>
  <w:style w:type="character" w:customStyle="1" w:styleId="ARbodytextChar">
    <w:name w:val="AR body text Char"/>
    <w:rPr>
      <w:rFonts w:ascii="Arial" w:eastAsia="Calibri" w:hAnsi="Arial" w:cs="Arial"/>
      <w:lang w:val="en-US" w:bidi="ar-SA"/>
    </w:rPr>
  </w:style>
  <w:style w:type="character" w:customStyle="1" w:styleId="apple-tab-span">
    <w:name w:val="apple-tab-span"/>
    <w:basedOn w:val="DefaultParagraphFont"/>
  </w:style>
  <w:style w:type="character" w:customStyle="1" w:styleId="ARTextChar">
    <w:name w:val="AR Text Char"/>
    <w:rPr>
      <w:rFonts w:ascii="Arial" w:eastAsia="Batang" w:hAnsi="Arial" w:cs="Arial"/>
      <w:bCs/>
      <w:kern w:val="1"/>
      <w:szCs w:val="22"/>
      <w:lang w:val="en-AU" w:bidi="ar-SA"/>
    </w:rPr>
  </w:style>
  <w:style w:type="character" w:customStyle="1" w:styleId="s5">
    <w:name w:val="s5"/>
    <w:basedOn w:val="DefaultParagraphFont"/>
  </w:style>
  <w:style w:type="character" w:styleId="PageNumber">
    <w:name w:val="page number"/>
    <w:basedOn w:val="DefaultParagraphFont"/>
  </w:style>
  <w:style w:type="character" w:customStyle="1" w:styleId="CommentTextChar">
    <w:name w:val="Comment Text Char"/>
    <w:uiPriority w:val="99"/>
    <w:rPr>
      <w:rFonts w:ascii="Arial" w:eastAsia="ヒラギノ角ゴ Pro W3" w:hAnsi="Arial" w:cs="Arial"/>
      <w:color w:val="000000"/>
    </w:rPr>
  </w:style>
  <w:style w:type="character" w:customStyle="1" w:styleId="CommentSubjectChar">
    <w:name w:val="Comment Subject Char"/>
    <w:rPr>
      <w:rFonts w:ascii="Arial" w:eastAsia="ヒラギノ角ゴ Pro W3" w:hAnsi="Arial" w:cs="Arial"/>
      <w:b/>
      <w:bCs/>
      <w:color w:val="000000"/>
    </w:rPr>
  </w:style>
  <w:style w:type="character" w:customStyle="1" w:styleId="bodylink">
    <w:name w:val="bodylink"/>
  </w:style>
  <w:style w:type="character" w:customStyle="1" w:styleId="FooterChar">
    <w:name w:val="Footer Char"/>
    <w:uiPriority w:val="99"/>
    <w:rPr>
      <w:sz w:val="24"/>
      <w:szCs w:val="24"/>
    </w:rPr>
  </w:style>
  <w:style w:type="character" w:customStyle="1" w:styleId="HeaderChar">
    <w:name w:val="Header Char"/>
    <w:uiPriority w:val="99"/>
    <w:rPr>
      <w:sz w:val="24"/>
      <w:szCs w:val="24"/>
    </w:rPr>
  </w:style>
  <w:style w:type="character" w:customStyle="1" w:styleId="Heading3Char">
    <w:name w:val="Heading 3 Char"/>
    <w:rPr>
      <w:b/>
      <w:bCs/>
      <w:sz w:val="27"/>
      <w:szCs w:val="27"/>
      <w:lang w:val="en-US"/>
    </w:rPr>
  </w:style>
  <w:style w:type="character" w:customStyle="1" w:styleId="apple-style-span">
    <w:name w:val="apple-style-span"/>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ARSectionHeading">
    <w:name w:val="AR Section Heading"/>
    <w:basedOn w:val="Normal"/>
    <w:rPr>
      <w:rFonts w:ascii="Arial" w:hAnsi="Arial" w:cs="Arial"/>
      <w:color w:val="808080"/>
      <w:sz w:val="40"/>
      <w:szCs w:val="40"/>
    </w:rPr>
  </w:style>
  <w:style w:type="paragraph" w:customStyle="1" w:styleId="ARHeading1">
    <w:name w:val="AR Heading 1"/>
    <w:basedOn w:val="Normal"/>
    <w:rPr>
      <w:rFonts w:ascii="Arial" w:hAnsi="Arial" w:cs="Arial"/>
      <w:sz w:val="40"/>
      <w:szCs w:val="40"/>
    </w:rPr>
  </w:style>
  <w:style w:type="paragraph" w:customStyle="1" w:styleId="ARheading3">
    <w:name w:val="AR heading 3"/>
    <w:basedOn w:val="Normal"/>
    <w:rPr>
      <w:rFonts w:ascii="Arial" w:hAnsi="Arial" w:cs="Arial"/>
      <w:b/>
      <w:bCs/>
      <w:sz w:val="20"/>
      <w:szCs w:val="20"/>
    </w:rPr>
  </w:style>
  <w:style w:type="paragraph" w:styleId="ListParagraph">
    <w:name w:val="List Paragraph"/>
    <w:uiPriority w:val="34"/>
    <w:qFormat/>
    <w:pPr>
      <w:suppressAutoHyphens/>
      <w:ind w:left="720"/>
    </w:pPr>
    <w:rPr>
      <w:rFonts w:ascii="Arial" w:eastAsia="ヒラギノ角ゴ Pro W3" w:hAnsi="Arial" w:cs="Arial"/>
      <w:color w:val="000000"/>
      <w:sz w:val="22"/>
      <w:lang w:eastAsia="zh-CN"/>
    </w:rPr>
  </w:style>
  <w:style w:type="paragraph" w:customStyle="1" w:styleId="NormalWeb1">
    <w:name w:val="Normal (Web)1"/>
    <w:pPr>
      <w:suppressAutoHyphens/>
      <w:spacing w:before="100" w:after="100"/>
    </w:pPr>
    <w:rPr>
      <w:rFonts w:eastAsia="ヒラギノ角ゴ Pro W3"/>
      <w:color w:val="000000"/>
      <w:sz w:val="24"/>
      <w:lang w:eastAsia="zh-CN"/>
    </w:rPr>
  </w:style>
  <w:style w:type="paragraph" w:styleId="BlockText">
    <w:name w:val="Block Text"/>
    <w:basedOn w:val="Normal"/>
    <w:pPr>
      <w:ind w:left="1701" w:right="-23" w:hanging="1701"/>
    </w:pPr>
    <w:rPr>
      <w:rFonts w:ascii="Univers Condensed" w:hAnsi="Univers Condensed" w:cs="Univers Condensed"/>
    </w:rPr>
  </w:style>
  <w:style w:type="paragraph" w:styleId="CommentText">
    <w:name w:val="annotation text"/>
    <w:basedOn w:val="Normal"/>
    <w:uiPriority w:val="99"/>
    <w:rPr>
      <w:rFonts w:ascii="Arial" w:eastAsia="ヒラギノ角ゴ Pro W3" w:hAnsi="Arial" w:cs="Arial"/>
      <w:sz w:val="20"/>
      <w:szCs w:val="20"/>
    </w:rPr>
  </w:style>
  <w:style w:type="paragraph" w:styleId="BalloonText">
    <w:name w:val="Balloon Text"/>
    <w:basedOn w:val="Normal"/>
    <w:rPr>
      <w:rFonts w:ascii="Tahoma" w:hAnsi="Tahoma" w:cs="Tahoma"/>
      <w:sz w:val="16"/>
      <w:szCs w:val="16"/>
    </w:rPr>
  </w:style>
  <w:style w:type="paragraph" w:customStyle="1" w:styleId="ARbodytext">
    <w:name w:val="AR body text"/>
    <w:basedOn w:val="Normal"/>
    <w:rPr>
      <w:rFonts w:ascii="Arial" w:eastAsia="Calibri" w:hAnsi="Arial" w:cs="Arial"/>
      <w:sz w:val="20"/>
      <w:szCs w:val="20"/>
    </w:rPr>
  </w:style>
  <w:style w:type="paragraph" w:styleId="NormalWeb">
    <w:name w:val="Normal (Web)"/>
    <w:basedOn w:val="Normal"/>
    <w:uiPriority w:val="99"/>
    <w:pPr>
      <w:spacing w:before="280" w:after="280"/>
    </w:pPr>
  </w:style>
  <w:style w:type="paragraph" w:customStyle="1" w:styleId="ARText">
    <w:name w:val="AR Text"/>
    <w:pPr>
      <w:suppressAutoHyphens/>
      <w:spacing w:before="100"/>
    </w:pPr>
    <w:rPr>
      <w:rFonts w:ascii="Arial" w:eastAsia="Batang" w:hAnsi="Arial" w:cs="Arial"/>
      <w:bCs/>
      <w:kern w:val="1"/>
      <w:szCs w:val="22"/>
      <w:lang w:eastAsia="zh-CN"/>
    </w:rPr>
  </w:style>
  <w:style w:type="paragraph" w:customStyle="1" w:styleId="CharChar2">
    <w:name w:val="Char Char2"/>
    <w:basedOn w:val="Normal"/>
    <w:pPr>
      <w:spacing w:after="160" w:line="240" w:lineRule="exact"/>
    </w:pPr>
    <w:rPr>
      <w:rFonts w:ascii="Verdana" w:hAnsi="Verdana" w:cs="Verdana"/>
      <w:sz w:val="20"/>
      <w:szCs w:val="20"/>
    </w:rPr>
  </w:style>
  <w:style w:type="paragraph" w:customStyle="1" w:styleId="ARHeading30">
    <w:name w:val="AR Heading 3"/>
    <w:next w:val="ARText"/>
    <w:pPr>
      <w:keepNext/>
      <w:suppressAutoHyphens/>
      <w:spacing w:before="300"/>
    </w:pPr>
    <w:rPr>
      <w:rFonts w:ascii="Arial" w:eastAsia="Batang" w:hAnsi="Arial" w:cs="Arial"/>
      <w:b/>
      <w:bCs/>
      <w:kern w:val="1"/>
      <w:sz w:val="22"/>
      <w:szCs w:val="22"/>
      <w:lang w:eastAsia="zh-CN"/>
    </w:rPr>
  </w:style>
  <w:style w:type="paragraph" w:customStyle="1" w:styleId="Table">
    <w:name w:val="Table"/>
    <w:basedOn w:val="Normal"/>
    <w:rPr>
      <w:rFonts w:ascii="Arial" w:hAnsi="Arial" w:cs="Arial"/>
      <w:sz w:val="20"/>
      <w:szCs w:val="20"/>
    </w:rPr>
  </w:style>
  <w:style w:type="paragraph" w:customStyle="1" w:styleId="artext0">
    <w:name w:val="artext"/>
    <w:basedOn w:val="Normal"/>
    <w:pPr>
      <w:spacing w:before="280" w:after="280"/>
    </w:pPr>
  </w:style>
  <w:style w:type="paragraph" w:styleId="TOC3">
    <w:name w:val="toc 3"/>
    <w:basedOn w:val="Normal"/>
    <w:next w:val="Normal"/>
    <w:pPr>
      <w:ind w:left="480"/>
    </w:pPr>
  </w:style>
  <w:style w:type="paragraph" w:customStyle="1" w:styleId="arheading10">
    <w:name w:val="arheading1"/>
    <w:basedOn w:val="Normal"/>
    <w:pPr>
      <w:spacing w:before="280" w:after="280"/>
    </w:pPr>
  </w:style>
  <w:style w:type="paragraph" w:customStyle="1" w:styleId="GOVHeading211pt">
    <w:name w:val="GOV Heading 2 + 11 pt"/>
    <w:basedOn w:val="Heading2"/>
    <w:pPr>
      <w:keepNext/>
      <w:numPr>
        <w:numId w:val="0"/>
      </w:numPr>
      <w:spacing w:before="0" w:after="0"/>
      <w:jc w:val="both"/>
      <w:outlineLvl w:val="9"/>
    </w:pPr>
    <w:rPr>
      <w:sz w:val="22"/>
      <w:szCs w:val="20"/>
    </w:rPr>
  </w:style>
  <w:style w:type="paragraph" w:customStyle="1" w:styleId="GOVBulletPointLevel1">
    <w:name w:val="GOV Bullet Point + Level 1"/>
    <w:basedOn w:val="Normal"/>
    <w:pPr>
      <w:widowControl w:val="0"/>
      <w:numPr>
        <w:numId w:val="8"/>
      </w:numPr>
      <w:jc w:val="both"/>
    </w:pPr>
    <w:rPr>
      <w:sz w:val="22"/>
      <w:szCs w:val="20"/>
    </w:rPr>
  </w:style>
  <w:style w:type="paragraph" w:customStyle="1" w:styleId="govheading211pt0">
    <w:name w:val="govheading211pt"/>
    <w:basedOn w:val="Normal"/>
    <w:pPr>
      <w:spacing w:before="280" w:after="280"/>
    </w:pPr>
  </w:style>
  <w:style w:type="paragraph" w:styleId="CommentSubject">
    <w:name w:val="annotation subject"/>
    <w:basedOn w:val="CommentText"/>
    <w:next w:val="CommentText"/>
    <w:rPr>
      <w:rFonts w:ascii="Times New Roman" w:eastAsia="Times New Roman" w:hAnsi="Times New Roman" w:cs="Times New Roman"/>
      <w:b/>
      <w:bCs/>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CharChar2CharCharCharCharCharCharCharChar">
    <w:name w:val="Char Char2 Char Char Char Char Char Char Char Char"/>
    <w:basedOn w:val="Normal"/>
    <w:rsid w:val="0062130F"/>
    <w:pPr>
      <w:suppressAutoHyphens w:val="0"/>
      <w:spacing w:after="160" w:line="240" w:lineRule="exact"/>
    </w:pPr>
    <w:rPr>
      <w:rFonts w:ascii="Verdana" w:hAnsi="Verdana"/>
      <w:sz w:val="20"/>
      <w:szCs w:val="20"/>
      <w:lang w:eastAsia="en-US"/>
    </w:rPr>
  </w:style>
  <w:style w:type="paragraph" w:customStyle="1" w:styleId="Default">
    <w:name w:val="Default"/>
    <w:rsid w:val="00862A5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04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y-helvetica-regular">
    <w:name w:val="grey-helvetica-regular"/>
    <w:basedOn w:val="DefaultParagraphFont"/>
    <w:rsid w:val="00667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E w:val="0"/>
    </w:pPr>
    <w:rPr>
      <w:rFonts w:ascii="Helvetica Neue" w:hAnsi="Helvetica Neue" w:cs="Helvetica Neue"/>
      <w:color w:val="000000"/>
      <w:sz w:val="24"/>
      <w:szCs w:val="24"/>
      <w:lang w:eastAsia="zh-CN"/>
    </w:rPr>
  </w:style>
  <w:style w:type="paragraph" w:styleId="Heading2">
    <w:name w:val="heading 2"/>
    <w:basedOn w:val="Normal"/>
    <w:next w:val="BodyText"/>
    <w:qFormat/>
    <w:pPr>
      <w:numPr>
        <w:ilvl w:val="1"/>
        <w:numId w:val="1"/>
      </w:numPr>
      <w:spacing w:before="280" w:after="280"/>
      <w:outlineLvl w:val="1"/>
    </w:pPr>
    <w:rPr>
      <w:b/>
      <w:bCs/>
      <w:sz w:val="36"/>
      <w:szCs w:val="36"/>
    </w:rPr>
  </w:style>
  <w:style w:type="paragraph" w:styleId="Heading3">
    <w:name w:val="heading 3"/>
    <w:basedOn w:val="Normal"/>
    <w:next w:val="BodyText"/>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Times New Roman"/>
      <w:sz w:val="16"/>
    </w:rPr>
  </w:style>
  <w:style w:type="character" w:customStyle="1" w:styleId="WW8Num2z0">
    <w:name w:val="WW8Num2z0"/>
    <w:rPr>
      <w:rFonts w:ascii="Symbol" w:hAnsi="Symbol" w:cs="Symbol"/>
      <w:sz w:val="1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color w:val="auto"/>
      <w:sz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sz w:val="16"/>
    </w:rPr>
  </w:style>
  <w:style w:type="character" w:customStyle="1" w:styleId="WW8Num7z0">
    <w:name w:val="WW8Num7z0"/>
    <w:rPr>
      <w:rFonts w:ascii="Symbol" w:hAnsi="Symbol" w:cs="Symbol"/>
      <w:sz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sz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sz w:val="1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Wingdings"/>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sz w:val="16"/>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sz w:val="16"/>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sz w:val="16"/>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Arial" w:hAnsi="Arial" w:cs="Times New Roman"/>
      <w:sz w:val="16"/>
    </w:rPr>
  </w:style>
  <w:style w:type="character" w:customStyle="1" w:styleId="WW8Num17z1">
    <w:name w:val="WW8Num17z1"/>
    <w:rPr>
      <w:rFonts w:cs="Times New Roman"/>
    </w:rPr>
  </w:style>
  <w:style w:type="character" w:customStyle="1" w:styleId="ARHeading1Char">
    <w:name w:val="AR Heading 1 Char"/>
    <w:rPr>
      <w:rFonts w:ascii="Arial" w:hAnsi="Arial" w:cs="Arial"/>
      <w:sz w:val="40"/>
      <w:szCs w:val="40"/>
      <w:lang w:val="en-AU" w:bidi="ar-SA"/>
    </w:rPr>
  </w:style>
  <w:style w:type="character" w:styleId="Hyperlink">
    <w:name w:val="Hyperlink"/>
    <w:rPr>
      <w:color w:val="0000FF"/>
      <w:u w:val="single"/>
    </w:rPr>
  </w:style>
  <w:style w:type="character" w:styleId="HTMLCite">
    <w:name w:val="HTML Cite"/>
    <w:rPr>
      <w:i w:val="0"/>
      <w:iCs w:val="0"/>
      <w:color w:val="0E774A"/>
    </w:rPr>
  </w:style>
  <w:style w:type="character" w:customStyle="1" w:styleId="Hyperlink1">
    <w:name w:val="Hyperlink1"/>
    <w:rPr>
      <w:color w:val="0023F1"/>
      <w:sz w:val="20"/>
      <w:u w:val="single"/>
    </w:rPr>
  </w:style>
  <w:style w:type="character" w:styleId="Strong">
    <w:name w:val="Strong"/>
    <w:qFormat/>
    <w:rPr>
      <w:b/>
      <w:bCs/>
    </w:rPr>
  </w:style>
  <w:style w:type="character" w:styleId="CommentReference">
    <w:name w:val="annotation reference"/>
    <w:uiPriority w:val="99"/>
    <w:rPr>
      <w:sz w:val="16"/>
      <w:szCs w:val="16"/>
    </w:rPr>
  </w:style>
  <w:style w:type="character" w:customStyle="1" w:styleId="kwinlaw">
    <w:name w:val="kwinlaw"/>
    <w:rPr>
      <w:rFonts w:ascii="Arial" w:hAnsi="Arial" w:cs="Arial"/>
      <w:color w:val="auto"/>
      <w:sz w:val="20"/>
      <w:szCs w:val="20"/>
    </w:rPr>
  </w:style>
  <w:style w:type="character" w:styleId="Emphasis">
    <w:name w:val="Emphasis"/>
    <w:uiPriority w:val="20"/>
    <w:qFormat/>
    <w:rPr>
      <w:i/>
      <w:iCs/>
    </w:rPr>
  </w:style>
  <w:style w:type="character" w:customStyle="1" w:styleId="apple-converted-space">
    <w:name w:val="apple-converted-space"/>
    <w:basedOn w:val="DefaultParagraphFont"/>
  </w:style>
  <w:style w:type="character" w:customStyle="1" w:styleId="ARbodytextChar">
    <w:name w:val="AR body text Char"/>
    <w:rPr>
      <w:rFonts w:ascii="Arial" w:eastAsia="Calibri" w:hAnsi="Arial" w:cs="Arial"/>
      <w:lang w:val="en-US" w:bidi="ar-SA"/>
    </w:rPr>
  </w:style>
  <w:style w:type="character" w:customStyle="1" w:styleId="apple-tab-span">
    <w:name w:val="apple-tab-span"/>
    <w:basedOn w:val="DefaultParagraphFont"/>
  </w:style>
  <w:style w:type="character" w:customStyle="1" w:styleId="ARTextChar">
    <w:name w:val="AR Text Char"/>
    <w:rPr>
      <w:rFonts w:ascii="Arial" w:eastAsia="Batang" w:hAnsi="Arial" w:cs="Arial"/>
      <w:bCs/>
      <w:kern w:val="1"/>
      <w:szCs w:val="22"/>
      <w:lang w:val="en-AU" w:bidi="ar-SA"/>
    </w:rPr>
  </w:style>
  <w:style w:type="character" w:customStyle="1" w:styleId="s5">
    <w:name w:val="s5"/>
    <w:basedOn w:val="DefaultParagraphFont"/>
  </w:style>
  <w:style w:type="character" w:styleId="PageNumber">
    <w:name w:val="page number"/>
    <w:basedOn w:val="DefaultParagraphFont"/>
  </w:style>
  <w:style w:type="character" w:customStyle="1" w:styleId="CommentTextChar">
    <w:name w:val="Comment Text Char"/>
    <w:uiPriority w:val="99"/>
    <w:rPr>
      <w:rFonts w:ascii="Arial" w:eastAsia="ヒラギノ角ゴ Pro W3" w:hAnsi="Arial" w:cs="Arial"/>
      <w:color w:val="000000"/>
    </w:rPr>
  </w:style>
  <w:style w:type="character" w:customStyle="1" w:styleId="CommentSubjectChar">
    <w:name w:val="Comment Subject Char"/>
    <w:rPr>
      <w:rFonts w:ascii="Arial" w:eastAsia="ヒラギノ角ゴ Pro W3" w:hAnsi="Arial" w:cs="Arial"/>
      <w:b/>
      <w:bCs/>
      <w:color w:val="000000"/>
    </w:rPr>
  </w:style>
  <w:style w:type="character" w:customStyle="1" w:styleId="bodylink">
    <w:name w:val="bodylink"/>
  </w:style>
  <w:style w:type="character" w:customStyle="1" w:styleId="FooterChar">
    <w:name w:val="Footer Char"/>
    <w:uiPriority w:val="99"/>
    <w:rPr>
      <w:sz w:val="24"/>
      <w:szCs w:val="24"/>
    </w:rPr>
  </w:style>
  <w:style w:type="character" w:customStyle="1" w:styleId="HeaderChar">
    <w:name w:val="Header Char"/>
    <w:uiPriority w:val="99"/>
    <w:rPr>
      <w:sz w:val="24"/>
      <w:szCs w:val="24"/>
    </w:rPr>
  </w:style>
  <w:style w:type="character" w:customStyle="1" w:styleId="Heading3Char">
    <w:name w:val="Heading 3 Char"/>
    <w:rPr>
      <w:b/>
      <w:bCs/>
      <w:sz w:val="27"/>
      <w:szCs w:val="27"/>
      <w:lang w:val="en-US"/>
    </w:rPr>
  </w:style>
  <w:style w:type="character" w:customStyle="1" w:styleId="apple-style-span">
    <w:name w:val="apple-style-span"/>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ARSectionHeading">
    <w:name w:val="AR Section Heading"/>
    <w:basedOn w:val="Normal"/>
    <w:rPr>
      <w:rFonts w:ascii="Arial" w:hAnsi="Arial" w:cs="Arial"/>
      <w:color w:val="808080"/>
      <w:sz w:val="40"/>
      <w:szCs w:val="40"/>
    </w:rPr>
  </w:style>
  <w:style w:type="paragraph" w:customStyle="1" w:styleId="ARHeading1">
    <w:name w:val="AR Heading 1"/>
    <w:basedOn w:val="Normal"/>
    <w:rPr>
      <w:rFonts w:ascii="Arial" w:hAnsi="Arial" w:cs="Arial"/>
      <w:sz w:val="40"/>
      <w:szCs w:val="40"/>
    </w:rPr>
  </w:style>
  <w:style w:type="paragraph" w:customStyle="1" w:styleId="ARheading3">
    <w:name w:val="AR heading 3"/>
    <w:basedOn w:val="Normal"/>
    <w:rPr>
      <w:rFonts w:ascii="Arial" w:hAnsi="Arial" w:cs="Arial"/>
      <w:b/>
      <w:bCs/>
      <w:sz w:val="20"/>
      <w:szCs w:val="20"/>
    </w:rPr>
  </w:style>
  <w:style w:type="paragraph" w:styleId="ListParagraph">
    <w:name w:val="List Paragraph"/>
    <w:uiPriority w:val="34"/>
    <w:qFormat/>
    <w:pPr>
      <w:suppressAutoHyphens/>
      <w:ind w:left="720"/>
    </w:pPr>
    <w:rPr>
      <w:rFonts w:ascii="Arial" w:eastAsia="ヒラギノ角ゴ Pro W3" w:hAnsi="Arial" w:cs="Arial"/>
      <w:color w:val="000000"/>
      <w:sz w:val="22"/>
      <w:lang w:eastAsia="zh-CN"/>
    </w:rPr>
  </w:style>
  <w:style w:type="paragraph" w:customStyle="1" w:styleId="NormalWeb1">
    <w:name w:val="Normal (Web)1"/>
    <w:pPr>
      <w:suppressAutoHyphens/>
      <w:spacing w:before="100" w:after="100"/>
    </w:pPr>
    <w:rPr>
      <w:rFonts w:eastAsia="ヒラギノ角ゴ Pro W3"/>
      <w:color w:val="000000"/>
      <w:sz w:val="24"/>
      <w:lang w:eastAsia="zh-CN"/>
    </w:rPr>
  </w:style>
  <w:style w:type="paragraph" w:styleId="BlockText">
    <w:name w:val="Block Text"/>
    <w:basedOn w:val="Normal"/>
    <w:pPr>
      <w:ind w:left="1701" w:right="-23" w:hanging="1701"/>
    </w:pPr>
    <w:rPr>
      <w:rFonts w:ascii="Univers Condensed" w:hAnsi="Univers Condensed" w:cs="Univers Condensed"/>
    </w:rPr>
  </w:style>
  <w:style w:type="paragraph" w:styleId="CommentText">
    <w:name w:val="annotation text"/>
    <w:basedOn w:val="Normal"/>
    <w:uiPriority w:val="99"/>
    <w:rPr>
      <w:rFonts w:ascii="Arial" w:eastAsia="ヒラギノ角ゴ Pro W3" w:hAnsi="Arial" w:cs="Arial"/>
      <w:sz w:val="20"/>
      <w:szCs w:val="20"/>
    </w:rPr>
  </w:style>
  <w:style w:type="paragraph" w:styleId="BalloonText">
    <w:name w:val="Balloon Text"/>
    <w:basedOn w:val="Normal"/>
    <w:rPr>
      <w:rFonts w:ascii="Tahoma" w:hAnsi="Tahoma" w:cs="Tahoma"/>
      <w:sz w:val="16"/>
      <w:szCs w:val="16"/>
    </w:rPr>
  </w:style>
  <w:style w:type="paragraph" w:customStyle="1" w:styleId="ARbodytext">
    <w:name w:val="AR body text"/>
    <w:basedOn w:val="Normal"/>
    <w:rPr>
      <w:rFonts w:ascii="Arial" w:eastAsia="Calibri" w:hAnsi="Arial" w:cs="Arial"/>
      <w:sz w:val="20"/>
      <w:szCs w:val="20"/>
    </w:rPr>
  </w:style>
  <w:style w:type="paragraph" w:styleId="NormalWeb">
    <w:name w:val="Normal (Web)"/>
    <w:basedOn w:val="Normal"/>
    <w:uiPriority w:val="99"/>
    <w:pPr>
      <w:spacing w:before="280" w:after="280"/>
    </w:pPr>
  </w:style>
  <w:style w:type="paragraph" w:customStyle="1" w:styleId="ARText">
    <w:name w:val="AR Text"/>
    <w:pPr>
      <w:suppressAutoHyphens/>
      <w:spacing w:before="100"/>
    </w:pPr>
    <w:rPr>
      <w:rFonts w:ascii="Arial" w:eastAsia="Batang" w:hAnsi="Arial" w:cs="Arial"/>
      <w:bCs/>
      <w:kern w:val="1"/>
      <w:szCs w:val="22"/>
      <w:lang w:eastAsia="zh-CN"/>
    </w:rPr>
  </w:style>
  <w:style w:type="paragraph" w:customStyle="1" w:styleId="CharChar2">
    <w:name w:val="Char Char2"/>
    <w:basedOn w:val="Normal"/>
    <w:pPr>
      <w:spacing w:after="160" w:line="240" w:lineRule="exact"/>
    </w:pPr>
    <w:rPr>
      <w:rFonts w:ascii="Verdana" w:hAnsi="Verdana" w:cs="Verdana"/>
      <w:sz w:val="20"/>
      <w:szCs w:val="20"/>
    </w:rPr>
  </w:style>
  <w:style w:type="paragraph" w:customStyle="1" w:styleId="ARHeading30">
    <w:name w:val="AR Heading 3"/>
    <w:next w:val="ARText"/>
    <w:pPr>
      <w:keepNext/>
      <w:suppressAutoHyphens/>
      <w:spacing w:before="300"/>
    </w:pPr>
    <w:rPr>
      <w:rFonts w:ascii="Arial" w:eastAsia="Batang" w:hAnsi="Arial" w:cs="Arial"/>
      <w:b/>
      <w:bCs/>
      <w:kern w:val="1"/>
      <w:sz w:val="22"/>
      <w:szCs w:val="22"/>
      <w:lang w:eastAsia="zh-CN"/>
    </w:rPr>
  </w:style>
  <w:style w:type="paragraph" w:customStyle="1" w:styleId="Table">
    <w:name w:val="Table"/>
    <w:basedOn w:val="Normal"/>
    <w:rPr>
      <w:rFonts w:ascii="Arial" w:hAnsi="Arial" w:cs="Arial"/>
      <w:sz w:val="20"/>
      <w:szCs w:val="20"/>
    </w:rPr>
  </w:style>
  <w:style w:type="paragraph" w:customStyle="1" w:styleId="artext0">
    <w:name w:val="artext"/>
    <w:basedOn w:val="Normal"/>
    <w:pPr>
      <w:spacing w:before="280" w:after="280"/>
    </w:pPr>
  </w:style>
  <w:style w:type="paragraph" w:styleId="TOC3">
    <w:name w:val="toc 3"/>
    <w:basedOn w:val="Normal"/>
    <w:next w:val="Normal"/>
    <w:pPr>
      <w:ind w:left="480"/>
    </w:pPr>
  </w:style>
  <w:style w:type="paragraph" w:customStyle="1" w:styleId="arheading10">
    <w:name w:val="arheading1"/>
    <w:basedOn w:val="Normal"/>
    <w:pPr>
      <w:spacing w:before="280" w:after="280"/>
    </w:pPr>
  </w:style>
  <w:style w:type="paragraph" w:customStyle="1" w:styleId="GOVHeading211pt">
    <w:name w:val="GOV Heading 2 + 11 pt"/>
    <w:basedOn w:val="Heading2"/>
    <w:pPr>
      <w:keepNext/>
      <w:numPr>
        <w:numId w:val="0"/>
      </w:numPr>
      <w:spacing w:before="0" w:after="0"/>
      <w:jc w:val="both"/>
      <w:outlineLvl w:val="9"/>
    </w:pPr>
    <w:rPr>
      <w:sz w:val="22"/>
      <w:szCs w:val="20"/>
    </w:rPr>
  </w:style>
  <w:style w:type="paragraph" w:customStyle="1" w:styleId="GOVBulletPointLevel1">
    <w:name w:val="GOV Bullet Point + Level 1"/>
    <w:basedOn w:val="Normal"/>
    <w:pPr>
      <w:widowControl w:val="0"/>
      <w:numPr>
        <w:numId w:val="8"/>
      </w:numPr>
      <w:jc w:val="both"/>
    </w:pPr>
    <w:rPr>
      <w:sz w:val="22"/>
      <w:szCs w:val="20"/>
    </w:rPr>
  </w:style>
  <w:style w:type="paragraph" w:customStyle="1" w:styleId="govheading211pt0">
    <w:name w:val="govheading211pt"/>
    <w:basedOn w:val="Normal"/>
    <w:pPr>
      <w:spacing w:before="280" w:after="280"/>
    </w:pPr>
  </w:style>
  <w:style w:type="paragraph" w:styleId="CommentSubject">
    <w:name w:val="annotation subject"/>
    <w:basedOn w:val="CommentText"/>
    <w:next w:val="CommentText"/>
    <w:rPr>
      <w:rFonts w:ascii="Times New Roman" w:eastAsia="Times New Roman" w:hAnsi="Times New Roman" w:cs="Times New Roman"/>
      <w:b/>
      <w:bCs/>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CharChar2CharCharCharCharCharCharCharChar">
    <w:name w:val="Char Char2 Char Char Char Char Char Char Char Char"/>
    <w:basedOn w:val="Normal"/>
    <w:rsid w:val="0062130F"/>
    <w:pPr>
      <w:suppressAutoHyphens w:val="0"/>
      <w:spacing w:after="160" w:line="240" w:lineRule="exact"/>
    </w:pPr>
    <w:rPr>
      <w:rFonts w:ascii="Verdana" w:hAnsi="Verdana"/>
      <w:sz w:val="20"/>
      <w:szCs w:val="20"/>
      <w:lang w:eastAsia="en-US"/>
    </w:rPr>
  </w:style>
  <w:style w:type="paragraph" w:customStyle="1" w:styleId="Default">
    <w:name w:val="Default"/>
    <w:rsid w:val="00862A5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04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y-helvetica-regular">
    <w:name w:val="grey-helvetica-regular"/>
    <w:basedOn w:val="DefaultParagraphFont"/>
    <w:rsid w:val="0066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398">
      <w:bodyDiv w:val="1"/>
      <w:marLeft w:val="0"/>
      <w:marRight w:val="0"/>
      <w:marTop w:val="0"/>
      <w:marBottom w:val="0"/>
      <w:divBdr>
        <w:top w:val="none" w:sz="0" w:space="0" w:color="auto"/>
        <w:left w:val="none" w:sz="0" w:space="0" w:color="auto"/>
        <w:bottom w:val="none" w:sz="0" w:space="0" w:color="auto"/>
        <w:right w:val="none" w:sz="0" w:space="0" w:color="auto"/>
      </w:divBdr>
    </w:div>
    <w:div w:id="9718612">
      <w:bodyDiv w:val="1"/>
      <w:marLeft w:val="0"/>
      <w:marRight w:val="0"/>
      <w:marTop w:val="0"/>
      <w:marBottom w:val="0"/>
      <w:divBdr>
        <w:top w:val="none" w:sz="0" w:space="0" w:color="auto"/>
        <w:left w:val="none" w:sz="0" w:space="0" w:color="auto"/>
        <w:bottom w:val="none" w:sz="0" w:space="0" w:color="auto"/>
        <w:right w:val="none" w:sz="0" w:space="0" w:color="auto"/>
      </w:divBdr>
    </w:div>
    <w:div w:id="41516069">
      <w:bodyDiv w:val="1"/>
      <w:marLeft w:val="0"/>
      <w:marRight w:val="0"/>
      <w:marTop w:val="0"/>
      <w:marBottom w:val="0"/>
      <w:divBdr>
        <w:top w:val="none" w:sz="0" w:space="0" w:color="auto"/>
        <w:left w:val="none" w:sz="0" w:space="0" w:color="auto"/>
        <w:bottom w:val="none" w:sz="0" w:space="0" w:color="auto"/>
        <w:right w:val="none" w:sz="0" w:space="0" w:color="auto"/>
      </w:divBdr>
    </w:div>
    <w:div w:id="54403773">
      <w:bodyDiv w:val="1"/>
      <w:marLeft w:val="0"/>
      <w:marRight w:val="0"/>
      <w:marTop w:val="0"/>
      <w:marBottom w:val="0"/>
      <w:divBdr>
        <w:top w:val="none" w:sz="0" w:space="0" w:color="auto"/>
        <w:left w:val="none" w:sz="0" w:space="0" w:color="auto"/>
        <w:bottom w:val="none" w:sz="0" w:space="0" w:color="auto"/>
        <w:right w:val="none" w:sz="0" w:space="0" w:color="auto"/>
      </w:divBdr>
    </w:div>
    <w:div w:id="56100108">
      <w:bodyDiv w:val="1"/>
      <w:marLeft w:val="0"/>
      <w:marRight w:val="0"/>
      <w:marTop w:val="0"/>
      <w:marBottom w:val="0"/>
      <w:divBdr>
        <w:top w:val="none" w:sz="0" w:space="0" w:color="auto"/>
        <w:left w:val="none" w:sz="0" w:space="0" w:color="auto"/>
        <w:bottom w:val="none" w:sz="0" w:space="0" w:color="auto"/>
        <w:right w:val="none" w:sz="0" w:space="0" w:color="auto"/>
      </w:divBdr>
    </w:div>
    <w:div w:id="107941552">
      <w:bodyDiv w:val="1"/>
      <w:marLeft w:val="0"/>
      <w:marRight w:val="0"/>
      <w:marTop w:val="0"/>
      <w:marBottom w:val="0"/>
      <w:divBdr>
        <w:top w:val="none" w:sz="0" w:space="0" w:color="auto"/>
        <w:left w:val="none" w:sz="0" w:space="0" w:color="auto"/>
        <w:bottom w:val="none" w:sz="0" w:space="0" w:color="auto"/>
        <w:right w:val="none" w:sz="0" w:space="0" w:color="auto"/>
      </w:divBdr>
    </w:div>
    <w:div w:id="109591197">
      <w:bodyDiv w:val="1"/>
      <w:marLeft w:val="0"/>
      <w:marRight w:val="0"/>
      <w:marTop w:val="0"/>
      <w:marBottom w:val="0"/>
      <w:divBdr>
        <w:top w:val="none" w:sz="0" w:space="0" w:color="auto"/>
        <w:left w:val="none" w:sz="0" w:space="0" w:color="auto"/>
        <w:bottom w:val="none" w:sz="0" w:space="0" w:color="auto"/>
        <w:right w:val="none" w:sz="0" w:space="0" w:color="auto"/>
      </w:divBdr>
    </w:div>
    <w:div w:id="145128012">
      <w:bodyDiv w:val="1"/>
      <w:marLeft w:val="0"/>
      <w:marRight w:val="0"/>
      <w:marTop w:val="0"/>
      <w:marBottom w:val="0"/>
      <w:divBdr>
        <w:top w:val="none" w:sz="0" w:space="0" w:color="auto"/>
        <w:left w:val="none" w:sz="0" w:space="0" w:color="auto"/>
        <w:bottom w:val="none" w:sz="0" w:space="0" w:color="auto"/>
        <w:right w:val="none" w:sz="0" w:space="0" w:color="auto"/>
      </w:divBdr>
    </w:div>
    <w:div w:id="173540085">
      <w:bodyDiv w:val="1"/>
      <w:marLeft w:val="0"/>
      <w:marRight w:val="0"/>
      <w:marTop w:val="0"/>
      <w:marBottom w:val="0"/>
      <w:divBdr>
        <w:top w:val="none" w:sz="0" w:space="0" w:color="auto"/>
        <w:left w:val="none" w:sz="0" w:space="0" w:color="auto"/>
        <w:bottom w:val="none" w:sz="0" w:space="0" w:color="auto"/>
        <w:right w:val="none" w:sz="0" w:space="0" w:color="auto"/>
      </w:divBdr>
    </w:div>
    <w:div w:id="174925269">
      <w:bodyDiv w:val="1"/>
      <w:marLeft w:val="0"/>
      <w:marRight w:val="0"/>
      <w:marTop w:val="0"/>
      <w:marBottom w:val="0"/>
      <w:divBdr>
        <w:top w:val="none" w:sz="0" w:space="0" w:color="auto"/>
        <w:left w:val="none" w:sz="0" w:space="0" w:color="auto"/>
        <w:bottom w:val="none" w:sz="0" w:space="0" w:color="auto"/>
        <w:right w:val="none" w:sz="0" w:space="0" w:color="auto"/>
      </w:divBdr>
    </w:div>
    <w:div w:id="180558607">
      <w:bodyDiv w:val="1"/>
      <w:marLeft w:val="0"/>
      <w:marRight w:val="0"/>
      <w:marTop w:val="0"/>
      <w:marBottom w:val="0"/>
      <w:divBdr>
        <w:top w:val="none" w:sz="0" w:space="0" w:color="auto"/>
        <w:left w:val="none" w:sz="0" w:space="0" w:color="auto"/>
        <w:bottom w:val="none" w:sz="0" w:space="0" w:color="auto"/>
        <w:right w:val="none" w:sz="0" w:space="0" w:color="auto"/>
      </w:divBdr>
    </w:div>
    <w:div w:id="216861200">
      <w:bodyDiv w:val="1"/>
      <w:marLeft w:val="0"/>
      <w:marRight w:val="0"/>
      <w:marTop w:val="0"/>
      <w:marBottom w:val="0"/>
      <w:divBdr>
        <w:top w:val="none" w:sz="0" w:space="0" w:color="auto"/>
        <w:left w:val="none" w:sz="0" w:space="0" w:color="auto"/>
        <w:bottom w:val="none" w:sz="0" w:space="0" w:color="auto"/>
        <w:right w:val="none" w:sz="0" w:space="0" w:color="auto"/>
      </w:divBdr>
    </w:div>
    <w:div w:id="248655441">
      <w:bodyDiv w:val="1"/>
      <w:marLeft w:val="0"/>
      <w:marRight w:val="0"/>
      <w:marTop w:val="0"/>
      <w:marBottom w:val="0"/>
      <w:divBdr>
        <w:top w:val="none" w:sz="0" w:space="0" w:color="auto"/>
        <w:left w:val="none" w:sz="0" w:space="0" w:color="auto"/>
        <w:bottom w:val="none" w:sz="0" w:space="0" w:color="auto"/>
        <w:right w:val="none" w:sz="0" w:space="0" w:color="auto"/>
      </w:divBdr>
    </w:div>
    <w:div w:id="256981246">
      <w:bodyDiv w:val="1"/>
      <w:marLeft w:val="0"/>
      <w:marRight w:val="0"/>
      <w:marTop w:val="0"/>
      <w:marBottom w:val="0"/>
      <w:divBdr>
        <w:top w:val="none" w:sz="0" w:space="0" w:color="auto"/>
        <w:left w:val="none" w:sz="0" w:space="0" w:color="auto"/>
        <w:bottom w:val="none" w:sz="0" w:space="0" w:color="auto"/>
        <w:right w:val="none" w:sz="0" w:space="0" w:color="auto"/>
      </w:divBdr>
    </w:div>
    <w:div w:id="276373212">
      <w:bodyDiv w:val="1"/>
      <w:marLeft w:val="0"/>
      <w:marRight w:val="0"/>
      <w:marTop w:val="0"/>
      <w:marBottom w:val="0"/>
      <w:divBdr>
        <w:top w:val="none" w:sz="0" w:space="0" w:color="auto"/>
        <w:left w:val="none" w:sz="0" w:space="0" w:color="auto"/>
        <w:bottom w:val="none" w:sz="0" w:space="0" w:color="auto"/>
        <w:right w:val="none" w:sz="0" w:space="0" w:color="auto"/>
      </w:divBdr>
    </w:div>
    <w:div w:id="277838868">
      <w:bodyDiv w:val="1"/>
      <w:marLeft w:val="0"/>
      <w:marRight w:val="0"/>
      <w:marTop w:val="0"/>
      <w:marBottom w:val="0"/>
      <w:divBdr>
        <w:top w:val="none" w:sz="0" w:space="0" w:color="auto"/>
        <w:left w:val="none" w:sz="0" w:space="0" w:color="auto"/>
        <w:bottom w:val="none" w:sz="0" w:space="0" w:color="auto"/>
        <w:right w:val="none" w:sz="0" w:space="0" w:color="auto"/>
      </w:divBdr>
    </w:div>
    <w:div w:id="303825515">
      <w:bodyDiv w:val="1"/>
      <w:marLeft w:val="0"/>
      <w:marRight w:val="0"/>
      <w:marTop w:val="0"/>
      <w:marBottom w:val="0"/>
      <w:divBdr>
        <w:top w:val="none" w:sz="0" w:space="0" w:color="auto"/>
        <w:left w:val="none" w:sz="0" w:space="0" w:color="auto"/>
        <w:bottom w:val="none" w:sz="0" w:space="0" w:color="auto"/>
        <w:right w:val="none" w:sz="0" w:space="0" w:color="auto"/>
      </w:divBdr>
    </w:div>
    <w:div w:id="317996704">
      <w:bodyDiv w:val="1"/>
      <w:marLeft w:val="0"/>
      <w:marRight w:val="0"/>
      <w:marTop w:val="0"/>
      <w:marBottom w:val="0"/>
      <w:divBdr>
        <w:top w:val="none" w:sz="0" w:space="0" w:color="auto"/>
        <w:left w:val="none" w:sz="0" w:space="0" w:color="auto"/>
        <w:bottom w:val="none" w:sz="0" w:space="0" w:color="auto"/>
        <w:right w:val="none" w:sz="0" w:space="0" w:color="auto"/>
      </w:divBdr>
    </w:div>
    <w:div w:id="344330723">
      <w:bodyDiv w:val="1"/>
      <w:marLeft w:val="0"/>
      <w:marRight w:val="0"/>
      <w:marTop w:val="0"/>
      <w:marBottom w:val="0"/>
      <w:divBdr>
        <w:top w:val="none" w:sz="0" w:space="0" w:color="auto"/>
        <w:left w:val="none" w:sz="0" w:space="0" w:color="auto"/>
        <w:bottom w:val="none" w:sz="0" w:space="0" w:color="auto"/>
        <w:right w:val="none" w:sz="0" w:space="0" w:color="auto"/>
      </w:divBdr>
    </w:div>
    <w:div w:id="352877929">
      <w:bodyDiv w:val="1"/>
      <w:marLeft w:val="0"/>
      <w:marRight w:val="0"/>
      <w:marTop w:val="0"/>
      <w:marBottom w:val="0"/>
      <w:divBdr>
        <w:top w:val="none" w:sz="0" w:space="0" w:color="auto"/>
        <w:left w:val="none" w:sz="0" w:space="0" w:color="auto"/>
        <w:bottom w:val="none" w:sz="0" w:space="0" w:color="auto"/>
        <w:right w:val="none" w:sz="0" w:space="0" w:color="auto"/>
      </w:divBdr>
    </w:div>
    <w:div w:id="360979805">
      <w:bodyDiv w:val="1"/>
      <w:marLeft w:val="0"/>
      <w:marRight w:val="0"/>
      <w:marTop w:val="0"/>
      <w:marBottom w:val="0"/>
      <w:divBdr>
        <w:top w:val="none" w:sz="0" w:space="0" w:color="auto"/>
        <w:left w:val="none" w:sz="0" w:space="0" w:color="auto"/>
        <w:bottom w:val="none" w:sz="0" w:space="0" w:color="auto"/>
        <w:right w:val="none" w:sz="0" w:space="0" w:color="auto"/>
      </w:divBdr>
    </w:div>
    <w:div w:id="388575226">
      <w:bodyDiv w:val="1"/>
      <w:marLeft w:val="0"/>
      <w:marRight w:val="0"/>
      <w:marTop w:val="0"/>
      <w:marBottom w:val="0"/>
      <w:divBdr>
        <w:top w:val="none" w:sz="0" w:space="0" w:color="auto"/>
        <w:left w:val="none" w:sz="0" w:space="0" w:color="auto"/>
        <w:bottom w:val="none" w:sz="0" w:space="0" w:color="auto"/>
        <w:right w:val="none" w:sz="0" w:space="0" w:color="auto"/>
      </w:divBdr>
    </w:div>
    <w:div w:id="403645244">
      <w:bodyDiv w:val="1"/>
      <w:marLeft w:val="0"/>
      <w:marRight w:val="0"/>
      <w:marTop w:val="0"/>
      <w:marBottom w:val="0"/>
      <w:divBdr>
        <w:top w:val="none" w:sz="0" w:space="0" w:color="auto"/>
        <w:left w:val="none" w:sz="0" w:space="0" w:color="auto"/>
        <w:bottom w:val="none" w:sz="0" w:space="0" w:color="auto"/>
        <w:right w:val="none" w:sz="0" w:space="0" w:color="auto"/>
      </w:divBdr>
    </w:div>
    <w:div w:id="410083408">
      <w:bodyDiv w:val="1"/>
      <w:marLeft w:val="0"/>
      <w:marRight w:val="0"/>
      <w:marTop w:val="0"/>
      <w:marBottom w:val="0"/>
      <w:divBdr>
        <w:top w:val="none" w:sz="0" w:space="0" w:color="auto"/>
        <w:left w:val="none" w:sz="0" w:space="0" w:color="auto"/>
        <w:bottom w:val="none" w:sz="0" w:space="0" w:color="auto"/>
        <w:right w:val="none" w:sz="0" w:space="0" w:color="auto"/>
      </w:divBdr>
    </w:div>
    <w:div w:id="419107172">
      <w:bodyDiv w:val="1"/>
      <w:marLeft w:val="0"/>
      <w:marRight w:val="0"/>
      <w:marTop w:val="0"/>
      <w:marBottom w:val="0"/>
      <w:divBdr>
        <w:top w:val="none" w:sz="0" w:space="0" w:color="auto"/>
        <w:left w:val="none" w:sz="0" w:space="0" w:color="auto"/>
        <w:bottom w:val="none" w:sz="0" w:space="0" w:color="auto"/>
        <w:right w:val="none" w:sz="0" w:space="0" w:color="auto"/>
      </w:divBdr>
    </w:div>
    <w:div w:id="481967813">
      <w:bodyDiv w:val="1"/>
      <w:marLeft w:val="0"/>
      <w:marRight w:val="0"/>
      <w:marTop w:val="0"/>
      <w:marBottom w:val="0"/>
      <w:divBdr>
        <w:top w:val="none" w:sz="0" w:space="0" w:color="auto"/>
        <w:left w:val="none" w:sz="0" w:space="0" w:color="auto"/>
        <w:bottom w:val="none" w:sz="0" w:space="0" w:color="auto"/>
        <w:right w:val="none" w:sz="0" w:space="0" w:color="auto"/>
      </w:divBdr>
    </w:div>
    <w:div w:id="492531670">
      <w:bodyDiv w:val="1"/>
      <w:marLeft w:val="0"/>
      <w:marRight w:val="0"/>
      <w:marTop w:val="0"/>
      <w:marBottom w:val="0"/>
      <w:divBdr>
        <w:top w:val="none" w:sz="0" w:space="0" w:color="auto"/>
        <w:left w:val="none" w:sz="0" w:space="0" w:color="auto"/>
        <w:bottom w:val="none" w:sz="0" w:space="0" w:color="auto"/>
        <w:right w:val="none" w:sz="0" w:space="0" w:color="auto"/>
      </w:divBdr>
    </w:div>
    <w:div w:id="539631478">
      <w:bodyDiv w:val="1"/>
      <w:marLeft w:val="0"/>
      <w:marRight w:val="0"/>
      <w:marTop w:val="0"/>
      <w:marBottom w:val="0"/>
      <w:divBdr>
        <w:top w:val="none" w:sz="0" w:space="0" w:color="auto"/>
        <w:left w:val="none" w:sz="0" w:space="0" w:color="auto"/>
        <w:bottom w:val="none" w:sz="0" w:space="0" w:color="auto"/>
        <w:right w:val="none" w:sz="0" w:space="0" w:color="auto"/>
      </w:divBdr>
    </w:div>
    <w:div w:id="545261335">
      <w:bodyDiv w:val="1"/>
      <w:marLeft w:val="0"/>
      <w:marRight w:val="0"/>
      <w:marTop w:val="0"/>
      <w:marBottom w:val="0"/>
      <w:divBdr>
        <w:top w:val="none" w:sz="0" w:space="0" w:color="auto"/>
        <w:left w:val="none" w:sz="0" w:space="0" w:color="auto"/>
        <w:bottom w:val="none" w:sz="0" w:space="0" w:color="auto"/>
        <w:right w:val="none" w:sz="0" w:space="0" w:color="auto"/>
      </w:divBdr>
    </w:div>
    <w:div w:id="569316318">
      <w:bodyDiv w:val="1"/>
      <w:marLeft w:val="0"/>
      <w:marRight w:val="0"/>
      <w:marTop w:val="0"/>
      <w:marBottom w:val="0"/>
      <w:divBdr>
        <w:top w:val="none" w:sz="0" w:space="0" w:color="auto"/>
        <w:left w:val="none" w:sz="0" w:space="0" w:color="auto"/>
        <w:bottom w:val="none" w:sz="0" w:space="0" w:color="auto"/>
        <w:right w:val="none" w:sz="0" w:space="0" w:color="auto"/>
      </w:divBdr>
    </w:div>
    <w:div w:id="578176913">
      <w:bodyDiv w:val="1"/>
      <w:marLeft w:val="0"/>
      <w:marRight w:val="0"/>
      <w:marTop w:val="0"/>
      <w:marBottom w:val="0"/>
      <w:divBdr>
        <w:top w:val="none" w:sz="0" w:space="0" w:color="auto"/>
        <w:left w:val="none" w:sz="0" w:space="0" w:color="auto"/>
        <w:bottom w:val="none" w:sz="0" w:space="0" w:color="auto"/>
        <w:right w:val="none" w:sz="0" w:space="0" w:color="auto"/>
      </w:divBdr>
    </w:div>
    <w:div w:id="580913435">
      <w:bodyDiv w:val="1"/>
      <w:marLeft w:val="0"/>
      <w:marRight w:val="0"/>
      <w:marTop w:val="0"/>
      <w:marBottom w:val="0"/>
      <w:divBdr>
        <w:top w:val="none" w:sz="0" w:space="0" w:color="auto"/>
        <w:left w:val="none" w:sz="0" w:space="0" w:color="auto"/>
        <w:bottom w:val="none" w:sz="0" w:space="0" w:color="auto"/>
        <w:right w:val="none" w:sz="0" w:space="0" w:color="auto"/>
      </w:divBdr>
    </w:div>
    <w:div w:id="582688486">
      <w:bodyDiv w:val="1"/>
      <w:marLeft w:val="0"/>
      <w:marRight w:val="0"/>
      <w:marTop w:val="0"/>
      <w:marBottom w:val="0"/>
      <w:divBdr>
        <w:top w:val="none" w:sz="0" w:space="0" w:color="auto"/>
        <w:left w:val="none" w:sz="0" w:space="0" w:color="auto"/>
        <w:bottom w:val="none" w:sz="0" w:space="0" w:color="auto"/>
        <w:right w:val="none" w:sz="0" w:space="0" w:color="auto"/>
      </w:divBdr>
    </w:div>
    <w:div w:id="582691273">
      <w:bodyDiv w:val="1"/>
      <w:marLeft w:val="0"/>
      <w:marRight w:val="0"/>
      <w:marTop w:val="0"/>
      <w:marBottom w:val="0"/>
      <w:divBdr>
        <w:top w:val="none" w:sz="0" w:space="0" w:color="auto"/>
        <w:left w:val="none" w:sz="0" w:space="0" w:color="auto"/>
        <w:bottom w:val="none" w:sz="0" w:space="0" w:color="auto"/>
        <w:right w:val="none" w:sz="0" w:space="0" w:color="auto"/>
      </w:divBdr>
    </w:div>
    <w:div w:id="584414251">
      <w:bodyDiv w:val="1"/>
      <w:marLeft w:val="0"/>
      <w:marRight w:val="0"/>
      <w:marTop w:val="0"/>
      <w:marBottom w:val="0"/>
      <w:divBdr>
        <w:top w:val="none" w:sz="0" w:space="0" w:color="auto"/>
        <w:left w:val="none" w:sz="0" w:space="0" w:color="auto"/>
        <w:bottom w:val="none" w:sz="0" w:space="0" w:color="auto"/>
        <w:right w:val="none" w:sz="0" w:space="0" w:color="auto"/>
      </w:divBdr>
    </w:div>
    <w:div w:id="608853786">
      <w:bodyDiv w:val="1"/>
      <w:marLeft w:val="0"/>
      <w:marRight w:val="0"/>
      <w:marTop w:val="0"/>
      <w:marBottom w:val="0"/>
      <w:divBdr>
        <w:top w:val="none" w:sz="0" w:space="0" w:color="auto"/>
        <w:left w:val="none" w:sz="0" w:space="0" w:color="auto"/>
        <w:bottom w:val="none" w:sz="0" w:space="0" w:color="auto"/>
        <w:right w:val="none" w:sz="0" w:space="0" w:color="auto"/>
      </w:divBdr>
    </w:div>
    <w:div w:id="641884865">
      <w:bodyDiv w:val="1"/>
      <w:marLeft w:val="0"/>
      <w:marRight w:val="0"/>
      <w:marTop w:val="0"/>
      <w:marBottom w:val="0"/>
      <w:divBdr>
        <w:top w:val="none" w:sz="0" w:space="0" w:color="auto"/>
        <w:left w:val="none" w:sz="0" w:space="0" w:color="auto"/>
        <w:bottom w:val="none" w:sz="0" w:space="0" w:color="auto"/>
        <w:right w:val="none" w:sz="0" w:space="0" w:color="auto"/>
      </w:divBdr>
    </w:div>
    <w:div w:id="651908635">
      <w:bodyDiv w:val="1"/>
      <w:marLeft w:val="0"/>
      <w:marRight w:val="0"/>
      <w:marTop w:val="0"/>
      <w:marBottom w:val="0"/>
      <w:divBdr>
        <w:top w:val="none" w:sz="0" w:space="0" w:color="auto"/>
        <w:left w:val="none" w:sz="0" w:space="0" w:color="auto"/>
        <w:bottom w:val="none" w:sz="0" w:space="0" w:color="auto"/>
        <w:right w:val="none" w:sz="0" w:space="0" w:color="auto"/>
      </w:divBdr>
    </w:div>
    <w:div w:id="675769251">
      <w:bodyDiv w:val="1"/>
      <w:marLeft w:val="0"/>
      <w:marRight w:val="0"/>
      <w:marTop w:val="0"/>
      <w:marBottom w:val="0"/>
      <w:divBdr>
        <w:top w:val="none" w:sz="0" w:space="0" w:color="auto"/>
        <w:left w:val="none" w:sz="0" w:space="0" w:color="auto"/>
        <w:bottom w:val="none" w:sz="0" w:space="0" w:color="auto"/>
        <w:right w:val="none" w:sz="0" w:space="0" w:color="auto"/>
      </w:divBdr>
    </w:div>
    <w:div w:id="706413558">
      <w:bodyDiv w:val="1"/>
      <w:marLeft w:val="0"/>
      <w:marRight w:val="0"/>
      <w:marTop w:val="0"/>
      <w:marBottom w:val="0"/>
      <w:divBdr>
        <w:top w:val="none" w:sz="0" w:space="0" w:color="auto"/>
        <w:left w:val="none" w:sz="0" w:space="0" w:color="auto"/>
        <w:bottom w:val="none" w:sz="0" w:space="0" w:color="auto"/>
        <w:right w:val="none" w:sz="0" w:space="0" w:color="auto"/>
      </w:divBdr>
    </w:div>
    <w:div w:id="717512105">
      <w:bodyDiv w:val="1"/>
      <w:marLeft w:val="0"/>
      <w:marRight w:val="0"/>
      <w:marTop w:val="0"/>
      <w:marBottom w:val="0"/>
      <w:divBdr>
        <w:top w:val="none" w:sz="0" w:space="0" w:color="auto"/>
        <w:left w:val="none" w:sz="0" w:space="0" w:color="auto"/>
        <w:bottom w:val="none" w:sz="0" w:space="0" w:color="auto"/>
        <w:right w:val="none" w:sz="0" w:space="0" w:color="auto"/>
      </w:divBdr>
    </w:div>
    <w:div w:id="727845704">
      <w:bodyDiv w:val="1"/>
      <w:marLeft w:val="0"/>
      <w:marRight w:val="0"/>
      <w:marTop w:val="0"/>
      <w:marBottom w:val="0"/>
      <w:divBdr>
        <w:top w:val="none" w:sz="0" w:space="0" w:color="auto"/>
        <w:left w:val="none" w:sz="0" w:space="0" w:color="auto"/>
        <w:bottom w:val="none" w:sz="0" w:space="0" w:color="auto"/>
        <w:right w:val="none" w:sz="0" w:space="0" w:color="auto"/>
      </w:divBdr>
    </w:div>
    <w:div w:id="756445862">
      <w:bodyDiv w:val="1"/>
      <w:marLeft w:val="0"/>
      <w:marRight w:val="0"/>
      <w:marTop w:val="0"/>
      <w:marBottom w:val="0"/>
      <w:divBdr>
        <w:top w:val="none" w:sz="0" w:space="0" w:color="auto"/>
        <w:left w:val="none" w:sz="0" w:space="0" w:color="auto"/>
        <w:bottom w:val="none" w:sz="0" w:space="0" w:color="auto"/>
        <w:right w:val="none" w:sz="0" w:space="0" w:color="auto"/>
      </w:divBdr>
    </w:div>
    <w:div w:id="766459051">
      <w:bodyDiv w:val="1"/>
      <w:marLeft w:val="0"/>
      <w:marRight w:val="0"/>
      <w:marTop w:val="0"/>
      <w:marBottom w:val="0"/>
      <w:divBdr>
        <w:top w:val="none" w:sz="0" w:space="0" w:color="auto"/>
        <w:left w:val="none" w:sz="0" w:space="0" w:color="auto"/>
        <w:bottom w:val="none" w:sz="0" w:space="0" w:color="auto"/>
        <w:right w:val="none" w:sz="0" w:space="0" w:color="auto"/>
      </w:divBdr>
    </w:div>
    <w:div w:id="785465594">
      <w:bodyDiv w:val="1"/>
      <w:marLeft w:val="0"/>
      <w:marRight w:val="0"/>
      <w:marTop w:val="0"/>
      <w:marBottom w:val="0"/>
      <w:divBdr>
        <w:top w:val="none" w:sz="0" w:space="0" w:color="auto"/>
        <w:left w:val="none" w:sz="0" w:space="0" w:color="auto"/>
        <w:bottom w:val="none" w:sz="0" w:space="0" w:color="auto"/>
        <w:right w:val="none" w:sz="0" w:space="0" w:color="auto"/>
      </w:divBdr>
    </w:div>
    <w:div w:id="811213606">
      <w:bodyDiv w:val="1"/>
      <w:marLeft w:val="0"/>
      <w:marRight w:val="0"/>
      <w:marTop w:val="0"/>
      <w:marBottom w:val="0"/>
      <w:divBdr>
        <w:top w:val="none" w:sz="0" w:space="0" w:color="auto"/>
        <w:left w:val="none" w:sz="0" w:space="0" w:color="auto"/>
        <w:bottom w:val="none" w:sz="0" w:space="0" w:color="auto"/>
        <w:right w:val="none" w:sz="0" w:space="0" w:color="auto"/>
      </w:divBdr>
    </w:div>
    <w:div w:id="816149342">
      <w:bodyDiv w:val="1"/>
      <w:marLeft w:val="0"/>
      <w:marRight w:val="0"/>
      <w:marTop w:val="0"/>
      <w:marBottom w:val="0"/>
      <w:divBdr>
        <w:top w:val="none" w:sz="0" w:space="0" w:color="auto"/>
        <w:left w:val="none" w:sz="0" w:space="0" w:color="auto"/>
        <w:bottom w:val="none" w:sz="0" w:space="0" w:color="auto"/>
        <w:right w:val="none" w:sz="0" w:space="0" w:color="auto"/>
      </w:divBdr>
    </w:div>
    <w:div w:id="841892084">
      <w:bodyDiv w:val="1"/>
      <w:marLeft w:val="0"/>
      <w:marRight w:val="0"/>
      <w:marTop w:val="0"/>
      <w:marBottom w:val="0"/>
      <w:divBdr>
        <w:top w:val="none" w:sz="0" w:space="0" w:color="auto"/>
        <w:left w:val="none" w:sz="0" w:space="0" w:color="auto"/>
        <w:bottom w:val="none" w:sz="0" w:space="0" w:color="auto"/>
        <w:right w:val="none" w:sz="0" w:space="0" w:color="auto"/>
      </w:divBdr>
    </w:div>
    <w:div w:id="900095303">
      <w:bodyDiv w:val="1"/>
      <w:marLeft w:val="0"/>
      <w:marRight w:val="0"/>
      <w:marTop w:val="0"/>
      <w:marBottom w:val="0"/>
      <w:divBdr>
        <w:top w:val="none" w:sz="0" w:space="0" w:color="auto"/>
        <w:left w:val="none" w:sz="0" w:space="0" w:color="auto"/>
        <w:bottom w:val="none" w:sz="0" w:space="0" w:color="auto"/>
        <w:right w:val="none" w:sz="0" w:space="0" w:color="auto"/>
      </w:divBdr>
    </w:div>
    <w:div w:id="910887313">
      <w:bodyDiv w:val="1"/>
      <w:marLeft w:val="0"/>
      <w:marRight w:val="0"/>
      <w:marTop w:val="0"/>
      <w:marBottom w:val="0"/>
      <w:divBdr>
        <w:top w:val="none" w:sz="0" w:space="0" w:color="auto"/>
        <w:left w:val="none" w:sz="0" w:space="0" w:color="auto"/>
        <w:bottom w:val="none" w:sz="0" w:space="0" w:color="auto"/>
        <w:right w:val="none" w:sz="0" w:space="0" w:color="auto"/>
      </w:divBdr>
    </w:div>
    <w:div w:id="957178112">
      <w:bodyDiv w:val="1"/>
      <w:marLeft w:val="0"/>
      <w:marRight w:val="0"/>
      <w:marTop w:val="0"/>
      <w:marBottom w:val="0"/>
      <w:divBdr>
        <w:top w:val="none" w:sz="0" w:space="0" w:color="auto"/>
        <w:left w:val="none" w:sz="0" w:space="0" w:color="auto"/>
        <w:bottom w:val="none" w:sz="0" w:space="0" w:color="auto"/>
        <w:right w:val="none" w:sz="0" w:space="0" w:color="auto"/>
      </w:divBdr>
    </w:div>
    <w:div w:id="969361830">
      <w:bodyDiv w:val="1"/>
      <w:marLeft w:val="0"/>
      <w:marRight w:val="0"/>
      <w:marTop w:val="0"/>
      <w:marBottom w:val="0"/>
      <w:divBdr>
        <w:top w:val="none" w:sz="0" w:space="0" w:color="auto"/>
        <w:left w:val="none" w:sz="0" w:space="0" w:color="auto"/>
        <w:bottom w:val="none" w:sz="0" w:space="0" w:color="auto"/>
        <w:right w:val="none" w:sz="0" w:space="0" w:color="auto"/>
      </w:divBdr>
    </w:div>
    <w:div w:id="970476483">
      <w:bodyDiv w:val="1"/>
      <w:marLeft w:val="0"/>
      <w:marRight w:val="0"/>
      <w:marTop w:val="0"/>
      <w:marBottom w:val="0"/>
      <w:divBdr>
        <w:top w:val="none" w:sz="0" w:space="0" w:color="auto"/>
        <w:left w:val="none" w:sz="0" w:space="0" w:color="auto"/>
        <w:bottom w:val="none" w:sz="0" w:space="0" w:color="auto"/>
        <w:right w:val="none" w:sz="0" w:space="0" w:color="auto"/>
      </w:divBdr>
    </w:div>
    <w:div w:id="977151204">
      <w:bodyDiv w:val="1"/>
      <w:marLeft w:val="0"/>
      <w:marRight w:val="0"/>
      <w:marTop w:val="0"/>
      <w:marBottom w:val="0"/>
      <w:divBdr>
        <w:top w:val="none" w:sz="0" w:space="0" w:color="auto"/>
        <w:left w:val="none" w:sz="0" w:space="0" w:color="auto"/>
        <w:bottom w:val="none" w:sz="0" w:space="0" w:color="auto"/>
        <w:right w:val="none" w:sz="0" w:space="0" w:color="auto"/>
      </w:divBdr>
    </w:div>
    <w:div w:id="985085764">
      <w:bodyDiv w:val="1"/>
      <w:marLeft w:val="0"/>
      <w:marRight w:val="0"/>
      <w:marTop w:val="0"/>
      <w:marBottom w:val="0"/>
      <w:divBdr>
        <w:top w:val="none" w:sz="0" w:space="0" w:color="auto"/>
        <w:left w:val="none" w:sz="0" w:space="0" w:color="auto"/>
        <w:bottom w:val="none" w:sz="0" w:space="0" w:color="auto"/>
        <w:right w:val="none" w:sz="0" w:space="0" w:color="auto"/>
      </w:divBdr>
    </w:div>
    <w:div w:id="1008097963">
      <w:bodyDiv w:val="1"/>
      <w:marLeft w:val="0"/>
      <w:marRight w:val="0"/>
      <w:marTop w:val="0"/>
      <w:marBottom w:val="0"/>
      <w:divBdr>
        <w:top w:val="none" w:sz="0" w:space="0" w:color="auto"/>
        <w:left w:val="none" w:sz="0" w:space="0" w:color="auto"/>
        <w:bottom w:val="none" w:sz="0" w:space="0" w:color="auto"/>
        <w:right w:val="none" w:sz="0" w:space="0" w:color="auto"/>
      </w:divBdr>
    </w:div>
    <w:div w:id="1037006682">
      <w:bodyDiv w:val="1"/>
      <w:marLeft w:val="0"/>
      <w:marRight w:val="0"/>
      <w:marTop w:val="0"/>
      <w:marBottom w:val="0"/>
      <w:divBdr>
        <w:top w:val="none" w:sz="0" w:space="0" w:color="auto"/>
        <w:left w:val="none" w:sz="0" w:space="0" w:color="auto"/>
        <w:bottom w:val="none" w:sz="0" w:space="0" w:color="auto"/>
        <w:right w:val="none" w:sz="0" w:space="0" w:color="auto"/>
      </w:divBdr>
    </w:div>
    <w:div w:id="1116677138">
      <w:bodyDiv w:val="1"/>
      <w:marLeft w:val="0"/>
      <w:marRight w:val="0"/>
      <w:marTop w:val="0"/>
      <w:marBottom w:val="0"/>
      <w:divBdr>
        <w:top w:val="none" w:sz="0" w:space="0" w:color="auto"/>
        <w:left w:val="none" w:sz="0" w:space="0" w:color="auto"/>
        <w:bottom w:val="none" w:sz="0" w:space="0" w:color="auto"/>
        <w:right w:val="none" w:sz="0" w:space="0" w:color="auto"/>
      </w:divBdr>
    </w:div>
    <w:div w:id="1135025731">
      <w:bodyDiv w:val="1"/>
      <w:marLeft w:val="0"/>
      <w:marRight w:val="0"/>
      <w:marTop w:val="0"/>
      <w:marBottom w:val="0"/>
      <w:divBdr>
        <w:top w:val="none" w:sz="0" w:space="0" w:color="auto"/>
        <w:left w:val="none" w:sz="0" w:space="0" w:color="auto"/>
        <w:bottom w:val="none" w:sz="0" w:space="0" w:color="auto"/>
        <w:right w:val="none" w:sz="0" w:space="0" w:color="auto"/>
      </w:divBdr>
    </w:div>
    <w:div w:id="1177772800">
      <w:bodyDiv w:val="1"/>
      <w:marLeft w:val="0"/>
      <w:marRight w:val="0"/>
      <w:marTop w:val="0"/>
      <w:marBottom w:val="0"/>
      <w:divBdr>
        <w:top w:val="none" w:sz="0" w:space="0" w:color="auto"/>
        <w:left w:val="none" w:sz="0" w:space="0" w:color="auto"/>
        <w:bottom w:val="none" w:sz="0" w:space="0" w:color="auto"/>
        <w:right w:val="none" w:sz="0" w:space="0" w:color="auto"/>
      </w:divBdr>
    </w:div>
    <w:div w:id="1181969529">
      <w:bodyDiv w:val="1"/>
      <w:marLeft w:val="0"/>
      <w:marRight w:val="0"/>
      <w:marTop w:val="0"/>
      <w:marBottom w:val="0"/>
      <w:divBdr>
        <w:top w:val="none" w:sz="0" w:space="0" w:color="auto"/>
        <w:left w:val="none" w:sz="0" w:space="0" w:color="auto"/>
        <w:bottom w:val="none" w:sz="0" w:space="0" w:color="auto"/>
        <w:right w:val="none" w:sz="0" w:space="0" w:color="auto"/>
      </w:divBdr>
    </w:div>
    <w:div w:id="1188373678">
      <w:bodyDiv w:val="1"/>
      <w:marLeft w:val="0"/>
      <w:marRight w:val="0"/>
      <w:marTop w:val="0"/>
      <w:marBottom w:val="0"/>
      <w:divBdr>
        <w:top w:val="none" w:sz="0" w:space="0" w:color="auto"/>
        <w:left w:val="none" w:sz="0" w:space="0" w:color="auto"/>
        <w:bottom w:val="none" w:sz="0" w:space="0" w:color="auto"/>
        <w:right w:val="none" w:sz="0" w:space="0" w:color="auto"/>
      </w:divBdr>
    </w:div>
    <w:div w:id="1219245981">
      <w:bodyDiv w:val="1"/>
      <w:marLeft w:val="0"/>
      <w:marRight w:val="0"/>
      <w:marTop w:val="0"/>
      <w:marBottom w:val="0"/>
      <w:divBdr>
        <w:top w:val="none" w:sz="0" w:space="0" w:color="auto"/>
        <w:left w:val="none" w:sz="0" w:space="0" w:color="auto"/>
        <w:bottom w:val="none" w:sz="0" w:space="0" w:color="auto"/>
        <w:right w:val="none" w:sz="0" w:space="0" w:color="auto"/>
      </w:divBdr>
    </w:div>
    <w:div w:id="1257254050">
      <w:bodyDiv w:val="1"/>
      <w:marLeft w:val="0"/>
      <w:marRight w:val="0"/>
      <w:marTop w:val="0"/>
      <w:marBottom w:val="0"/>
      <w:divBdr>
        <w:top w:val="none" w:sz="0" w:space="0" w:color="auto"/>
        <w:left w:val="none" w:sz="0" w:space="0" w:color="auto"/>
        <w:bottom w:val="none" w:sz="0" w:space="0" w:color="auto"/>
        <w:right w:val="none" w:sz="0" w:space="0" w:color="auto"/>
      </w:divBdr>
    </w:div>
    <w:div w:id="1305507866">
      <w:bodyDiv w:val="1"/>
      <w:marLeft w:val="0"/>
      <w:marRight w:val="0"/>
      <w:marTop w:val="0"/>
      <w:marBottom w:val="0"/>
      <w:divBdr>
        <w:top w:val="none" w:sz="0" w:space="0" w:color="auto"/>
        <w:left w:val="none" w:sz="0" w:space="0" w:color="auto"/>
        <w:bottom w:val="none" w:sz="0" w:space="0" w:color="auto"/>
        <w:right w:val="none" w:sz="0" w:space="0" w:color="auto"/>
      </w:divBdr>
    </w:div>
    <w:div w:id="1321156686">
      <w:bodyDiv w:val="1"/>
      <w:marLeft w:val="0"/>
      <w:marRight w:val="0"/>
      <w:marTop w:val="0"/>
      <w:marBottom w:val="0"/>
      <w:divBdr>
        <w:top w:val="none" w:sz="0" w:space="0" w:color="auto"/>
        <w:left w:val="none" w:sz="0" w:space="0" w:color="auto"/>
        <w:bottom w:val="none" w:sz="0" w:space="0" w:color="auto"/>
        <w:right w:val="none" w:sz="0" w:space="0" w:color="auto"/>
      </w:divBdr>
    </w:div>
    <w:div w:id="1360736785">
      <w:bodyDiv w:val="1"/>
      <w:marLeft w:val="0"/>
      <w:marRight w:val="0"/>
      <w:marTop w:val="0"/>
      <w:marBottom w:val="0"/>
      <w:divBdr>
        <w:top w:val="none" w:sz="0" w:space="0" w:color="auto"/>
        <w:left w:val="none" w:sz="0" w:space="0" w:color="auto"/>
        <w:bottom w:val="none" w:sz="0" w:space="0" w:color="auto"/>
        <w:right w:val="none" w:sz="0" w:space="0" w:color="auto"/>
      </w:divBdr>
    </w:div>
    <w:div w:id="1374958499">
      <w:bodyDiv w:val="1"/>
      <w:marLeft w:val="0"/>
      <w:marRight w:val="0"/>
      <w:marTop w:val="0"/>
      <w:marBottom w:val="0"/>
      <w:divBdr>
        <w:top w:val="none" w:sz="0" w:space="0" w:color="auto"/>
        <w:left w:val="none" w:sz="0" w:space="0" w:color="auto"/>
        <w:bottom w:val="none" w:sz="0" w:space="0" w:color="auto"/>
        <w:right w:val="none" w:sz="0" w:space="0" w:color="auto"/>
      </w:divBdr>
    </w:div>
    <w:div w:id="1402483800">
      <w:bodyDiv w:val="1"/>
      <w:marLeft w:val="0"/>
      <w:marRight w:val="0"/>
      <w:marTop w:val="0"/>
      <w:marBottom w:val="0"/>
      <w:divBdr>
        <w:top w:val="none" w:sz="0" w:space="0" w:color="auto"/>
        <w:left w:val="none" w:sz="0" w:space="0" w:color="auto"/>
        <w:bottom w:val="none" w:sz="0" w:space="0" w:color="auto"/>
        <w:right w:val="none" w:sz="0" w:space="0" w:color="auto"/>
      </w:divBdr>
    </w:div>
    <w:div w:id="1404450126">
      <w:bodyDiv w:val="1"/>
      <w:marLeft w:val="0"/>
      <w:marRight w:val="0"/>
      <w:marTop w:val="0"/>
      <w:marBottom w:val="0"/>
      <w:divBdr>
        <w:top w:val="none" w:sz="0" w:space="0" w:color="auto"/>
        <w:left w:val="none" w:sz="0" w:space="0" w:color="auto"/>
        <w:bottom w:val="none" w:sz="0" w:space="0" w:color="auto"/>
        <w:right w:val="none" w:sz="0" w:space="0" w:color="auto"/>
      </w:divBdr>
    </w:div>
    <w:div w:id="1405765291">
      <w:bodyDiv w:val="1"/>
      <w:marLeft w:val="0"/>
      <w:marRight w:val="0"/>
      <w:marTop w:val="0"/>
      <w:marBottom w:val="0"/>
      <w:divBdr>
        <w:top w:val="none" w:sz="0" w:space="0" w:color="auto"/>
        <w:left w:val="none" w:sz="0" w:space="0" w:color="auto"/>
        <w:bottom w:val="none" w:sz="0" w:space="0" w:color="auto"/>
        <w:right w:val="none" w:sz="0" w:space="0" w:color="auto"/>
      </w:divBdr>
    </w:div>
    <w:div w:id="1414661935">
      <w:bodyDiv w:val="1"/>
      <w:marLeft w:val="0"/>
      <w:marRight w:val="0"/>
      <w:marTop w:val="0"/>
      <w:marBottom w:val="0"/>
      <w:divBdr>
        <w:top w:val="none" w:sz="0" w:space="0" w:color="auto"/>
        <w:left w:val="none" w:sz="0" w:space="0" w:color="auto"/>
        <w:bottom w:val="none" w:sz="0" w:space="0" w:color="auto"/>
        <w:right w:val="none" w:sz="0" w:space="0" w:color="auto"/>
      </w:divBdr>
    </w:div>
    <w:div w:id="1418744111">
      <w:bodyDiv w:val="1"/>
      <w:marLeft w:val="0"/>
      <w:marRight w:val="0"/>
      <w:marTop w:val="0"/>
      <w:marBottom w:val="0"/>
      <w:divBdr>
        <w:top w:val="none" w:sz="0" w:space="0" w:color="auto"/>
        <w:left w:val="none" w:sz="0" w:space="0" w:color="auto"/>
        <w:bottom w:val="none" w:sz="0" w:space="0" w:color="auto"/>
        <w:right w:val="none" w:sz="0" w:space="0" w:color="auto"/>
      </w:divBdr>
    </w:div>
    <w:div w:id="1445880323">
      <w:bodyDiv w:val="1"/>
      <w:marLeft w:val="0"/>
      <w:marRight w:val="0"/>
      <w:marTop w:val="0"/>
      <w:marBottom w:val="0"/>
      <w:divBdr>
        <w:top w:val="none" w:sz="0" w:space="0" w:color="auto"/>
        <w:left w:val="none" w:sz="0" w:space="0" w:color="auto"/>
        <w:bottom w:val="none" w:sz="0" w:space="0" w:color="auto"/>
        <w:right w:val="none" w:sz="0" w:space="0" w:color="auto"/>
      </w:divBdr>
    </w:div>
    <w:div w:id="1469589878">
      <w:bodyDiv w:val="1"/>
      <w:marLeft w:val="0"/>
      <w:marRight w:val="0"/>
      <w:marTop w:val="0"/>
      <w:marBottom w:val="0"/>
      <w:divBdr>
        <w:top w:val="none" w:sz="0" w:space="0" w:color="auto"/>
        <w:left w:val="none" w:sz="0" w:space="0" w:color="auto"/>
        <w:bottom w:val="none" w:sz="0" w:space="0" w:color="auto"/>
        <w:right w:val="none" w:sz="0" w:space="0" w:color="auto"/>
      </w:divBdr>
    </w:div>
    <w:div w:id="1475558794">
      <w:bodyDiv w:val="1"/>
      <w:marLeft w:val="0"/>
      <w:marRight w:val="0"/>
      <w:marTop w:val="0"/>
      <w:marBottom w:val="0"/>
      <w:divBdr>
        <w:top w:val="none" w:sz="0" w:space="0" w:color="auto"/>
        <w:left w:val="none" w:sz="0" w:space="0" w:color="auto"/>
        <w:bottom w:val="none" w:sz="0" w:space="0" w:color="auto"/>
        <w:right w:val="none" w:sz="0" w:space="0" w:color="auto"/>
      </w:divBdr>
    </w:div>
    <w:div w:id="1477987127">
      <w:bodyDiv w:val="1"/>
      <w:marLeft w:val="0"/>
      <w:marRight w:val="0"/>
      <w:marTop w:val="0"/>
      <w:marBottom w:val="0"/>
      <w:divBdr>
        <w:top w:val="none" w:sz="0" w:space="0" w:color="auto"/>
        <w:left w:val="none" w:sz="0" w:space="0" w:color="auto"/>
        <w:bottom w:val="none" w:sz="0" w:space="0" w:color="auto"/>
        <w:right w:val="none" w:sz="0" w:space="0" w:color="auto"/>
      </w:divBdr>
    </w:div>
    <w:div w:id="1498494405">
      <w:bodyDiv w:val="1"/>
      <w:marLeft w:val="0"/>
      <w:marRight w:val="0"/>
      <w:marTop w:val="0"/>
      <w:marBottom w:val="0"/>
      <w:divBdr>
        <w:top w:val="none" w:sz="0" w:space="0" w:color="auto"/>
        <w:left w:val="none" w:sz="0" w:space="0" w:color="auto"/>
        <w:bottom w:val="none" w:sz="0" w:space="0" w:color="auto"/>
        <w:right w:val="none" w:sz="0" w:space="0" w:color="auto"/>
      </w:divBdr>
    </w:div>
    <w:div w:id="1526014848">
      <w:bodyDiv w:val="1"/>
      <w:marLeft w:val="0"/>
      <w:marRight w:val="0"/>
      <w:marTop w:val="0"/>
      <w:marBottom w:val="0"/>
      <w:divBdr>
        <w:top w:val="none" w:sz="0" w:space="0" w:color="auto"/>
        <w:left w:val="none" w:sz="0" w:space="0" w:color="auto"/>
        <w:bottom w:val="none" w:sz="0" w:space="0" w:color="auto"/>
        <w:right w:val="none" w:sz="0" w:space="0" w:color="auto"/>
      </w:divBdr>
    </w:div>
    <w:div w:id="1552619519">
      <w:bodyDiv w:val="1"/>
      <w:marLeft w:val="0"/>
      <w:marRight w:val="0"/>
      <w:marTop w:val="0"/>
      <w:marBottom w:val="0"/>
      <w:divBdr>
        <w:top w:val="none" w:sz="0" w:space="0" w:color="auto"/>
        <w:left w:val="none" w:sz="0" w:space="0" w:color="auto"/>
        <w:bottom w:val="none" w:sz="0" w:space="0" w:color="auto"/>
        <w:right w:val="none" w:sz="0" w:space="0" w:color="auto"/>
      </w:divBdr>
    </w:div>
    <w:div w:id="1576434765">
      <w:bodyDiv w:val="1"/>
      <w:marLeft w:val="0"/>
      <w:marRight w:val="0"/>
      <w:marTop w:val="0"/>
      <w:marBottom w:val="0"/>
      <w:divBdr>
        <w:top w:val="none" w:sz="0" w:space="0" w:color="auto"/>
        <w:left w:val="none" w:sz="0" w:space="0" w:color="auto"/>
        <w:bottom w:val="none" w:sz="0" w:space="0" w:color="auto"/>
        <w:right w:val="none" w:sz="0" w:space="0" w:color="auto"/>
      </w:divBdr>
    </w:div>
    <w:div w:id="1587837326">
      <w:bodyDiv w:val="1"/>
      <w:marLeft w:val="0"/>
      <w:marRight w:val="0"/>
      <w:marTop w:val="0"/>
      <w:marBottom w:val="0"/>
      <w:divBdr>
        <w:top w:val="none" w:sz="0" w:space="0" w:color="auto"/>
        <w:left w:val="none" w:sz="0" w:space="0" w:color="auto"/>
        <w:bottom w:val="none" w:sz="0" w:space="0" w:color="auto"/>
        <w:right w:val="none" w:sz="0" w:space="0" w:color="auto"/>
      </w:divBdr>
    </w:div>
    <w:div w:id="1590196429">
      <w:bodyDiv w:val="1"/>
      <w:marLeft w:val="0"/>
      <w:marRight w:val="0"/>
      <w:marTop w:val="0"/>
      <w:marBottom w:val="0"/>
      <w:divBdr>
        <w:top w:val="none" w:sz="0" w:space="0" w:color="auto"/>
        <w:left w:val="none" w:sz="0" w:space="0" w:color="auto"/>
        <w:bottom w:val="none" w:sz="0" w:space="0" w:color="auto"/>
        <w:right w:val="none" w:sz="0" w:space="0" w:color="auto"/>
      </w:divBdr>
    </w:div>
    <w:div w:id="1595047417">
      <w:bodyDiv w:val="1"/>
      <w:marLeft w:val="0"/>
      <w:marRight w:val="0"/>
      <w:marTop w:val="0"/>
      <w:marBottom w:val="0"/>
      <w:divBdr>
        <w:top w:val="none" w:sz="0" w:space="0" w:color="auto"/>
        <w:left w:val="none" w:sz="0" w:space="0" w:color="auto"/>
        <w:bottom w:val="none" w:sz="0" w:space="0" w:color="auto"/>
        <w:right w:val="none" w:sz="0" w:space="0" w:color="auto"/>
      </w:divBdr>
    </w:div>
    <w:div w:id="1614940628">
      <w:bodyDiv w:val="1"/>
      <w:marLeft w:val="0"/>
      <w:marRight w:val="0"/>
      <w:marTop w:val="0"/>
      <w:marBottom w:val="0"/>
      <w:divBdr>
        <w:top w:val="none" w:sz="0" w:space="0" w:color="auto"/>
        <w:left w:val="none" w:sz="0" w:space="0" w:color="auto"/>
        <w:bottom w:val="none" w:sz="0" w:space="0" w:color="auto"/>
        <w:right w:val="none" w:sz="0" w:space="0" w:color="auto"/>
      </w:divBdr>
    </w:div>
    <w:div w:id="1623733730">
      <w:bodyDiv w:val="1"/>
      <w:marLeft w:val="0"/>
      <w:marRight w:val="0"/>
      <w:marTop w:val="0"/>
      <w:marBottom w:val="0"/>
      <w:divBdr>
        <w:top w:val="none" w:sz="0" w:space="0" w:color="auto"/>
        <w:left w:val="none" w:sz="0" w:space="0" w:color="auto"/>
        <w:bottom w:val="none" w:sz="0" w:space="0" w:color="auto"/>
        <w:right w:val="none" w:sz="0" w:space="0" w:color="auto"/>
      </w:divBdr>
    </w:div>
    <w:div w:id="1624118416">
      <w:bodyDiv w:val="1"/>
      <w:marLeft w:val="0"/>
      <w:marRight w:val="0"/>
      <w:marTop w:val="0"/>
      <w:marBottom w:val="0"/>
      <w:divBdr>
        <w:top w:val="none" w:sz="0" w:space="0" w:color="auto"/>
        <w:left w:val="none" w:sz="0" w:space="0" w:color="auto"/>
        <w:bottom w:val="none" w:sz="0" w:space="0" w:color="auto"/>
        <w:right w:val="none" w:sz="0" w:space="0" w:color="auto"/>
      </w:divBdr>
    </w:div>
    <w:div w:id="1626812583">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83580085">
      <w:bodyDiv w:val="1"/>
      <w:marLeft w:val="0"/>
      <w:marRight w:val="0"/>
      <w:marTop w:val="0"/>
      <w:marBottom w:val="0"/>
      <w:divBdr>
        <w:top w:val="none" w:sz="0" w:space="0" w:color="auto"/>
        <w:left w:val="none" w:sz="0" w:space="0" w:color="auto"/>
        <w:bottom w:val="none" w:sz="0" w:space="0" w:color="auto"/>
        <w:right w:val="none" w:sz="0" w:space="0" w:color="auto"/>
      </w:divBdr>
    </w:div>
    <w:div w:id="1763069322">
      <w:bodyDiv w:val="1"/>
      <w:marLeft w:val="0"/>
      <w:marRight w:val="0"/>
      <w:marTop w:val="0"/>
      <w:marBottom w:val="0"/>
      <w:divBdr>
        <w:top w:val="none" w:sz="0" w:space="0" w:color="auto"/>
        <w:left w:val="none" w:sz="0" w:space="0" w:color="auto"/>
        <w:bottom w:val="none" w:sz="0" w:space="0" w:color="auto"/>
        <w:right w:val="none" w:sz="0" w:space="0" w:color="auto"/>
      </w:divBdr>
    </w:div>
    <w:div w:id="1783644648">
      <w:bodyDiv w:val="1"/>
      <w:marLeft w:val="0"/>
      <w:marRight w:val="0"/>
      <w:marTop w:val="0"/>
      <w:marBottom w:val="0"/>
      <w:divBdr>
        <w:top w:val="none" w:sz="0" w:space="0" w:color="auto"/>
        <w:left w:val="none" w:sz="0" w:space="0" w:color="auto"/>
        <w:bottom w:val="none" w:sz="0" w:space="0" w:color="auto"/>
        <w:right w:val="none" w:sz="0" w:space="0" w:color="auto"/>
      </w:divBdr>
    </w:div>
    <w:div w:id="1787773315">
      <w:bodyDiv w:val="1"/>
      <w:marLeft w:val="0"/>
      <w:marRight w:val="0"/>
      <w:marTop w:val="0"/>
      <w:marBottom w:val="0"/>
      <w:divBdr>
        <w:top w:val="none" w:sz="0" w:space="0" w:color="auto"/>
        <w:left w:val="none" w:sz="0" w:space="0" w:color="auto"/>
        <w:bottom w:val="none" w:sz="0" w:space="0" w:color="auto"/>
        <w:right w:val="none" w:sz="0" w:space="0" w:color="auto"/>
      </w:divBdr>
    </w:div>
    <w:div w:id="1827475517">
      <w:bodyDiv w:val="1"/>
      <w:marLeft w:val="0"/>
      <w:marRight w:val="0"/>
      <w:marTop w:val="0"/>
      <w:marBottom w:val="0"/>
      <w:divBdr>
        <w:top w:val="none" w:sz="0" w:space="0" w:color="auto"/>
        <w:left w:val="none" w:sz="0" w:space="0" w:color="auto"/>
        <w:bottom w:val="none" w:sz="0" w:space="0" w:color="auto"/>
        <w:right w:val="none" w:sz="0" w:space="0" w:color="auto"/>
      </w:divBdr>
    </w:div>
    <w:div w:id="1857696450">
      <w:bodyDiv w:val="1"/>
      <w:marLeft w:val="0"/>
      <w:marRight w:val="0"/>
      <w:marTop w:val="0"/>
      <w:marBottom w:val="0"/>
      <w:divBdr>
        <w:top w:val="none" w:sz="0" w:space="0" w:color="auto"/>
        <w:left w:val="none" w:sz="0" w:space="0" w:color="auto"/>
        <w:bottom w:val="none" w:sz="0" w:space="0" w:color="auto"/>
        <w:right w:val="none" w:sz="0" w:space="0" w:color="auto"/>
      </w:divBdr>
    </w:div>
    <w:div w:id="1857887375">
      <w:bodyDiv w:val="1"/>
      <w:marLeft w:val="0"/>
      <w:marRight w:val="0"/>
      <w:marTop w:val="0"/>
      <w:marBottom w:val="0"/>
      <w:divBdr>
        <w:top w:val="none" w:sz="0" w:space="0" w:color="auto"/>
        <w:left w:val="none" w:sz="0" w:space="0" w:color="auto"/>
        <w:bottom w:val="none" w:sz="0" w:space="0" w:color="auto"/>
        <w:right w:val="none" w:sz="0" w:space="0" w:color="auto"/>
      </w:divBdr>
    </w:div>
    <w:div w:id="1908681692">
      <w:bodyDiv w:val="1"/>
      <w:marLeft w:val="0"/>
      <w:marRight w:val="0"/>
      <w:marTop w:val="0"/>
      <w:marBottom w:val="0"/>
      <w:divBdr>
        <w:top w:val="none" w:sz="0" w:space="0" w:color="auto"/>
        <w:left w:val="none" w:sz="0" w:space="0" w:color="auto"/>
        <w:bottom w:val="none" w:sz="0" w:space="0" w:color="auto"/>
        <w:right w:val="none" w:sz="0" w:space="0" w:color="auto"/>
      </w:divBdr>
    </w:div>
    <w:div w:id="1918175688">
      <w:bodyDiv w:val="1"/>
      <w:marLeft w:val="0"/>
      <w:marRight w:val="0"/>
      <w:marTop w:val="0"/>
      <w:marBottom w:val="0"/>
      <w:divBdr>
        <w:top w:val="none" w:sz="0" w:space="0" w:color="auto"/>
        <w:left w:val="none" w:sz="0" w:space="0" w:color="auto"/>
        <w:bottom w:val="none" w:sz="0" w:space="0" w:color="auto"/>
        <w:right w:val="none" w:sz="0" w:space="0" w:color="auto"/>
      </w:divBdr>
    </w:div>
    <w:div w:id="1918703946">
      <w:bodyDiv w:val="1"/>
      <w:marLeft w:val="0"/>
      <w:marRight w:val="0"/>
      <w:marTop w:val="0"/>
      <w:marBottom w:val="0"/>
      <w:divBdr>
        <w:top w:val="none" w:sz="0" w:space="0" w:color="auto"/>
        <w:left w:val="none" w:sz="0" w:space="0" w:color="auto"/>
        <w:bottom w:val="none" w:sz="0" w:space="0" w:color="auto"/>
        <w:right w:val="none" w:sz="0" w:space="0" w:color="auto"/>
      </w:divBdr>
    </w:div>
    <w:div w:id="1946031904">
      <w:bodyDiv w:val="1"/>
      <w:marLeft w:val="0"/>
      <w:marRight w:val="0"/>
      <w:marTop w:val="0"/>
      <w:marBottom w:val="0"/>
      <w:divBdr>
        <w:top w:val="none" w:sz="0" w:space="0" w:color="auto"/>
        <w:left w:val="none" w:sz="0" w:space="0" w:color="auto"/>
        <w:bottom w:val="none" w:sz="0" w:space="0" w:color="auto"/>
        <w:right w:val="none" w:sz="0" w:space="0" w:color="auto"/>
      </w:divBdr>
    </w:div>
    <w:div w:id="1959414098">
      <w:bodyDiv w:val="1"/>
      <w:marLeft w:val="0"/>
      <w:marRight w:val="0"/>
      <w:marTop w:val="0"/>
      <w:marBottom w:val="0"/>
      <w:divBdr>
        <w:top w:val="none" w:sz="0" w:space="0" w:color="auto"/>
        <w:left w:val="none" w:sz="0" w:space="0" w:color="auto"/>
        <w:bottom w:val="none" w:sz="0" w:space="0" w:color="auto"/>
        <w:right w:val="none" w:sz="0" w:space="0" w:color="auto"/>
      </w:divBdr>
    </w:div>
    <w:div w:id="1962568704">
      <w:bodyDiv w:val="1"/>
      <w:marLeft w:val="0"/>
      <w:marRight w:val="0"/>
      <w:marTop w:val="0"/>
      <w:marBottom w:val="0"/>
      <w:divBdr>
        <w:top w:val="none" w:sz="0" w:space="0" w:color="auto"/>
        <w:left w:val="none" w:sz="0" w:space="0" w:color="auto"/>
        <w:bottom w:val="none" w:sz="0" w:space="0" w:color="auto"/>
        <w:right w:val="none" w:sz="0" w:space="0" w:color="auto"/>
      </w:divBdr>
    </w:div>
    <w:div w:id="2007974111">
      <w:bodyDiv w:val="1"/>
      <w:marLeft w:val="0"/>
      <w:marRight w:val="0"/>
      <w:marTop w:val="0"/>
      <w:marBottom w:val="0"/>
      <w:divBdr>
        <w:top w:val="none" w:sz="0" w:space="0" w:color="auto"/>
        <w:left w:val="none" w:sz="0" w:space="0" w:color="auto"/>
        <w:bottom w:val="none" w:sz="0" w:space="0" w:color="auto"/>
        <w:right w:val="none" w:sz="0" w:space="0" w:color="auto"/>
      </w:divBdr>
    </w:div>
    <w:div w:id="2061173187">
      <w:bodyDiv w:val="1"/>
      <w:marLeft w:val="0"/>
      <w:marRight w:val="0"/>
      <w:marTop w:val="0"/>
      <w:marBottom w:val="0"/>
      <w:divBdr>
        <w:top w:val="none" w:sz="0" w:space="0" w:color="auto"/>
        <w:left w:val="none" w:sz="0" w:space="0" w:color="auto"/>
        <w:bottom w:val="none" w:sz="0" w:space="0" w:color="auto"/>
        <w:right w:val="none" w:sz="0" w:space="0" w:color="auto"/>
      </w:divBdr>
    </w:div>
    <w:div w:id="2085293630">
      <w:bodyDiv w:val="1"/>
      <w:marLeft w:val="0"/>
      <w:marRight w:val="0"/>
      <w:marTop w:val="0"/>
      <w:marBottom w:val="0"/>
      <w:divBdr>
        <w:top w:val="none" w:sz="0" w:space="0" w:color="auto"/>
        <w:left w:val="none" w:sz="0" w:space="0" w:color="auto"/>
        <w:bottom w:val="none" w:sz="0" w:space="0" w:color="auto"/>
        <w:right w:val="none" w:sz="0" w:space="0" w:color="auto"/>
      </w:divBdr>
    </w:div>
    <w:div w:id="20906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xml"/><Relationship Id="rId21" Type="http://schemas.openxmlformats.org/officeDocument/2006/relationships/footer" Target="footer5.xml"/><Relationship Id="rId42" Type="http://schemas.openxmlformats.org/officeDocument/2006/relationships/footer" Target="footer15.xml"/><Relationship Id="rId47" Type="http://schemas.openxmlformats.org/officeDocument/2006/relationships/footer" Target="footer17.xml"/><Relationship Id="rId63" Type="http://schemas.openxmlformats.org/officeDocument/2006/relationships/header" Target="header24.xml"/><Relationship Id="rId68" Type="http://schemas.openxmlformats.org/officeDocument/2006/relationships/image" Target="media/image5.png"/><Relationship Id="rId84" Type="http://schemas.openxmlformats.org/officeDocument/2006/relationships/fontTable" Target="fontTable.xml"/><Relationship Id="rId16" Type="http://schemas.openxmlformats.org/officeDocument/2006/relationships/image" Target="media/image4.JPG"/><Relationship Id="rId11" Type="http://schemas.openxmlformats.org/officeDocument/2006/relationships/header" Target="header2.xml"/><Relationship Id="rId32" Type="http://schemas.openxmlformats.org/officeDocument/2006/relationships/footer" Target="footer10.xml"/><Relationship Id="rId37" Type="http://schemas.openxmlformats.org/officeDocument/2006/relationships/header" Target="header11.xml"/><Relationship Id="rId53" Type="http://schemas.openxmlformats.org/officeDocument/2006/relationships/footer" Target="footer20.xml"/><Relationship Id="rId58" Type="http://schemas.openxmlformats.org/officeDocument/2006/relationships/header" Target="header22.xml"/><Relationship Id="rId74" Type="http://schemas.openxmlformats.org/officeDocument/2006/relationships/footer" Target="footer30.xml"/><Relationship Id="rId79" Type="http://schemas.openxmlformats.org/officeDocument/2006/relationships/header" Target="header30.xml"/><Relationship Id="rId5" Type="http://schemas.openxmlformats.org/officeDocument/2006/relationships/settings" Target="settings.xml"/><Relationship Id="rId19" Type="http://schemas.openxmlformats.org/officeDocument/2006/relationships/header" Target="header4.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4.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image" Target="media/image6.png"/><Relationship Id="rId77" Type="http://schemas.openxmlformats.org/officeDocument/2006/relationships/image" Target="media/image8.JPG"/><Relationship Id="rId8" Type="http://schemas.openxmlformats.org/officeDocument/2006/relationships/endnotes" Target="endnotes.xml"/><Relationship Id="rId51" Type="http://schemas.openxmlformats.org/officeDocument/2006/relationships/header" Target="header18.xml"/><Relationship Id="rId72" Type="http://schemas.openxmlformats.org/officeDocument/2006/relationships/header" Target="header27.xml"/><Relationship Id="rId80" Type="http://schemas.openxmlformats.org/officeDocument/2006/relationships/footer" Target="footer32.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chart" Target="charts/chart1.xml"/><Relationship Id="rId33" Type="http://schemas.openxmlformats.org/officeDocument/2006/relationships/header" Target="header9.xml"/><Relationship Id="rId38" Type="http://schemas.openxmlformats.org/officeDocument/2006/relationships/footer" Target="footer13.xml"/><Relationship Id="rId46" Type="http://schemas.openxmlformats.org/officeDocument/2006/relationships/header" Target="header16.xml"/><Relationship Id="rId59" Type="http://schemas.openxmlformats.org/officeDocument/2006/relationships/footer" Target="footer23.xml"/><Relationship Id="rId67" Type="http://schemas.openxmlformats.org/officeDocument/2006/relationships/footer" Target="footer28.xml"/><Relationship Id="rId20" Type="http://schemas.openxmlformats.org/officeDocument/2006/relationships/footer" Target="footer4.xml"/><Relationship Id="rId41" Type="http://schemas.openxmlformats.org/officeDocument/2006/relationships/footer" Target="footer14.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image" Target="media/image7.jpeg"/><Relationship Id="rId75" Type="http://schemas.openxmlformats.org/officeDocument/2006/relationships/header" Target="header28.xml"/><Relationship Id="rId83"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2.xml"/><Relationship Id="rId49" Type="http://schemas.openxmlformats.org/officeDocument/2006/relationships/header" Target="header17.xml"/><Relationship Id="rId57" Type="http://schemas.openxmlformats.org/officeDocument/2006/relationships/header" Target="header21.xml"/><Relationship Id="rId10" Type="http://schemas.openxmlformats.org/officeDocument/2006/relationships/header" Target="header1.xml"/><Relationship Id="rId31" Type="http://schemas.openxmlformats.org/officeDocument/2006/relationships/header" Target="header8.xml"/><Relationship Id="rId44" Type="http://schemas.openxmlformats.org/officeDocument/2006/relationships/footer" Target="footer16.xml"/><Relationship Id="rId52" Type="http://schemas.openxmlformats.org/officeDocument/2006/relationships/header" Target="header19.xml"/><Relationship Id="rId60" Type="http://schemas.openxmlformats.org/officeDocument/2006/relationships/footer" Target="footer24.xml"/><Relationship Id="rId65" Type="http://schemas.openxmlformats.org/officeDocument/2006/relationships/header" Target="header25.xml"/><Relationship Id="rId73" Type="http://schemas.openxmlformats.org/officeDocument/2006/relationships/footer" Target="footer29.xml"/><Relationship Id="rId78" Type="http://schemas.openxmlformats.org/officeDocument/2006/relationships/header" Target="header29.xml"/><Relationship Id="rId81" Type="http://schemas.openxmlformats.org/officeDocument/2006/relationships/footer" Target="footer3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9" Type="http://schemas.openxmlformats.org/officeDocument/2006/relationships/header" Target="header12.xml"/><Relationship Id="rId34" Type="http://schemas.openxmlformats.org/officeDocument/2006/relationships/header" Target="header10.xml"/><Relationship Id="rId50" Type="http://schemas.openxmlformats.org/officeDocument/2006/relationships/footer" Target="footer19.xml"/><Relationship Id="rId55" Type="http://schemas.openxmlformats.org/officeDocument/2006/relationships/header" Target="header20.xml"/><Relationship Id="rId76" Type="http://schemas.openxmlformats.org/officeDocument/2006/relationships/footer" Target="footer31.xml"/><Relationship Id="rId7" Type="http://schemas.openxmlformats.org/officeDocument/2006/relationships/footnotes" Target="footnotes.xml"/><Relationship Id="rId71" Type="http://schemas.openxmlformats.org/officeDocument/2006/relationships/header" Target="header26.xml"/><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footer" Target="footer7.xml"/><Relationship Id="rId40" Type="http://schemas.openxmlformats.org/officeDocument/2006/relationships/header" Target="header13.xml"/><Relationship Id="rId45" Type="http://schemas.openxmlformats.org/officeDocument/2006/relationships/header" Target="header15.xml"/><Relationship Id="rId66" Type="http://schemas.openxmlformats.org/officeDocument/2006/relationships/footer" Target="footer27.xml"/><Relationship Id="rId61" Type="http://schemas.openxmlformats.org/officeDocument/2006/relationships/header" Target="header23.xml"/><Relationship Id="rId82" Type="http://schemas.openxmlformats.org/officeDocument/2006/relationships/header" Target="header31.xml"/></Relationships>
</file>

<file path=word/charts/_rels/chart1.xml.rels><?xml version="1.0" encoding="UTF-8" standalone="yes"?>
<Relationships xmlns="http://schemas.openxmlformats.org/package/2006/relationships"><Relationship Id="rId1" Type="http://schemas.openxmlformats.org/officeDocument/2006/relationships/oleObject" Target="file:///\\msfileprint.slq.qld.gov.au\data\Finance,%20Facilities%20&amp;%20Admin\Val\Annual%20report\2016-17\Fin%20Summary%20graphs%2016-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sfileprint.slq.qld.gov.au\data\Finance,%20Facilities%20&amp;%20Admin\Val\Annual%20report\2016-17\Fin%20Summary%20graphs%2016-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en-US" sz="1200"/>
              <a:t>Economic Entity Income 2017 $M</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7522789041523956"/>
          <c:y val="0.25968346141101101"/>
          <c:w val="0.81527777344663599"/>
          <c:h val="0.66417104111986003"/>
        </c:manualLayout>
      </c:layout>
      <c:pie3DChart>
        <c:varyColors val="1"/>
        <c:ser>
          <c:idx val="0"/>
          <c:order val="0"/>
          <c:tx>
            <c:strRef>
              <c:f>charts!$L$1:$L$2</c:f>
              <c:strCache>
                <c:ptCount val="1"/>
                <c:pt idx="0">
                  <c:v>Economic Entity Income 2017 $M</c:v>
                </c:pt>
              </c:strCache>
            </c:strRef>
          </c:tx>
          <c:explosion val="25"/>
          <c:dPt>
            <c:idx val="0"/>
            <c:bubble3D val="0"/>
            <c:spPr>
              <a:solidFill>
                <a:schemeClr val="tx1">
                  <a:lumMod val="50000"/>
                  <a:lumOff val="50000"/>
                </a:schemeClr>
              </a:solidFill>
            </c:spPr>
          </c:dPt>
          <c:dPt>
            <c:idx val="1"/>
            <c:bubble3D val="0"/>
            <c:spPr>
              <a:solidFill>
                <a:schemeClr val="bg1">
                  <a:lumMod val="85000"/>
                </a:schemeClr>
              </a:solidFill>
            </c:spPr>
          </c:dPt>
          <c:dPt>
            <c:idx val="2"/>
            <c:bubble3D val="0"/>
            <c:spPr>
              <a:solidFill>
                <a:schemeClr val="tx1">
                  <a:lumMod val="50000"/>
                  <a:lumOff val="50000"/>
                </a:schemeClr>
              </a:solidFill>
            </c:spPr>
          </c:dPt>
          <c:dPt>
            <c:idx val="3"/>
            <c:bubble3D val="0"/>
            <c:spPr>
              <a:solidFill>
                <a:schemeClr val="tx1">
                  <a:lumMod val="65000"/>
                  <a:lumOff val="35000"/>
                </a:schemeClr>
              </a:solidFill>
            </c:spPr>
          </c:dPt>
          <c:dPt>
            <c:idx val="4"/>
            <c:bubble3D val="0"/>
            <c:spPr>
              <a:solidFill>
                <a:schemeClr val="tx1">
                  <a:lumMod val="75000"/>
                  <a:lumOff val="25000"/>
                </a:schemeClr>
              </a:solidFill>
            </c:spPr>
          </c:dPt>
          <c:dPt>
            <c:idx val="5"/>
            <c:bubble3D val="0"/>
            <c:spPr>
              <a:solidFill>
                <a:schemeClr val="bg1">
                  <a:lumMod val="75000"/>
                </a:schemeClr>
              </a:solidFill>
            </c:spPr>
          </c:dPt>
          <c:dLbls>
            <c:dLbl>
              <c:idx val="0"/>
              <c:layout>
                <c:manualLayout>
                  <c:x val="0.13302952755905512"/>
                  <c:y val="0.10570392242636337"/>
                </c:manualLayout>
              </c:layout>
              <c:showLegendKey val="0"/>
              <c:showVal val="0"/>
              <c:showCatName val="1"/>
              <c:showSerName val="0"/>
              <c:showPercent val="1"/>
              <c:showBubbleSize val="0"/>
            </c:dLbl>
            <c:dLbl>
              <c:idx val="2"/>
              <c:layout>
                <c:manualLayout>
                  <c:x val="-7.6515683064369427E-2"/>
                  <c:y val="0.43533902012248471"/>
                </c:manualLayout>
              </c:layout>
              <c:showLegendKey val="0"/>
              <c:showVal val="0"/>
              <c:showCatName val="1"/>
              <c:showSerName val="0"/>
              <c:showPercent val="1"/>
              <c:showBubbleSize val="0"/>
            </c:dLbl>
            <c:dLbl>
              <c:idx val="3"/>
              <c:layout>
                <c:manualLayout>
                  <c:x val="-0.18244245211922766"/>
                  <c:y val="0.17607903178769321"/>
                </c:manualLayout>
              </c:layout>
              <c:showLegendKey val="0"/>
              <c:showVal val="0"/>
              <c:showCatName val="1"/>
              <c:showSerName val="0"/>
              <c:showPercent val="1"/>
              <c:showBubbleSize val="0"/>
            </c:dLbl>
            <c:dLbl>
              <c:idx val="4"/>
              <c:layout>
                <c:manualLayout>
                  <c:x val="-0.26179257295808323"/>
                  <c:y val="2.1910542432195975E-2"/>
                </c:manualLayout>
              </c:layout>
              <c:showLegendKey val="0"/>
              <c:showVal val="0"/>
              <c:showCatName val="1"/>
              <c:showSerName val="0"/>
              <c:showPercent val="1"/>
              <c:showBubbleSize val="0"/>
            </c:dLbl>
            <c:dLbl>
              <c:idx val="5"/>
              <c:layout>
                <c:manualLayout>
                  <c:x val="0.27552453015532097"/>
                  <c:y val="-6.6736558344034316E-2"/>
                </c:manualLayout>
              </c:layout>
              <c:showLegendKey val="0"/>
              <c:showVal val="0"/>
              <c:showCatName val="1"/>
              <c:showSerName val="0"/>
              <c:showPercent val="1"/>
              <c:showBubbleSize val="0"/>
            </c:dLbl>
            <c:numFmt formatCode="0.0%" sourceLinked="0"/>
            <c:txPr>
              <a:bodyPr/>
              <a:lstStyle/>
              <a:p>
                <a:pPr>
                  <a:defRPr>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showLeaderLines val="1"/>
          </c:dLbls>
          <c:cat>
            <c:strRef>
              <c:f>charts!$K$3:$K$8</c:f>
              <c:strCache>
                <c:ptCount val="6"/>
                <c:pt idx="0">
                  <c:v>User charges</c:v>
                </c:pt>
                <c:pt idx="1">
                  <c:v>Recurrent grants</c:v>
                </c:pt>
                <c:pt idx="2">
                  <c:v>Donations and industry contributions</c:v>
                </c:pt>
                <c:pt idx="3">
                  <c:v>Non-cash goods/services</c:v>
                </c:pt>
                <c:pt idx="4">
                  <c:v>Non-cash building lease rental</c:v>
                </c:pt>
                <c:pt idx="5">
                  <c:v>Other</c:v>
                </c:pt>
              </c:strCache>
            </c:strRef>
          </c:cat>
          <c:val>
            <c:numRef>
              <c:f>charts!$L$3:$L$8</c:f>
              <c:numCache>
                <c:formatCode>_-* #,##0.0_-;\-* #,##0.0_-;_-* "-"??_-;_-@_-</c:formatCode>
                <c:ptCount val="6"/>
                <c:pt idx="0">
                  <c:v>4.4050000000000002</c:v>
                </c:pt>
                <c:pt idx="1">
                  <c:v>62.832999999999998</c:v>
                </c:pt>
                <c:pt idx="2">
                  <c:v>2.3889999999999998</c:v>
                </c:pt>
                <c:pt idx="3">
                  <c:v>2.3845450000000001</c:v>
                </c:pt>
                <c:pt idx="4">
                  <c:v>7.1784549999999996</c:v>
                </c:pt>
                <c:pt idx="5">
                  <c:v>0.73599999999999999</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Economic Entity Expenses from Continuing Operations 2017 ($M)</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9361906684741324E-2"/>
          <c:y val="0.31798859420192865"/>
          <c:w val="0.82127618663051738"/>
          <c:h val="0.61690288713910757"/>
        </c:manualLayout>
      </c:layout>
      <c:pie3DChart>
        <c:varyColors val="1"/>
        <c:ser>
          <c:idx val="0"/>
          <c:order val="0"/>
          <c:tx>
            <c:strRef>
              <c:f>charts!$L$42:$L$43</c:f>
              <c:strCache>
                <c:ptCount val="1"/>
                <c:pt idx="0">
                  <c:v>Economic Entity Expenses from Continuing Operations 2017 $'000</c:v>
                </c:pt>
              </c:strCache>
            </c:strRef>
          </c:tx>
          <c:explosion val="25"/>
          <c:dPt>
            <c:idx val="0"/>
            <c:bubble3D val="0"/>
            <c:spPr>
              <a:solidFill>
                <a:schemeClr val="bg1">
                  <a:lumMod val="75000"/>
                </a:schemeClr>
              </a:solidFill>
            </c:spPr>
          </c:dPt>
          <c:dPt>
            <c:idx val="1"/>
            <c:bubble3D val="0"/>
            <c:spPr>
              <a:solidFill>
                <a:schemeClr val="tx1">
                  <a:lumMod val="50000"/>
                  <a:lumOff val="50000"/>
                </a:schemeClr>
              </a:solidFill>
            </c:spPr>
          </c:dPt>
          <c:dPt>
            <c:idx val="2"/>
            <c:bubble3D val="0"/>
            <c:spPr>
              <a:solidFill>
                <a:schemeClr val="tx1">
                  <a:lumMod val="75000"/>
                  <a:lumOff val="25000"/>
                </a:schemeClr>
              </a:solidFill>
            </c:spPr>
          </c:dPt>
          <c:dPt>
            <c:idx val="3"/>
            <c:bubble3D val="0"/>
            <c:spPr>
              <a:solidFill>
                <a:schemeClr val="bg1">
                  <a:lumMod val="85000"/>
                </a:schemeClr>
              </a:solidFill>
            </c:spPr>
          </c:dPt>
          <c:dPt>
            <c:idx val="4"/>
            <c:bubble3D val="0"/>
            <c:spPr>
              <a:solidFill>
                <a:schemeClr val="tx1">
                  <a:lumMod val="65000"/>
                  <a:lumOff val="35000"/>
                </a:schemeClr>
              </a:solidFill>
            </c:spPr>
          </c:dPt>
          <c:dPt>
            <c:idx val="5"/>
            <c:bubble3D val="0"/>
            <c:spPr>
              <a:solidFill>
                <a:schemeClr val="bg1">
                  <a:lumMod val="50000"/>
                </a:schemeClr>
              </a:solidFill>
            </c:spPr>
          </c:dPt>
          <c:dLbls>
            <c:dLbl>
              <c:idx val="4"/>
              <c:layout>
                <c:manualLayout>
                  <c:x val="-0.26114562602751579"/>
                  <c:y val="2.2324730655127068E-2"/>
                </c:manualLayout>
              </c:layout>
              <c:showLegendKey val="0"/>
              <c:showVal val="1"/>
              <c:showCatName val="1"/>
              <c:showSerName val="0"/>
              <c:showPercent val="0"/>
              <c:showBubbleSize val="0"/>
            </c:dLbl>
            <c:dLbl>
              <c:idx val="5"/>
              <c:layout>
                <c:manualLayout>
                  <c:x val="0.25228538740349765"/>
                  <c:y val="-8.8367424326916636E-3"/>
                </c:manualLayout>
              </c:layout>
              <c:showLegendKey val="0"/>
              <c:showVal val="1"/>
              <c:showCatName val="1"/>
              <c:showSerName val="0"/>
              <c:showPercent val="0"/>
              <c:showBubbleSize val="0"/>
            </c:dLbl>
            <c:numFmt formatCode="&quot;$&quot;#,##0.0" sourceLinked="0"/>
            <c:txPr>
              <a:bodyPr/>
              <a:lstStyle/>
              <a:p>
                <a:pPr>
                  <a:defRPr>
                    <a:latin typeface="Arial" panose="020B0604020202020204" pitchFamily="34" charset="0"/>
                    <a:cs typeface="Arial" panose="020B0604020202020204" pitchFamily="34" charset="0"/>
                  </a:defRPr>
                </a:pPr>
                <a:endParaRPr lang="en-US"/>
              </a:p>
            </c:txPr>
            <c:showLegendKey val="0"/>
            <c:showVal val="1"/>
            <c:showCatName val="1"/>
            <c:showSerName val="0"/>
            <c:showPercent val="0"/>
            <c:showBubbleSize val="0"/>
            <c:showLeaderLines val="1"/>
          </c:dLbls>
          <c:cat>
            <c:strRef>
              <c:f>charts!$K$44:$K$49</c:f>
              <c:strCache>
                <c:ptCount val="6"/>
                <c:pt idx="0">
                  <c:v>Employee expenses</c:v>
                </c:pt>
                <c:pt idx="1">
                  <c:v>Supplies and services</c:v>
                </c:pt>
                <c:pt idx="2">
                  <c:v>Non-cash goods/services</c:v>
                </c:pt>
                <c:pt idx="3">
                  <c:v>Grants and subsidies</c:v>
                </c:pt>
                <c:pt idx="4">
                  <c:v>Depreciation and amortisation</c:v>
                </c:pt>
                <c:pt idx="5">
                  <c:v>Other expenses</c:v>
                </c:pt>
              </c:strCache>
            </c:strRef>
          </c:cat>
          <c:val>
            <c:numRef>
              <c:f>charts!$L$44:$L$49</c:f>
              <c:numCache>
                <c:formatCode>_-* #,##0.0_-;\-* #,##0.0_-;_-* "-"??_-;_-@_-</c:formatCode>
                <c:ptCount val="6"/>
                <c:pt idx="0">
                  <c:v>27.69</c:v>
                </c:pt>
                <c:pt idx="1">
                  <c:v>14.437000000000001</c:v>
                </c:pt>
                <c:pt idx="2">
                  <c:v>8.6859999999999999</c:v>
                </c:pt>
                <c:pt idx="3">
                  <c:v>25.016999999999999</c:v>
                </c:pt>
                <c:pt idx="4">
                  <c:v>0.51700000000000002</c:v>
                </c:pt>
                <c:pt idx="5">
                  <c:v>0.36699999999999999</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39EC4-FCF6-4619-96BB-2CCC99A4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92</Pages>
  <Words>32831</Words>
  <Characters>187138</Characters>
  <Application>Microsoft Office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Contents</vt:lpstr>
    </vt:vector>
  </TitlesOfParts>
  <Company>State Library of Queensland</Company>
  <LinksUpToDate>false</LinksUpToDate>
  <CharactersWithSpaces>219530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Nicole Randall</dc:creator>
  <cp:lastModifiedBy>nrandall</cp:lastModifiedBy>
  <cp:revision>3</cp:revision>
  <cp:lastPrinted>2017-09-19T03:23:00Z</cp:lastPrinted>
  <dcterms:created xsi:type="dcterms:W3CDTF">2017-09-19T03:17:00Z</dcterms:created>
  <dcterms:modified xsi:type="dcterms:W3CDTF">2017-09-19T03:25:00Z</dcterms:modified>
</cp:coreProperties>
</file>